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08408" w14:textId="53C2C0A3" w:rsidR="001B7C2B" w:rsidRPr="00E37FBE" w:rsidRDefault="001B7C2B" w:rsidP="001B7C2B">
      <w:pPr>
        <w:jc w:val="center"/>
        <w:rPr>
          <w:rFonts w:ascii="Times New Roman" w:hAnsi="Times New Roman"/>
          <w:b/>
          <w:sz w:val="24"/>
        </w:rPr>
      </w:pPr>
      <w:bookmarkStart w:id="0" w:name="_GoBack"/>
      <w:bookmarkEnd w:id="0"/>
      <w:r w:rsidRPr="00E37FBE">
        <w:rPr>
          <w:rFonts w:ascii="Times New Roman" w:hAnsi="Times New Roman"/>
          <w:b/>
          <w:sz w:val="24"/>
          <w:lang w:eastAsia="de-DE"/>
        </w:rPr>
        <w:t>EN</w:t>
      </w:r>
      <w:r w:rsidRPr="00E37FBE">
        <w:rPr>
          <w:rFonts w:ascii="Times New Roman" w:hAnsi="Times New Roman"/>
          <w:b/>
          <w:sz w:val="24"/>
          <w:lang w:eastAsia="de-DE"/>
        </w:rPr>
        <w:br/>
      </w:r>
      <w:r w:rsidRPr="00E37FBE">
        <w:rPr>
          <w:rFonts w:ascii="Times New Roman" w:hAnsi="Times New Roman"/>
          <w:b/>
          <w:sz w:val="24"/>
        </w:rPr>
        <w:t xml:space="preserve">ANNEX </w:t>
      </w:r>
      <w:r w:rsidR="006B2EB0" w:rsidRPr="00E37FBE">
        <w:rPr>
          <w:rFonts w:ascii="Times New Roman" w:hAnsi="Times New Roman"/>
          <w:b/>
          <w:sz w:val="24"/>
        </w:rPr>
        <w:t>VI</w:t>
      </w:r>
    </w:p>
    <w:p w14:paraId="72104D4D" w14:textId="77777777" w:rsidR="006339CC" w:rsidRPr="00E37FBE" w:rsidRDefault="006339CC" w:rsidP="001B7C2B">
      <w:pPr>
        <w:jc w:val="center"/>
        <w:rPr>
          <w:rFonts w:ascii="Times New Roman" w:hAnsi="Times New Roman"/>
          <w:b/>
          <w:sz w:val="24"/>
        </w:rPr>
      </w:pPr>
    </w:p>
    <w:p w14:paraId="01904AEC" w14:textId="353A69A5" w:rsidR="007F5684" w:rsidRPr="00E37FBE" w:rsidRDefault="008E1DE8" w:rsidP="001B7C2B">
      <w:pPr>
        <w:jc w:val="center"/>
        <w:rPr>
          <w:b/>
          <w:szCs w:val="20"/>
          <w:u w:val="single"/>
        </w:rPr>
      </w:pPr>
      <w:r w:rsidRPr="00E37FBE">
        <w:rPr>
          <w:b/>
          <w:szCs w:val="20"/>
          <w:u w:val="single"/>
        </w:rPr>
        <w:t>“</w:t>
      </w:r>
      <w:r w:rsidR="007F5684" w:rsidRPr="00E37FBE">
        <w:rPr>
          <w:b/>
          <w:szCs w:val="20"/>
          <w:u w:val="single"/>
        </w:rPr>
        <w:t xml:space="preserve">ANNEX </w:t>
      </w:r>
      <w:r w:rsidR="006508B3" w:rsidRPr="00E37FBE">
        <w:rPr>
          <w:b/>
          <w:szCs w:val="20"/>
          <w:u w:val="single"/>
        </w:rPr>
        <w:t>X</w:t>
      </w:r>
      <w:r w:rsidR="001D37A9" w:rsidRPr="00E37FBE">
        <w:rPr>
          <w:b/>
          <w:szCs w:val="20"/>
          <w:u w:val="single"/>
        </w:rPr>
        <w:t>I</w:t>
      </w:r>
      <w:r w:rsidR="0011112D" w:rsidRPr="00E37FBE">
        <w:rPr>
          <w:b/>
          <w:szCs w:val="20"/>
          <w:u w:val="single"/>
        </w:rPr>
        <w:t>X</w:t>
      </w:r>
    </w:p>
    <w:p w14:paraId="1796FE74" w14:textId="29CC78AB" w:rsidR="007F5684" w:rsidRPr="00E37FBE" w:rsidRDefault="007F5684" w:rsidP="00F30436">
      <w:pPr>
        <w:jc w:val="center"/>
        <w:rPr>
          <w:b/>
          <w:szCs w:val="20"/>
        </w:rPr>
      </w:pPr>
      <w:r w:rsidRPr="00E37FBE">
        <w:rPr>
          <w:b/>
          <w:szCs w:val="20"/>
        </w:rPr>
        <w:t xml:space="preserve">INSTRUCTIONS FOR COMPLETING THE ADDITIONAL MONITORING TOOLS TEMPLATE OF ANNEX </w:t>
      </w:r>
      <w:r w:rsidR="00D30BA0" w:rsidRPr="00E37FBE">
        <w:rPr>
          <w:b/>
          <w:szCs w:val="20"/>
        </w:rPr>
        <w:t>XVIII</w:t>
      </w:r>
    </w:p>
    <w:p w14:paraId="16AC5CE5" w14:textId="77777777" w:rsidR="00D02FE4" w:rsidRPr="00E37FBE" w:rsidRDefault="00181260" w:rsidP="00432D9F">
      <w:pPr>
        <w:pStyle w:val="Instructionsberschrift2"/>
        <w:numPr>
          <w:ilvl w:val="0"/>
          <w:numId w:val="2"/>
        </w:numPr>
        <w:rPr>
          <w:rFonts w:ascii="Times New Roman" w:hAnsi="Times New Roman" w:cs="Times New Roman"/>
          <w:szCs w:val="20"/>
        </w:rPr>
      </w:pPr>
      <w:r w:rsidRPr="00E37FBE">
        <w:rPr>
          <w:rFonts w:ascii="Times New Roman" w:hAnsi="Times New Roman" w:cs="Times New Roman"/>
          <w:szCs w:val="20"/>
        </w:rPr>
        <w:t>Additional Monitoring Tools</w:t>
      </w:r>
    </w:p>
    <w:p w14:paraId="6D74775F" w14:textId="243E01B4" w:rsidR="00D02FE4" w:rsidRPr="00E37FBE" w:rsidRDefault="00D02FE4" w:rsidP="00432D9F">
      <w:pPr>
        <w:pStyle w:val="Instructionsberschrift2"/>
        <w:numPr>
          <w:ilvl w:val="1"/>
          <w:numId w:val="2"/>
        </w:numPr>
        <w:rPr>
          <w:rFonts w:ascii="Times New Roman" w:hAnsi="Times New Roman" w:cs="Times New Roman"/>
          <w:szCs w:val="20"/>
        </w:rPr>
      </w:pPr>
      <w:bookmarkStart w:id="1" w:name="_Toc308175819"/>
      <w:bookmarkStart w:id="2" w:name="_Toc310414966"/>
      <w:r w:rsidRPr="00E37FBE">
        <w:rPr>
          <w:rFonts w:ascii="Times New Roman" w:hAnsi="Times New Roman" w:cs="Times New Roman"/>
          <w:szCs w:val="20"/>
        </w:rPr>
        <w:t xml:space="preserve">General </w:t>
      </w:r>
      <w:bookmarkEnd w:id="1"/>
      <w:bookmarkEnd w:id="2"/>
    </w:p>
    <w:p w14:paraId="28146638" w14:textId="572CEF49" w:rsidR="00A344AA" w:rsidRPr="00E37FBE" w:rsidRDefault="00F9747D" w:rsidP="00CC3091">
      <w:pPr>
        <w:pStyle w:val="InstructionsText2"/>
        <w:numPr>
          <w:ilvl w:val="0"/>
          <w:numId w:val="4"/>
        </w:numPr>
        <w:rPr>
          <w:u w:val="none"/>
        </w:rPr>
      </w:pPr>
      <w:r w:rsidRPr="00E37FBE">
        <w:rPr>
          <w:u w:val="none"/>
        </w:rPr>
        <w:t xml:space="preserve">[empty] </w:t>
      </w:r>
    </w:p>
    <w:p w14:paraId="39998106" w14:textId="1169C0B2" w:rsidR="00A344AA" w:rsidRPr="00E37FBE" w:rsidRDefault="00A344AA" w:rsidP="00CC3091">
      <w:pPr>
        <w:pStyle w:val="InstructionsText2"/>
        <w:numPr>
          <w:ilvl w:val="0"/>
          <w:numId w:val="4"/>
        </w:numPr>
        <w:rPr>
          <w:u w:val="none"/>
        </w:rPr>
      </w:pPr>
      <w:r w:rsidRPr="00E37FBE">
        <w:rPr>
          <w:u w:val="none"/>
        </w:rPr>
        <w:t>Total funding shall be all financial liabilities other than derivatives and short positions;</w:t>
      </w:r>
    </w:p>
    <w:p w14:paraId="50F797C6" w14:textId="18A1D5E6" w:rsidR="00A344AA" w:rsidRPr="00E37FBE" w:rsidRDefault="00A344AA" w:rsidP="00927DCB">
      <w:pPr>
        <w:pStyle w:val="InstructionsText2"/>
        <w:numPr>
          <w:ilvl w:val="0"/>
          <w:numId w:val="4"/>
        </w:numPr>
        <w:rPr>
          <w:u w:val="none"/>
        </w:rPr>
      </w:pPr>
      <w:r w:rsidRPr="00E37FBE">
        <w:rPr>
          <w:u w:val="none"/>
        </w:rPr>
        <w:t xml:space="preserve">Funding </w:t>
      </w:r>
      <w:r w:rsidR="008E720B" w:rsidRPr="00E37FBE">
        <w:rPr>
          <w:u w:val="none"/>
        </w:rPr>
        <w:t xml:space="preserve">of any type </w:t>
      </w:r>
      <w:r w:rsidRPr="00E37FBE">
        <w:rPr>
          <w:u w:val="none"/>
        </w:rPr>
        <w:t xml:space="preserve">with open maturity </w:t>
      </w:r>
      <w:r w:rsidR="00D30BA0" w:rsidRPr="00E37FBE">
        <w:rPr>
          <w:u w:val="none"/>
        </w:rPr>
        <w:t>including</w:t>
      </w:r>
      <w:r w:rsidRPr="00E37FBE">
        <w:rPr>
          <w:u w:val="none"/>
        </w:rPr>
        <w:t xml:space="preserve"> on sight deposits </w:t>
      </w:r>
      <w:r w:rsidR="00D30BA0" w:rsidRPr="00E37FBE">
        <w:rPr>
          <w:u w:val="none"/>
        </w:rPr>
        <w:t xml:space="preserve">shall be </w:t>
      </w:r>
      <w:r w:rsidRPr="00E37FBE">
        <w:rPr>
          <w:u w:val="none"/>
        </w:rPr>
        <w:t xml:space="preserve">considered as maturing overnight. </w:t>
      </w:r>
    </w:p>
    <w:p w14:paraId="4586638B" w14:textId="7C96029D" w:rsidR="00A344AA" w:rsidRPr="00E37FBE" w:rsidRDefault="00A344AA" w:rsidP="00927DCB">
      <w:pPr>
        <w:pStyle w:val="InstructionsText2"/>
        <w:numPr>
          <w:ilvl w:val="0"/>
          <w:numId w:val="4"/>
        </w:numPr>
        <w:rPr>
          <w:u w:val="none"/>
        </w:rPr>
      </w:pPr>
      <w:r w:rsidRPr="00E37FBE">
        <w:rPr>
          <w:u w:val="none"/>
        </w:rPr>
        <w:t xml:space="preserve">Original maturity </w:t>
      </w:r>
      <w:r w:rsidR="00D30BA0" w:rsidRPr="00E37FBE">
        <w:rPr>
          <w:u w:val="none"/>
        </w:rPr>
        <w:t xml:space="preserve">shall </w:t>
      </w:r>
      <w:r w:rsidRPr="00E37FBE">
        <w:rPr>
          <w:u w:val="none"/>
        </w:rPr>
        <w:t>represent the time between the date of originati</w:t>
      </w:r>
      <w:r w:rsidR="008509FB" w:rsidRPr="00E37FBE">
        <w:rPr>
          <w:u w:val="none"/>
        </w:rPr>
        <w:t xml:space="preserve">on and the date of maturity of funding. The date of the maturity of the funding shall be determined in </w:t>
      </w:r>
      <w:r w:rsidR="00D30BA0" w:rsidRPr="00E37FBE">
        <w:rPr>
          <w:u w:val="none"/>
        </w:rPr>
        <w:t xml:space="preserve">accordance </w:t>
      </w:r>
      <w:r w:rsidR="008509FB" w:rsidRPr="00E37FBE">
        <w:rPr>
          <w:u w:val="none"/>
        </w:rPr>
        <w:t>with</w:t>
      </w:r>
      <w:r w:rsidR="00672AAC" w:rsidRPr="00E37FBE">
        <w:rPr>
          <w:u w:val="none"/>
        </w:rPr>
        <w:t xml:space="preserve"> point</w:t>
      </w:r>
      <w:r w:rsidR="008509FB" w:rsidRPr="00E37FBE">
        <w:rPr>
          <w:u w:val="none"/>
        </w:rPr>
        <w:t xml:space="preserve"> 1</w:t>
      </w:r>
      <w:r w:rsidR="00D30BA0" w:rsidRPr="00E37FBE">
        <w:rPr>
          <w:u w:val="none"/>
        </w:rPr>
        <w:t>2</w:t>
      </w:r>
      <w:r w:rsidR="008509FB" w:rsidRPr="00E37FBE">
        <w:rPr>
          <w:u w:val="none"/>
        </w:rPr>
        <w:t xml:space="preserve"> of Annex </w:t>
      </w:r>
      <w:r w:rsidR="00D30BA0" w:rsidRPr="00E37FBE">
        <w:rPr>
          <w:u w:val="none"/>
        </w:rPr>
        <w:t>XX</w:t>
      </w:r>
      <w:r w:rsidR="00606AA5" w:rsidRPr="00E37FBE">
        <w:rPr>
          <w:u w:val="none"/>
        </w:rPr>
        <w:t>III</w:t>
      </w:r>
      <w:r w:rsidR="008509FB" w:rsidRPr="00E37FBE">
        <w:rPr>
          <w:u w:val="none"/>
        </w:rPr>
        <w:t xml:space="preserve">. This means that in case </w:t>
      </w:r>
      <w:r w:rsidR="00895D8D" w:rsidRPr="00E37FBE">
        <w:rPr>
          <w:u w:val="none"/>
        </w:rPr>
        <w:t xml:space="preserve">of </w:t>
      </w:r>
      <w:r w:rsidR="008509FB" w:rsidRPr="00E37FBE">
        <w:rPr>
          <w:u w:val="none"/>
        </w:rPr>
        <w:t>optionality</w:t>
      </w:r>
      <w:r w:rsidR="00895D8D" w:rsidRPr="00E37FBE">
        <w:rPr>
          <w:u w:val="none"/>
        </w:rPr>
        <w:t xml:space="preserve"> such</w:t>
      </w:r>
      <w:r w:rsidR="008509FB" w:rsidRPr="00E37FBE">
        <w:rPr>
          <w:u w:val="none"/>
        </w:rPr>
        <w:t xml:space="preserve"> as in</w:t>
      </w:r>
      <w:r w:rsidR="00895D8D" w:rsidRPr="00E37FBE">
        <w:rPr>
          <w:u w:val="none"/>
        </w:rPr>
        <w:t xml:space="preserve"> the case of</w:t>
      </w:r>
      <w:r w:rsidR="008509FB" w:rsidRPr="00E37FBE">
        <w:rPr>
          <w:u w:val="none"/>
        </w:rPr>
        <w:t xml:space="preserve"> </w:t>
      </w:r>
      <w:r w:rsidR="00672AAC" w:rsidRPr="00E37FBE">
        <w:rPr>
          <w:u w:val="none"/>
        </w:rPr>
        <w:t xml:space="preserve">point </w:t>
      </w:r>
      <w:r w:rsidR="008509FB" w:rsidRPr="00E37FBE">
        <w:rPr>
          <w:u w:val="none"/>
        </w:rPr>
        <w:t>1</w:t>
      </w:r>
      <w:r w:rsidR="00895D8D" w:rsidRPr="00E37FBE">
        <w:rPr>
          <w:u w:val="none"/>
        </w:rPr>
        <w:t>2</w:t>
      </w:r>
      <w:r w:rsidR="008509FB" w:rsidRPr="00E37FBE">
        <w:rPr>
          <w:u w:val="none"/>
        </w:rPr>
        <w:t xml:space="preserve"> of Annex </w:t>
      </w:r>
      <w:r w:rsidR="00895D8D" w:rsidRPr="00E37FBE">
        <w:rPr>
          <w:u w:val="none"/>
        </w:rPr>
        <w:t>XX</w:t>
      </w:r>
      <w:r w:rsidR="00606AA5" w:rsidRPr="00E37FBE">
        <w:rPr>
          <w:u w:val="none"/>
        </w:rPr>
        <w:t>III</w:t>
      </w:r>
      <w:r w:rsidR="008509FB" w:rsidRPr="00E37FBE">
        <w:rPr>
          <w:u w:val="none"/>
        </w:rPr>
        <w:t xml:space="preserve">, the original maturity of </w:t>
      </w:r>
      <w:r w:rsidR="00223CEB" w:rsidRPr="00E37FBE">
        <w:rPr>
          <w:u w:val="none"/>
        </w:rPr>
        <w:t xml:space="preserve">a </w:t>
      </w:r>
      <w:r w:rsidR="008509FB" w:rsidRPr="00E37FBE">
        <w:rPr>
          <w:u w:val="none"/>
        </w:rPr>
        <w:t>funding</w:t>
      </w:r>
      <w:r w:rsidR="00223CEB" w:rsidRPr="00E37FBE">
        <w:rPr>
          <w:u w:val="none"/>
        </w:rPr>
        <w:t xml:space="preserve"> item</w:t>
      </w:r>
      <w:r w:rsidR="008509FB" w:rsidRPr="00E37FBE">
        <w:rPr>
          <w:u w:val="none"/>
        </w:rPr>
        <w:t xml:space="preserve"> </w:t>
      </w:r>
      <w:r w:rsidR="00027E58" w:rsidRPr="00E37FBE">
        <w:rPr>
          <w:u w:val="none"/>
        </w:rPr>
        <w:t xml:space="preserve">can be </w:t>
      </w:r>
      <w:r w:rsidR="008509FB" w:rsidRPr="00E37FBE">
        <w:rPr>
          <w:u w:val="none"/>
        </w:rPr>
        <w:t xml:space="preserve">shorter than the </w:t>
      </w:r>
      <w:r w:rsidR="00223CEB" w:rsidRPr="00E37FBE">
        <w:rPr>
          <w:u w:val="none"/>
        </w:rPr>
        <w:t>time</w:t>
      </w:r>
      <w:r w:rsidR="00895D8D" w:rsidRPr="00E37FBE">
        <w:rPr>
          <w:u w:val="none"/>
        </w:rPr>
        <w:t xml:space="preserve"> elapsed since its origination</w:t>
      </w:r>
      <w:r w:rsidR="008509FB" w:rsidRPr="00E37FBE">
        <w:rPr>
          <w:u w:val="none"/>
        </w:rPr>
        <w:t xml:space="preserve">. </w:t>
      </w:r>
    </w:p>
    <w:p w14:paraId="4FA59274" w14:textId="21EF3C98" w:rsidR="00A344AA" w:rsidRPr="00E37FBE" w:rsidRDefault="00A344AA" w:rsidP="00927DCB">
      <w:pPr>
        <w:pStyle w:val="InstructionsText2"/>
        <w:numPr>
          <w:ilvl w:val="0"/>
          <w:numId w:val="4"/>
        </w:numPr>
        <w:rPr>
          <w:u w:val="none"/>
        </w:rPr>
      </w:pPr>
      <w:r w:rsidRPr="00E37FBE">
        <w:rPr>
          <w:u w:val="none"/>
        </w:rPr>
        <w:t xml:space="preserve">Residual maturity </w:t>
      </w:r>
      <w:r w:rsidR="00D30BA0" w:rsidRPr="00E37FBE">
        <w:rPr>
          <w:u w:val="none"/>
        </w:rPr>
        <w:t xml:space="preserve">shall </w:t>
      </w:r>
      <w:r w:rsidRPr="00E37FBE">
        <w:rPr>
          <w:u w:val="none"/>
        </w:rPr>
        <w:t xml:space="preserve">represent the time between the end of the reporting period and the date of maturity of </w:t>
      </w:r>
      <w:r w:rsidR="008509FB" w:rsidRPr="00E37FBE">
        <w:rPr>
          <w:u w:val="none"/>
        </w:rPr>
        <w:t>funding</w:t>
      </w:r>
      <w:r w:rsidRPr="00E37FBE">
        <w:rPr>
          <w:u w:val="none"/>
        </w:rPr>
        <w:t>.</w:t>
      </w:r>
      <w:r w:rsidR="008509FB" w:rsidRPr="00E37FBE">
        <w:rPr>
          <w:u w:val="none"/>
        </w:rPr>
        <w:t xml:space="preserve"> The date of the maturity of the funding shall be determined in </w:t>
      </w:r>
      <w:r w:rsidR="00D30BA0" w:rsidRPr="00E37FBE">
        <w:rPr>
          <w:u w:val="none"/>
        </w:rPr>
        <w:t xml:space="preserve">accordance </w:t>
      </w:r>
      <w:r w:rsidR="008509FB" w:rsidRPr="00E37FBE">
        <w:rPr>
          <w:u w:val="none"/>
        </w:rPr>
        <w:t>with</w:t>
      </w:r>
      <w:r w:rsidR="00672AAC" w:rsidRPr="00E37FBE">
        <w:rPr>
          <w:u w:val="none"/>
        </w:rPr>
        <w:t xml:space="preserve"> point </w:t>
      </w:r>
      <w:r w:rsidR="008509FB" w:rsidRPr="00E37FBE">
        <w:rPr>
          <w:u w:val="none"/>
        </w:rPr>
        <w:t>1</w:t>
      </w:r>
      <w:r w:rsidR="00D30BA0" w:rsidRPr="00E37FBE">
        <w:rPr>
          <w:u w:val="none"/>
        </w:rPr>
        <w:t>2</w:t>
      </w:r>
      <w:r w:rsidR="008509FB" w:rsidRPr="00E37FBE">
        <w:rPr>
          <w:u w:val="none"/>
        </w:rPr>
        <w:t xml:space="preserve"> of Annex </w:t>
      </w:r>
      <w:r w:rsidR="00D30BA0" w:rsidRPr="00E37FBE">
        <w:rPr>
          <w:u w:val="none"/>
        </w:rPr>
        <w:t>XX</w:t>
      </w:r>
      <w:r w:rsidR="00606AA5" w:rsidRPr="00E37FBE">
        <w:rPr>
          <w:u w:val="none"/>
        </w:rPr>
        <w:t>III.</w:t>
      </w:r>
    </w:p>
    <w:p w14:paraId="1DF04682" w14:textId="743926F7" w:rsidR="007462FE" w:rsidRPr="00E37FBE" w:rsidRDefault="007462FE" w:rsidP="00927DCB">
      <w:pPr>
        <w:pStyle w:val="InstructionsText2"/>
        <w:numPr>
          <w:ilvl w:val="0"/>
          <w:numId w:val="4"/>
        </w:numPr>
        <w:rPr>
          <w:u w:val="none"/>
        </w:rPr>
      </w:pPr>
      <w:r w:rsidRPr="00E37FBE">
        <w:rPr>
          <w:u w:val="none"/>
        </w:rPr>
        <w:t xml:space="preserve">For the purposes of calculating </w:t>
      </w:r>
      <w:r w:rsidR="00D30BA0" w:rsidRPr="00E37FBE">
        <w:rPr>
          <w:u w:val="none"/>
        </w:rPr>
        <w:t xml:space="preserve">the </w:t>
      </w:r>
      <w:r w:rsidRPr="00E37FBE">
        <w:rPr>
          <w:u w:val="none"/>
        </w:rPr>
        <w:t>original or residual weighted average maturity, deposits maturing overnight</w:t>
      </w:r>
      <w:r w:rsidR="008E720B" w:rsidRPr="00E37FBE">
        <w:rPr>
          <w:u w:val="none"/>
        </w:rPr>
        <w:t xml:space="preserve"> or funding of any type with open maturity </w:t>
      </w:r>
      <w:r w:rsidR="00D30BA0" w:rsidRPr="00E37FBE">
        <w:rPr>
          <w:u w:val="none"/>
        </w:rPr>
        <w:t xml:space="preserve">shall be considered to </w:t>
      </w:r>
      <w:r w:rsidRPr="00E37FBE">
        <w:rPr>
          <w:u w:val="none"/>
        </w:rPr>
        <w:t xml:space="preserve">have a </w:t>
      </w:r>
      <w:r w:rsidR="00895D8D" w:rsidRPr="00E37FBE">
        <w:rPr>
          <w:u w:val="none"/>
        </w:rPr>
        <w:t>one</w:t>
      </w:r>
      <w:r w:rsidRPr="00E37FBE">
        <w:rPr>
          <w:u w:val="none"/>
        </w:rPr>
        <w:t xml:space="preserve"> day maturity.</w:t>
      </w:r>
    </w:p>
    <w:p w14:paraId="25CD9EF4" w14:textId="173EC59C" w:rsidR="007462FE" w:rsidRPr="00E37FBE" w:rsidRDefault="007462FE" w:rsidP="00927DCB">
      <w:pPr>
        <w:pStyle w:val="InstructionsText2"/>
        <w:numPr>
          <w:ilvl w:val="0"/>
          <w:numId w:val="4"/>
        </w:numPr>
        <w:rPr>
          <w:u w:val="none"/>
        </w:rPr>
      </w:pPr>
      <w:r w:rsidRPr="00E37FBE">
        <w:rPr>
          <w:u w:val="none"/>
        </w:rPr>
        <w:t xml:space="preserve">For </w:t>
      </w:r>
      <w:r w:rsidR="00D30BA0" w:rsidRPr="00E37FBE">
        <w:rPr>
          <w:u w:val="none"/>
        </w:rPr>
        <w:t xml:space="preserve">the purposes of calculating the original and residual maturity, where there is </w:t>
      </w:r>
      <w:r w:rsidRPr="00E37FBE">
        <w:rPr>
          <w:u w:val="none"/>
        </w:rPr>
        <w:t xml:space="preserve">funding with a notice period or a cancellation </w:t>
      </w:r>
      <w:r w:rsidR="00D30BA0" w:rsidRPr="00E37FBE">
        <w:rPr>
          <w:u w:val="none"/>
        </w:rPr>
        <w:t>or</w:t>
      </w:r>
      <w:r w:rsidRPr="00E37FBE">
        <w:rPr>
          <w:u w:val="none"/>
        </w:rPr>
        <w:t xml:space="preserve"> early withdrawal clause</w:t>
      </w:r>
      <w:r w:rsidR="00D30BA0" w:rsidRPr="00E37FBE">
        <w:rPr>
          <w:u w:val="none"/>
        </w:rPr>
        <w:t xml:space="preserve"> for the institution’s counterparty,</w:t>
      </w:r>
      <w:r w:rsidR="005C26CD" w:rsidRPr="00E37FBE">
        <w:rPr>
          <w:u w:val="none"/>
        </w:rPr>
        <w:t xml:space="preserve"> </w:t>
      </w:r>
      <w:r w:rsidRPr="00E37FBE">
        <w:rPr>
          <w:u w:val="none"/>
        </w:rPr>
        <w:t>a withdrawal at the first possible date shall be assumed.</w:t>
      </w:r>
    </w:p>
    <w:p w14:paraId="2B81E2EC" w14:textId="4651096B" w:rsidR="00A344AA" w:rsidRPr="00E37FBE" w:rsidRDefault="00A344AA" w:rsidP="00927DCB">
      <w:pPr>
        <w:pStyle w:val="InstructionsText2"/>
        <w:numPr>
          <w:ilvl w:val="0"/>
          <w:numId w:val="4"/>
        </w:numPr>
        <w:rPr>
          <w:u w:val="none"/>
        </w:rPr>
      </w:pPr>
      <w:r w:rsidRPr="00E37FBE">
        <w:rPr>
          <w:u w:val="none"/>
        </w:rPr>
        <w:t>For perpetual liabilities</w:t>
      </w:r>
      <w:r w:rsidR="008509FB" w:rsidRPr="00E37FBE">
        <w:rPr>
          <w:u w:val="none"/>
        </w:rPr>
        <w:t xml:space="preserve">, except where subject to optionality as </w:t>
      </w:r>
      <w:r w:rsidR="00D30BA0" w:rsidRPr="00E37FBE">
        <w:rPr>
          <w:u w:val="none"/>
        </w:rPr>
        <w:t>referred to</w:t>
      </w:r>
      <w:r w:rsidR="008509FB" w:rsidRPr="00E37FBE">
        <w:rPr>
          <w:u w:val="none"/>
        </w:rPr>
        <w:t xml:space="preserve"> in </w:t>
      </w:r>
      <w:r w:rsidR="00672AAC" w:rsidRPr="00E37FBE">
        <w:rPr>
          <w:u w:val="none"/>
        </w:rPr>
        <w:t>point</w:t>
      </w:r>
      <w:r w:rsidR="008509FB" w:rsidRPr="00E37FBE">
        <w:rPr>
          <w:u w:val="none"/>
        </w:rPr>
        <w:t>1</w:t>
      </w:r>
      <w:r w:rsidR="00D30BA0" w:rsidRPr="00E37FBE">
        <w:rPr>
          <w:u w:val="none"/>
        </w:rPr>
        <w:t xml:space="preserve">2 </w:t>
      </w:r>
      <w:r w:rsidR="008509FB" w:rsidRPr="00E37FBE">
        <w:rPr>
          <w:u w:val="none"/>
        </w:rPr>
        <w:t xml:space="preserve">of Annex </w:t>
      </w:r>
      <w:r w:rsidR="00D30BA0" w:rsidRPr="00E37FBE">
        <w:rPr>
          <w:u w:val="none"/>
        </w:rPr>
        <w:t>XXIII,</w:t>
      </w:r>
      <w:r w:rsidRPr="00E37FBE">
        <w:rPr>
          <w:u w:val="none"/>
        </w:rPr>
        <w:t xml:space="preserve"> a fixed </w:t>
      </w:r>
      <w:r w:rsidR="006B2EB0" w:rsidRPr="00E37FBE">
        <w:rPr>
          <w:u w:val="none"/>
        </w:rPr>
        <w:t>20</w:t>
      </w:r>
      <w:r w:rsidRPr="00E37FBE">
        <w:rPr>
          <w:u w:val="none"/>
        </w:rPr>
        <w:t xml:space="preserve"> years</w:t>
      </w:r>
      <w:r w:rsidR="008509FB" w:rsidRPr="00E37FBE">
        <w:rPr>
          <w:u w:val="none"/>
        </w:rPr>
        <w:t xml:space="preserve"> original and residual</w:t>
      </w:r>
      <w:r w:rsidRPr="00E37FBE">
        <w:rPr>
          <w:u w:val="none"/>
        </w:rPr>
        <w:t xml:space="preserve"> maturity shall be assumed.</w:t>
      </w:r>
    </w:p>
    <w:p w14:paraId="30EB5133" w14:textId="05E31F69" w:rsidR="00A344AA" w:rsidRPr="00E37FBE" w:rsidRDefault="00A344AA" w:rsidP="00927DCB">
      <w:pPr>
        <w:pStyle w:val="InstructionsText2"/>
        <w:numPr>
          <w:ilvl w:val="0"/>
          <w:numId w:val="4"/>
        </w:numPr>
        <w:rPr>
          <w:u w:val="none"/>
        </w:rPr>
      </w:pPr>
      <w:r w:rsidRPr="00E37FBE">
        <w:rPr>
          <w:u w:val="none"/>
        </w:rPr>
        <w:t xml:space="preserve">For calculating the </w:t>
      </w:r>
      <w:r w:rsidR="00811DBC" w:rsidRPr="00E37FBE">
        <w:rPr>
          <w:u w:val="none"/>
        </w:rPr>
        <w:t xml:space="preserve">percentage </w:t>
      </w:r>
      <w:r w:rsidRPr="00E37FBE">
        <w:rPr>
          <w:u w:val="none"/>
        </w:rPr>
        <w:t xml:space="preserve">threshold </w:t>
      </w:r>
      <w:r w:rsidR="00811DBC" w:rsidRPr="00E37FBE">
        <w:rPr>
          <w:u w:val="none"/>
        </w:rPr>
        <w:t xml:space="preserve">referred to in </w:t>
      </w:r>
      <w:r w:rsidRPr="00E37FBE">
        <w:rPr>
          <w:u w:val="none"/>
        </w:rPr>
        <w:t>templates C 67.00</w:t>
      </w:r>
      <w:r w:rsidR="00AE6CE2">
        <w:rPr>
          <w:u w:val="none"/>
        </w:rPr>
        <w:t xml:space="preserve"> </w:t>
      </w:r>
      <w:r w:rsidRPr="00E37FBE">
        <w:rPr>
          <w:u w:val="none"/>
        </w:rPr>
        <w:t xml:space="preserve">by significant currency, institutions shall use a threshold of 1 % of total </w:t>
      </w:r>
      <w:r w:rsidR="00AE0498" w:rsidRPr="00E37FBE">
        <w:rPr>
          <w:u w:val="none"/>
        </w:rPr>
        <w:t>liabilities</w:t>
      </w:r>
      <w:r w:rsidR="00422131" w:rsidRPr="00E37FBE">
        <w:rPr>
          <w:u w:val="none"/>
        </w:rPr>
        <w:t xml:space="preserve"> </w:t>
      </w:r>
      <w:r w:rsidRPr="00E37FBE">
        <w:rPr>
          <w:u w:val="none"/>
        </w:rPr>
        <w:t>in all currencies</w:t>
      </w:r>
      <w:r w:rsidR="004D4244" w:rsidRPr="00E37FBE">
        <w:rPr>
          <w:u w:val="none"/>
        </w:rPr>
        <w:t>.</w:t>
      </w:r>
    </w:p>
    <w:p w14:paraId="0E1E0ED8" w14:textId="77777777" w:rsidR="00A344AA" w:rsidRPr="00E37FBE" w:rsidRDefault="00A344AA" w:rsidP="00A344AA">
      <w:pPr>
        <w:pStyle w:val="Instructionsberschrift2"/>
        <w:numPr>
          <w:ilvl w:val="1"/>
          <w:numId w:val="2"/>
        </w:numPr>
        <w:spacing w:before="0"/>
        <w:rPr>
          <w:rFonts w:ascii="Times New Roman" w:hAnsi="Times New Roman" w:cs="Times New Roman"/>
          <w:szCs w:val="20"/>
        </w:rPr>
      </w:pPr>
      <w:r w:rsidRPr="00E37FBE">
        <w:rPr>
          <w:rFonts w:ascii="Times New Roman" w:hAnsi="Times New Roman" w:cs="Times New Roman"/>
          <w:szCs w:val="20"/>
        </w:rPr>
        <w:t>Concentration of funding by counterparty (C 67.00)</w:t>
      </w:r>
    </w:p>
    <w:p w14:paraId="322C1A75" w14:textId="2DE3271D" w:rsidR="00A344AA" w:rsidRPr="00E37FBE" w:rsidRDefault="00490B62" w:rsidP="00CC3091">
      <w:pPr>
        <w:pStyle w:val="InstructionsText2"/>
        <w:numPr>
          <w:ilvl w:val="0"/>
          <w:numId w:val="6"/>
        </w:numPr>
        <w:rPr>
          <w:u w:val="none"/>
        </w:rPr>
      </w:pPr>
      <w:r w:rsidRPr="00E37FBE">
        <w:rPr>
          <w:u w:val="none"/>
        </w:rPr>
        <w:t xml:space="preserve">In order </w:t>
      </w:r>
      <w:r w:rsidR="00A344AA" w:rsidRPr="00E37FBE">
        <w:rPr>
          <w:u w:val="none"/>
        </w:rPr>
        <w:t>to collect information about the reporting institutions’ concentration of funding by counterparty</w:t>
      </w:r>
      <w:r w:rsidRPr="00E37FBE">
        <w:rPr>
          <w:u w:val="none"/>
        </w:rPr>
        <w:t xml:space="preserve"> in template C 67.00, institutions shall apply the instructions contained in this </w:t>
      </w:r>
      <w:r w:rsidR="005E719C" w:rsidRPr="00E37FBE">
        <w:rPr>
          <w:u w:val="none"/>
        </w:rPr>
        <w:t>S</w:t>
      </w:r>
      <w:r w:rsidR="00B36E31" w:rsidRPr="00E37FBE">
        <w:rPr>
          <w:u w:val="none"/>
        </w:rPr>
        <w:t>ection</w:t>
      </w:r>
      <w:r w:rsidR="00A344AA" w:rsidRPr="00E37FBE">
        <w:rPr>
          <w:u w:val="none"/>
        </w:rPr>
        <w:t>.</w:t>
      </w:r>
    </w:p>
    <w:p w14:paraId="52091F90" w14:textId="0B7A17FD" w:rsidR="00A344AA" w:rsidRPr="00E37FBE" w:rsidRDefault="00A344AA" w:rsidP="00CC3091">
      <w:pPr>
        <w:pStyle w:val="InstructionsText2"/>
        <w:numPr>
          <w:ilvl w:val="0"/>
          <w:numId w:val="6"/>
        </w:numPr>
        <w:rPr>
          <w:u w:val="none"/>
        </w:rPr>
      </w:pPr>
      <w:r w:rsidRPr="00E37FBE">
        <w:rPr>
          <w:u w:val="none"/>
        </w:rPr>
        <w:t xml:space="preserve">Institutions shall report the top ten largest counterparties or a group of connected clients </w:t>
      </w:r>
      <w:r w:rsidR="006B2EB0" w:rsidRPr="00E37FBE">
        <w:rPr>
          <w:u w:val="none"/>
        </w:rPr>
        <w:t>as</w:t>
      </w:r>
      <w:r w:rsidR="00811DBC" w:rsidRPr="00E37FBE">
        <w:rPr>
          <w:u w:val="none"/>
        </w:rPr>
        <w:t xml:space="preserve"> defined in</w:t>
      </w:r>
      <w:r w:rsidRPr="00E37FBE">
        <w:rPr>
          <w:u w:val="none"/>
        </w:rPr>
        <w:t xml:space="preserve"> </w:t>
      </w:r>
      <w:r w:rsidR="006B2EB0" w:rsidRPr="00E37FBE">
        <w:rPr>
          <w:u w:val="none"/>
        </w:rPr>
        <w:t xml:space="preserve">Article 4(1), </w:t>
      </w:r>
      <w:r w:rsidR="005B086D" w:rsidRPr="00E37FBE">
        <w:rPr>
          <w:u w:val="none"/>
        </w:rPr>
        <w:t>point (39)</w:t>
      </w:r>
      <w:r w:rsidR="006B2EB0" w:rsidRPr="00E37FBE">
        <w:rPr>
          <w:u w:val="none"/>
        </w:rPr>
        <w:t>,</w:t>
      </w:r>
      <w:r w:rsidR="005B086D" w:rsidRPr="00E37FBE">
        <w:rPr>
          <w:u w:val="none"/>
        </w:rPr>
        <w:t xml:space="preserve"> </w:t>
      </w:r>
      <w:r w:rsidRPr="00E37FBE">
        <w:rPr>
          <w:u w:val="none"/>
        </w:rPr>
        <w:t xml:space="preserve">of </w:t>
      </w:r>
      <w:r w:rsidR="00FD37BD" w:rsidRPr="00E37FBE">
        <w:rPr>
          <w:u w:val="none"/>
        </w:rPr>
        <w:t xml:space="preserve">Regulation </w:t>
      </w:r>
      <w:r w:rsidR="00047A6F" w:rsidRPr="00E37FBE">
        <w:rPr>
          <w:u w:val="none"/>
        </w:rPr>
        <w:t xml:space="preserve">(EU) No </w:t>
      </w:r>
      <w:r w:rsidR="00584FCE" w:rsidRPr="00E37FBE">
        <w:rPr>
          <w:u w:val="none"/>
        </w:rPr>
        <w:t>575</w:t>
      </w:r>
      <w:r w:rsidR="00FD37BD" w:rsidRPr="00E37FBE">
        <w:rPr>
          <w:u w:val="none"/>
        </w:rPr>
        <w:t>/2013</w:t>
      </w:r>
      <w:r w:rsidR="00895D8D" w:rsidRPr="00E37FBE">
        <w:rPr>
          <w:u w:val="none"/>
        </w:rPr>
        <w:t>,</w:t>
      </w:r>
      <w:r w:rsidR="00FD37BD" w:rsidRPr="00E37FBE">
        <w:rPr>
          <w:u w:val="none"/>
        </w:rPr>
        <w:t xml:space="preserve"> </w:t>
      </w:r>
      <w:r w:rsidR="00895D8D" w:rsidRPr="00E37FBE">
        <w:rPr>
          <w:u w:val="none"/>
        </w:rPr>
        <w:t>where the</w:t>
      </w:r>
      <w:r w:rsidRPr="00E37FBE">
        <w:rPr>
          <w:u w:val="none"/>
        </w:rPr>
        <w:t xml:space="preserve"> funding obtained from each counterparty</w:t>
      </w:r>
      <w:r w:rsidR="00895D8D" w:rsidRPr="00E37FBE">
        <w:rPr>
          <w:u w:val="none"/>
        </w:rPr>
        <w:t xml:space="preserve"> or group of connected clients</w:t>
      </w:r>
      <w:r w:rsidRPr="00E37FBE">
        <w:rPr>
          <w:u w:val="none"/>
        </w:rPr>
        <w:t xml:space="preserve"> exceeds a threshold of 1</w:t>
      </w:r>
      <w:r w:rsidR="005E719C" w:rsidRPr="00E37FBE">
        <w:rPr>
          <w:u w:val="none"/>
        </w:rPr>
        <w:t> </w:t>
      </w:r>
      <w:r w:rsidRPr="00E37FBE">
        <w:rPr>
          <w:u w:val="none"/>
        </w:rPr>
        <w:t xml:space="preserve">% of total </w:t>
      </w:r>
      <w:r w:rsidR="00193B6D" w:rsidRPr="00E37FBE">
        <w:rPr>
          <w:u w:val="none"/>
        </w:rPr>
        <w:t>liabilities</w:t>
      </w:r>
      <w:r w:rsidR="00422131" w:rsidRPr="00E37FBE">
        <w:rPr>
          <w:u w:val="none"/>
        </w:rPr>
        <w:t xml:space="preserve"> </w:t>
      </w:r>
      <w:r w:rsidRPr="00E37FBE">
        <w:rPr>
          <w:u w:val="none"/>
        </w:rPr>
        <w:t xml:space="preserve">in </w:t>
      </w:r>
      <w:r w:rsidR="00811DBC" w:rsidRPr="00E37FBE">
        <w:rPr>
          <w:u w:val="none"/>
        </w:rPr>
        <w:t xml:space="preserve">rows 020 to 110 </w:t>
      </w:r>
      <w:r w:rsidRPr="00E37FBE">
        <w:rPr>
          <w:u w:val="none"/>
        </w:rPr>
        <w:t xml:space="preserve">of </w:t>
      </w:r>
      <w:r w:rsidR="005E719C" w:rsidRPr="00E37FBE">
        <w:rPr>
          <w:u w:val="none"/>
        </w:rPr>
        <w:t>S</w:t>
      </w:r>
      <w:r w:rsidRPr="00E37FBE">
        <w:rPr>
          <w:u w:val="none"/>
        </w:rPr>
        <w:t xml:space="preserve">ection 1 of the template. The counterparty reported in item 1.01 shall be the largest amount of funding received from one counterparty </w:t>
      </w:r>
      <w:r w:rsidR="00E067B1" w:rsidRPr="00E37FBE">
        <w:rPr>
          <w:u w:val="none"/>
        </w:rPr>
        <w:t>or group of connected clients</w:t>
      </w:r>
      <w:r w:rsidR="005E719C" w:rsidRPr="00E37FBE">
        <w:rPr>
          <w:u w:val="none"/>
        </w:rPr>
        <w:t>,</w:t>
      </w:r>
      <w:r w:rsidR="00E067B1" w:rsidRPr="00E37FBE">
        <w:rPr>
          <w:u w:val="none"/>
        </w:rPr>
        <w:t xml:space="preserve"> </w:t>
      </w:r>
      <w:r w:rsidRPr="00E37FBE">
        <w:rPr>
          <w:u w:val="none"/>
        </w:rPr>
        <w:t>which is above the 1</w:t>
      </w:r>
      <w:r w:rsidR="005E719C" w:rsidRPr="00E37FBE">
        <w:rPr>
          <w:u w:val="none"/>
        </w:rPr>
        <w:t> </w:t>
      </w:r>
      <w:r w:rsidRPr="00E37FBE">
        <w:rPr>
          <w:u w:val="none"/>
        </w:rPr>
        <w:t>% threshold as at the reporting date</w:t>
      </w:r>
      <w:r w:rsidR="008E1DE8" w:rsidRPr="00E37FBE">
        <w:rPr>
          <w:u w:val="none"/>
        </w:rPr>
        <w:t>.</w:t>
      </w:r>
      <w:r w:rsidRPr="00E37FBE">
        <w:rPr>
          <w:u w:val="none"/>
        </w:rPr>
        <w:t xml:space="preserve"> </w:t>
      </w:r>
      <w:r w:rsidR="008E1DE8" w:rsidRPr="00E37FBE">
        <w:rPr>
          <w:u w:val="none"/>
        </w:rPr>
        <w:t>I</w:t>
      </w:r>
      <w:r w:rsidRPr="00E37FBE">
        <w:rPr>
          <w:u w:val="none"/>
        </w:rPr>
        <w:t>tem 1.02 shall be the second largest above the 1</w:t>
      </w:r>
      <w:r w:rsidR="005E719C" w:rsidRPr="00E37FBE">
        <w:rPr>
          <w:u w:val="none"/>
        </w:rPr>
        <w:t> </w:t>
      </w:r>
      <w:r w:rsidRPr="00E37FBE">
        <w:rPr>
          <w:u w:val="none"/>
        </w:rPr>
        <w:t>% threshold</w:t>
      </w:r>
      <w:r w:rsidR="008E1DE8" w:rsidRPr="00E37FBE">
        <w:rPr>
          <w:u w:val="none"/>
        </w:rPr>
        <w:t>,</w:t>
      </w:r>
      <w:r w:rsidRPr="00E37FBE">
        <w:rPr>
          <w:u w:val="none"/>
        </w:rPr>
        <w:t xml:space="preserve"> and </w:t>
      </w:r>
      <w:r w:rsidR="00895D8D" w:rsidRPr="00E37FBE">
        <w:rPr>
          <w:u w:val="none"/>
        </w:rPr>
        <w:t>similarly with the remaining items.</w:t>
      </w:r>
    </w:p>
    <w:p w14:paraId="430CAED4" w14:textId="505B6732" w:rsidR="00A344AA" w:rsidRPr="00E37FBE" w:rsidRDefault="00A344AA" w:rsidP="00CC3091">
      <w:pPr>
        <w:pStyle w:val="InstructionsText2"/>
        <w:numPr>
          <w:ilvl w:val="0"/>
          <w:numId w:val="6"/>
        </w:numPr>
        <w:rPr>
          <w:u w:val="none"/>
        </w:rPr>
      </w:pPr>
      <w:r w:rsidRPr="00E37FBE">
        <w:rPr>
          <w:u w:val="none"/>
        </w:rPr>
        <w:lastRenderedPageBreak/>
        <w:t>Whe</w:t>
      </w:r>
      <w:r w:rsidR="00FA63BD" w:rsidRPr="00E37FBE">
        <w:rPr>
          <w:u w:val="none"/>
        </w:rPr>
        <w:t>re</w:t>
      </w:r>
      <w:r w:rsidRPr="00E37FBE">
        <w:rPr>
          <w:u w:val="none"/>
        </w:rPr>
        <w:t xml:space="preserve"> a </w:t>
      </w:r>
      <w:r w:rsidR="00895D8D" w:rsidRPr="00E37FBE">
        <w:rPr>
          <w:u w:val="none"/>
        </w:rPr>
        <w:t xml:space="preserve">counterparty </w:t>
      </w:r>
      <w:r w:rsidRPr="00E37FBE">
        <w:rPr>
          <w:u w:val="none"/>
        </w:rPr>
        <w:t xml:space="preserve">belongs to several groups of connected clients, it shall be reported only once in the group with </w:t>
      </w:r>
      <w:r w:rsidR="00422131" w:rsidRPr="00E37FBE">
        <w:rPr>
          <w:u w:val="none"/>
        </w:rPr>
        <w:t xml:space="preserve">the </w:t>
      </w:r>
      <w:r w:rsidRPr="00E37FBE">
        <w:rPr>
          <w:u w:val="none"/>
        </w:rPr>
        <w:t>highe</w:t>
      </w:r>
      <w:r w:rsidR="00895D8D" w:rsidRPr="00E37FBE">
        <w:rPr>
          <w:u w:val="none"/>
        </w:rPr>
        <w:t>st</w:t>
      </w:r>
      <w:r w:rsidR="00422131" w:rsidRPr="00E37FBE">
        <w:rPr>
          <w:u w:val="none"/>
        </w:rPr>
        <w:t xml:space="preserve"> amount of</w:t>
      </w:r>
      <w:r w:rsidRPr="00E37FBE">
        <w:rPr>
          <w:u w:val="none"/>
        </w:rPr>
        <w:t xml:space="preserve"> </w:t>
      </w:r>
      <w:r w:rsidR="00422131" w:rsidRPr="00E37FBE">
        <w:rPr>
          <w:u w:val="none"/>
        </w:rPr>
        <w:t>funding</w:t>
      </w:r>
      <w:r w:rsidRPr="00E37FBE">
        <w:rPr>
          <w:u w:val="none"/>
        </w:rPr>
        <w:t xml:space="preserve">. </w:t>
      </w:r>
    </w:p>
    <w:p w14:paraId="589BDAD9" w14:textId="65F70951" w:rsidR="00A344AA" w:rsidRPr="00E37FBE" w:rsidRDefault="00A344AA" w:rsidP="00381AA0">
      <w:pPr>
        <w:pStyle w:val="InstructionsText2"/>
        <w:numPr>
          <w:ilvl w:val="0"/>
          <w:numId w:val="6"/>
        </w:numPr>
        <w:rPr>
          <w:u w:val="none"/>
        </w:rPr>
      </w:pPr>
      <w:r w:rsidRPr="00E37FBE">
        <w:rPr>
          <w:u w:val="none"/>
        </w:rPr>
        <w:t xml:space="preserve">Institutions shall report the total of all other remaining </w:t>
      </w:r>
      <w:r w:rsidR="00422131" w:rsidRPr="00E37FBE">
        <w:rPr>
          <w:u w:val="none"/>
        </w:rPr>
        <w:t xml:space="preserve">funding </w:t>
      </w:r>
      <w:r w:rsidRPr="00E37FBE">
        <w:rPr>
          <w:u w:val="none"/>
        </w:rPr>
        <w:t xml:space="preserve">in </w:t>
      </w:r>
      <w:r w:rsidR="005E719C" w:rsidRPr="00E37FBE">
        <w:rPr>
          <w:u w:val="none"/>
        </w:rPr>
        <w:t>S</w:t>
      </w:r>
      <w:r w:rsidRPr="00E37FBE">
        <w:rPr>
          <w:u w:val="none"/>
        </w:rPr>
        <w:t>ection 2</w:t>
      </w:r>
    </w:p>
    <w:p w14:paraId="6E279CE2" w14:textId="1CC30DEB" w:rsidR="00A344AA" w:rsidRPr="00E37FBE" w:rsidRDefault="00A344AA" w:rsidP="00927DCB">
      <w:pPr>
        <w:pStyle w:val="InstructionsText2"/>
        <w:numPr>
          <w:ilvl w:val="0"/>
          <w:numId w:val="6"/>
        </w:numPr>
        <w:rPr>
          <w:u w:val="none"/>
        </w:rPr>
      </w:pPr>
      <w:r w:rsidRPr="00E37FBE">
        <w:rPr>
          <w:u w:val="none"/>
        </w:rPr>
        <w:t xml:space="preserve">The </w:t>
      </w:r>
      <w:r w:rsidR="005A1A44" w:rsidRPr="00E37FBE">
        <w:rPr>
          <w:u w:val="none"/>
        </w:rPr>
        <w:t>sum</w:t>
      </w:r>
      <w:r w:rsidRPr="00E37FBE">
        <w:rPr>
          <w:u w:val="none"/>
        </w:rPr>
        <w:t xml:space="preserve"> of </w:t>
      </w:r>
      <w:r w:rsidR="005E719C" w:rsidRPr="00E37FBE">
        <w:rPr>
          <w:u w:val="none"/>
        </w:rPr>
        <w:t>S</w:t>
      </w:r>
      <w:r w:rsidRPr="00E37FBE">
        <w:rPr>
          <w:u w:val="none"/>
        </w:rPr>
        <w:t>ection 1</w:t>
      </w:r>
      <w:r w:rsidR="005A1A44" w:rsidRPr="00E37FBE">
        <w:rPr>
          <w:u w:val="none"/>
        </w:rPr>
        <w:t xml:space="preserve"> (Top ten Counterparties)</w:t>
      </w:r>
      <w:r w:rsidRPr="00E37FBE">
        <w:rPr>
          <w:u w:val="none"/>
        </w:rPr>
        <w:t xml:space="preserve"> and </w:t>
      </w:r>
      <w:r w:rsidR="005E719C" w:rsidRPr="00E37FBE">
        <w:rPr>
          <w:u w:val="none"/>
        </w:rPr>
        <w:t>S</w:t>
      </w:r>
      <w:r w:rsidRPr="00E37FBE">
        <w:rPr>
          <w:u w:val="none"/>
        </w:rPr>
        <w:t>ection 2</w:t>
      </w:r>
      <w:r w:rsidR="005A1A44" w:rsidRPr="00E37FBE">
        <w:rPr>
          <w:u w:val="none"/>
        </w:rPr>
        <w:t xml:space="preserve"> (All other funding)</w:t>
      </w:r>
      <w:r w:rsidRPr="00E37FBE">
        <w:rPr>
          <w:u w:val="none"/>
        </w:rPr>
        <w:t xml:space="preserve"> shall equal an institution’s total </w:t>
      </w:r>
      <w:r w:rsidR="00422131" w:rsidRPr="00E37FBE">
        <w:rPr>
          <w:u w:val="none"/>
        </w:rPr>
        <w:t xml:space="preserve">funding </w:t>
      </w:r>
      <w:r w:rsidRPr="00E37FBE">
        <w:rPr>
          <w:u w:val="none"/>
        </w:rPr>
        <w:t>as per its balance sheet reported under the financial reporting framework (FINREP</w:t>
      </w:r>
      <w:r w:rsidR="005A1A44" w:rsidRPr="00E37FBE">
        <w:rPr>
          <w:u w:val="none"/>
        </w:rPr>
        <w:t xml:space="preserve"> - representing financial liabilities adjusted for the exclusion of derivatives and short positions, in line with </w:t>
      </w:r>
      <w:r w:rsidR="00672AAC" w:rsidRPr="00E37FBE">
        <w:rPr>
          <w:u w:val="none"/>
        </w:rPr>
        <w:t>point</w:t>
      </w:r>
      <w:r w:rsidR="005A1A44" w:rsidRPr="00E37FBE">
        <w:rPr>
          <w:u w:val="none"/>
        </w:rPr>
        <w:t xml:space="preserve">2 from </w:t>
      </w:r>
      <w:r w:rsidR="005E719C" w:rsidRPr="00E37FBE">
        <w:rPr>
          <w:u w:val="none"/>
        </w:rPr>
        <w:t>S</w:t>
      </w:r>
      <w:r w:rsidR="005A1A44" w:rsidRPr="00E37FBE">
        <w:rPr>
          <w:u w:val="none"/>
        </w:rPr>
        <w:t>ection 1.1</w:t>
      </w:r>
      <w:r w:rsidRPr="00E37FBE">
        <w:rPr>
          <w:u w:val="none"/>
        </w:rPr>
        <w:t>)</w:t>
      </w:r>
      <w:r w:rsidR="005A1A44" w:rsidRPr="00E37FBE">
        <w:rPr>
          <w:u w:val="none"/>
        </w:rPr>
        <w:t xml:space="preserve"> for those reporting periods in which both reports are available (e.g. Finrep Q1 and C 6</w:t>
      </w:r>
      <w:r w:rsidR="008E0EF1" w:rsidRPr="00E37FBE">
        <w:rPr>
          <w:u w:val="none"/>
        </w:rPr>
        <w:t>7</w:t>
      </w:r>
      <w:r w:rsidR="005A1A44" w:rsidRPr="00E37FBE">
        <w:rPr>
          <w:u w:val="none"/>
        </w:rPr>
        <w:t>.00 March/Q1)</w:t>
      </w:r>
      <w:r w:rsidRPr="00E37FBE">
        <w:rPr>
          <w:u w:val="none"/>
        </w:rPr>
        <w:t>.</w:t>
      </w:r>
    </w:p>
    <w:p w14:paraId="00BA7315" w14:textId="5EBAC99F" w:rsidR="00A344AA" w:rsidRPr="00E37FBE" w:rsidRDefault="00A344AA" w:rsidP="00927DCB">
      <w:pPr>
        <w:pStyle w:val="InstructionsText2"/>
        <w:numPr>
          <w:ilvl w:val="0"/>
          <w:numId w:val="6"/>
        </w:numPr>
        <w:rPr>
          <w:u w:val="none"/>
        </w:rPr>
      </w:pPr>
      <w:r w:rsidRPr="00E37FBE">
        <w:rPr>
          <w:u w:val="none"/>
        </w:rPr>
        <w:t>For each counterparty, institutions shall re</w:t>
      </w:r>
      <w:r w:rsidR="0087541C" w:rsidRPr="00E37FBE">
        <w:rPr>
          <w:u w:val="none"/>
        </w:rPr>
        <w:t>port</w:t>
      </w:r>
      <w:r w:rsidRPr="00E37FBE">
        <w:rPr>
          <w:u w:val="none"/>
        </w:rPr>
        <w:t xml:space="preserve"> </w:t>
      </w:r>
      <w:r w:rsidR="00FA63BD" w:rsidRPr="00E37FBE">
        <w:rPr>
          <w:u w:val="none"/>
        </w:rPr>
        <w:t xml:space="preserve">all of </w:t>
      </w:r>
      <w:r w:rsidRPr="00E37FBE">
        <w:rPr>
          <w:u w:val="none"/>
        </w:rPr>
        <w:t xml:space="preserve">the </w:t>
      </w:r>
      <w:r w:rsidR="003A2647" w:rsidRPr="00E37FBE">
        <w:rPr>
          <w:u w:val="none"/>
        </w:rPr>
        <w:t>columns 0</w:t>
      </w:r>
      <w:r w:rsidR="00C90DF5" w:rsidRPr="00E37FBE">
        <w:rPr>
          <w:u w:val="none"/>
        </w:rPr>
        <w:t>0</w:t>
      </w:r>
      <w:r w:rsidR="003A2647" w:rsidRPr="00E37FBE">
        <w:rPr>
          <w:u w:val="none"/>
        </w:rPr>
        <w:t>10 to 0</w:t>
      </w:r>
      <w:r w:rsidR="00C90DF5" w:rsidRPr="00E37FBE">
        <w:rPr>
          <w:u w:val="none"/>
        </w:rPr>
        <w:t>0</w:t>
      </w:r>
      <w:r w:rsidR="003A2647" w:rsidRPr="00E37FBE">
        <w:rPr>
          <w:u w:val="none"/>
        </w:rPr>
        <w:t>80.</w:t>
      </w:r>
    </w:p>
    <w:p w14:paraId="3425ECF0" w14:textId="65ED6564" w:rsidR="00A344AA" w:rsidRPr="00E37FBE" w:rsidRDefault="00A344AA" w:rsidP="00927DCB">
      <w:pPr>
        <w:pStyle w:val="InstructionsText2"/>
        <w:numPr>
          <w:ilvl w:val="0"/>
          <w:numId w:val="6"/>
        </w:numPr>
        <w:rPr>
          <w:u w:val="none"/>
        </w:rPr>
      </w:pPr>
      <w:r w:rsidRPr="00E37FBE">
        <w:rPr>
          <w:u w:val="none"/>
        </w:rPr>
        <w:t xml:space="preserve">Where funding is obtained in more than one product type, the type reported shall be the product in which the largest proportion of funding was obtained. </w:t>
      </w:r>
      <w:r w:rsidRPr="00E37FBE">
        <w:rPr>
          <w:u w:val="none"/>
          <w:lang w:eastAsia="fr-FR"/>
        </w:rPr>
        <w:t xml:space="preserve">Identification of the underlying holder of securities may be undertaken on a best efforts basis. Where an institution has information concerning the holder of securities </w:t>
      </w:r>
      <w:r w:rsidR="00FA63BD" w:rsidRPr="00E37FBE">
        <w:rPr>
          <w:u w:val="none"/>
          <w:lang w:eastAsia="fr-FR"/>
        </w:rPr>
        <w:t xml:space="preserve">by </w:t>
      </w:r>
      <w:r w:rsidR="00780636" w:rsidRPr="00E37FBE">
        <w:rPr>
          <w:u w:val="none"/>
          <w:lang w:eastAsia="fr-FR"/>
        </w:rPr>
        <w:t xml:space="preserve">virtue </w:t>
      </w:r>
      <w:r w:rsidR="00FA63BD" w:rsidRPr="00E37FBE">
        <w:rPr>
          <w:u w:val="none"/>
          <w:lang w:eastAsia="fr-FR"/>
        </w:rPr>
        <w:t>of</w:t>
      </w:r>
      <w:r w:rsidR="00780636" w:rsidRPr="00E37FBE">
        <w:rPr>
          <w:u w:val="none"/>
          <w:lang w:eastAsia="fr-FR"/>
        </w:rPr>
        <w:t xml:space="preserve"> its role as</w:t>
      </w:r>
      <w:r w:rsidRPr="00E37FBE">
        <w:rPr>
          <w:u w:val="none"/>
          <w:lang w:eastAsia="fr-FR"/>
        </w:rPr>
        <w:t xml:space="preserve"> the custodian bank</w:t>
      </w:r>
      <w:r w:rsidR="00FA63BD" w:rsidRPr="00E37FBE">
        <w:rPr>
          <w:u w:val="none"/>
          <w:lang w:eastAsia="fr-FR"/>
        </w:rPr>
        <w:t>,</w:t>
      </w:r>
      <w:r w:rsidRPr="00E37FBE">
        <w:rPr>
          <w:u w:val="none"/>
          <w:lang w:eastAsia="fr-FR"/>
        </w:rPr>
        <w:t xml:space="preserve"> it </w:t>
      </w:r>
      <w:r w:rsidR="00FA63BD" w:rsidRPr="00E37FBE">
        <w:rPr>
          <w:u w:val="none"/>
          <w:lang w:eastAsia="fr-FR"/>
        </w:rPr>
        <w:t xml:space="preserve">shall </w:t>
      </w:r>
      <w:r w:rsidRPr="00E37FBE">
        <w:rPr>
          <w:u w:val="none"/>
          <w:lang w:eastAsia="fr-FR"/>
        </w:rPr>
        <w:t>consider that amount for reporting the concentration of counterparties. Whe</w:t>
      </w:r>
      <w:r w:rsidR="00FA63BD" w:rsidRPr="00E37FBE">
        <w:rPr>
          <w:u w:val="none"/>
          <w:lang w:eastAsia="fr-FR"/>
        </w:rPr>
        <w:t>re</w:t>
      </w:r>
      <w:r w:rsidRPr="00E37FBE">
        <w:rPr>
          <w:u w:val="none"/>
          <w:lang w:eastAsia="fr-FR"/>
        </w:rPr>
        <w:t xml:space="preserve"> there is no information available on the holder of </w:t>
      </w:r>
      <w:r w:rsidR="00FA63BD" w:rsidRPr="00E37FBE">
        <w:rPr>
          <w:u w:val="none"/>
          <w:lang w:eastAsia="fr-FR"/>
        </w:rPr>
        <w:t xml:space="preserve">the </w:t>
      </w:r>
      <w:r w:rsidRPr="00E37FBE">
        <w:rPr>
          <w:u w:val="none"/>
          <w:lang w:eastAsia="fr-FR"/>
        </w:rPr>
        <w:t>securities</w:t>
      </w:r>
      <w:r w:rsidR="00FA63BD" w:rsidRPr="00E37FBE">
        <w:rPr>
          <w:u w:val="none"/>
          <w:lang w:eastAsia="fr-FR"/>
        </w:rPr>
        <w:t>,</w:t>
      </w:r>
      <w:r w:rsidRPr="00E37FBE">
        <w:rPr>
          <w:u w:val="none"/>
          <w:lang w:eastAsia="fr-FR"/>
        </w:rPr>
        <w:t xml:space="preserve"> the corresponding amount does not have to be reported.</w:t>
      </w:r>
    </w:p>
    <w:p w14:paraId="2DFF75CD" w14:textId="77777777" w:rsidR="00A344AA" w:rsidRPr="00E37FBE" w:rsidRDefault="00A344AA" w:rsidP="00927DCB">
      <w:pPr>
        <w:pStyle w:val="InstructionsText2"/>
        <w:numPr>
          <w:ilvl w:val="0"/>
          <w:numId w:val="6"/>
        </w:numPr>
        <w:rPr>
          <w:u w:val="none"/>
        </w:rPr>
      </w:pPr>
      <w:r w:rsidRPr="00E37FBE">
        <w:rPr>
          <w:u w:val="none"/>
        </w:rPr>
        <w:t>Instructions concerning specific columns:</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3544"/>
        <w:gridCol w:w="3542"/>
      </w:tblGrid>
      <w:tr w:rsidR="00A344AA" w:rsidRPr="00E37FBE" w14:paraId="74B455E0" w14:textId="77777777" w:rsidTr="003F0706">
        <w:trPr>
          <w:trHeight w:val="548"/>
        </w:trPr>
        <w:tc>
          <w:tcPr>
            <w:tcW w:w="729" w:type="pct"/>
            <w:shd w:val="clear" w:color="auto" w:fill="D9D9D9"/>
            <w:noWrap/>
            <w:vAlign w:val="center"/>
          </w:tcPr>
          <w:p w14:paraId="3C56FF4E" w14:textId="77777777" w:rsidR="00A344AA" w:rsidRPr="00E37FBE" w:rsidRDefault="00A344AA" w:rsidP="000B288B">
            <w:pPr>
              <w:spacing w:before="0" w:after="0"/>
              <w:jc w:val="left"/>
              <w:rPr>
                <w:color w:val="000000"/>
              </w:rPr>
            </w:pPr>
            <w:r w:rsidRPr="00E37FBE">
              <w:rPr>
                <w:rStyle w:val="InstructionsTabelleText"/>
                <w:rFonts w:ascii="Times New Roman" w:hAnsi="Times New Roman"/>
                <w:color w:val="000000"/>
                <w:szCs w:val="20"/>
                <w:lang w:eastAsia="en-GB"/>
              </w:rPr>
              <w:t>Column</w:t>
            </w:r>
          </w:p>
        </w:tc>
        <w:tc>
          <w:tcPr>
            <w:tcW w:w="4271" w:type="pct"/>
            <w:gridSpan w:val="2"/>
            <w:shd w:val="clear" w:color="auto" w:fill="D9D9D9"/>
            <w:vAlign w:val="center"/>
          </w:tcPr>
          <w:p w14:paraId="708D3843" w14:textId="77777777" w:rsidR="00A344AA" w:rsidRPr="00E37FBE" w:rsidRDefault="00A344AA" w:rsidP="000B288B">
            <w:pPr>
              <w:spacing w:before="0" w:after="0"/>
              <w:jc w:val="left"/>
            </w:pPr>
            <w:r w:rsidRPr="00E37FBE">
              <w:rPr>
                <w:rStyle w:val="InstructionsTabelleText"/>
                <w:rFonts w:ascii="Times New Roman" w:hAnsi="Times New Roman"/>
                <w:szCs w:val="20"/>
                <w:lang w:eastAsia="en-GB"/>
              </w:rPr>
              <w:t>Legal references and instructions</w:t>
            </w:r>
          </w:p>
        </w:tc>
      </w:tr>
      <w:tr w:rsidR="00A344AA" w:rsidRPr="00E37FBE" w14:paraId="03B6122B" w14:textId="77777777" w:rsidTr="003F0706">
        <w:trPr>
          <w:trHeight w:val="765"/>
        </w:trPr>
        <w:tc>
          <w:tcPr>
            <w:tcW w:w="729" w:type="pct"/>
            <w:shd w:val="clear" w:color="auto" w:fill="auto"/>
            <w:noWrap/>
          </w:tcPr>
          <w:p w14:paraId="454F7606" w14:textId="1AFD63D2" w:rsidR="00A344AA" w:rsidRPr="00E37FBE" w:rsidRDefault="00A344AA">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C90DF5" w:rsidRPr="00E37FBE">
              <w:rPr>
                <w:rFonts w:ascii="Times New Roman" w:hAnsi="Times New Roman"/>
                <w:color w:val="000000"/>
                <w:szCs w:val="20"/>
                <w:lang w:eastAsia="en-GB"/>
              </w:rPr>
              <w:t>0</w:t>
            </w:r>
            <w:r w:rsidRPr="00E37FBE">
              <w:rPr>
                <w:rFonts w:ascii="Times New Roman" w:hAnsi="Times New Roman"/>
                <w:color w:val="000000"/>
                <w:szCs w:val="20"/>
                <w:lang w:eastAsia="en-GB"/>
              </w:rPr>
              <w:t>10</w:t>
            </w:r>
          </w:p>
        </w:tc>
        <w:tc>
          <w:tcPr>
            <w:tcW w:w="4271" w:type="pct"/>
            <w:gridSpan w:val="2"/>
            <w:shd w:val="clear" w:color="auto" w:fill="auto"/>
          </w:tcPr>
          <w:p w14:paraId="146FA391" w14:textId="77777777" w:rsidR="00A344AA" w:rsidRPr="00E37FBE" w:rsidRDefault="00A344AA" w:rsidP="003A2647">
            <w:pPr>
              <w:spacing w:before="0" w:after="0"/>
              <w:rPr>
                <w:rFonts w:ascii="Times New Roman" w:hAnsi="Times New Roman"/>
                <w:b/>
                <w:szCs w:val="20"/>
                <w:u w:val="single"/>
                <w:lang w:eastAsia="en-GB"/>
              </w:rPr>
            </w:pPr>
            <w:r w:rsidRPr="00E37FBE">
              <w:rPr>
                <w:rFonts w:ascii="Times New Roman" w:hAnsi="Times New Roman"/>
                <w:b/>
                <w:szCs w:val="20"/>
                <w:u w:val="single"/>
                <w:lang w:eastAsia="en-GB"/>
              </w:rPr>
              <w:t>Counterparty Name</w:t>
            </w:r>
          </w:p>
          <w:p w14:paraId="19E2ADEC" w14:textId="77777777" w:rsidR="00A344AA" w:rsidRPr="00E37FBE" w:rsidRDefault="00A344AA" w:rsidP="003A2647">
            <w:pPr>
              <w:spacing w:before="0" w:after="0"/>
              <w:rPr>
                <w:rFonts w:ascii="Times New Roman" w:hAnsi="Times New Roman"/>
                <w:b/>
                <w:szCs w:val="20"/>
                <w:u w:val="single"/>
                <w:lang w:eastAsia="en-GB"/>
              </w:rPr>
            </w:pPr>
          </w:p>
          <w:p w14:paraId="2836EBB6" w14:textId="24533A37" w:rsidR="00A344AA" w:rsidRPr="00E37FBE" w:rsidRDefault="00A344AA" w:rsidP="00763448">
            <w:pPr>
              <w:spacing w:before="0" w:after="0"/>
              <w:rPr>
                <w:rFonts w:ascii="Times New Roman" w:hAnsi="Times New Roman"/>
                <w:szCs w:val="20"/>
                <w:lang w:eastAsia="en-GB"/>
              </w:rPr>
            </w:pPr>
            <w:r w:rsidRPr="00E37FBE">
              <w:rPr>
                <w:rFonts w:ascii="Times New Roman" w:hAnsi="Times New Roman"/>
                <w:szCs w:val="20"/>
                <w:lang w:eastAsia="en-GB"/>
              </w:rPr>
              <w:t>The name of each counterparty from which funding obtained exceeds 1</w:t>
            </w:r>
            <w:r w:rsidR="005E719C" w:rsidRPr="00E37FBE">
              <w:rPr>
                <w:rFonts w:ascii="Times New Roman" w:hAnsi="Times New Roman"/>
                <w:szCs w:val="20"/>
                <w:lang w:eastAsia="en-GB"/>
              </w:rPr>
              <w:t> </w:t>
            </w:r>
            <w:r w:rsidRPr="00E37FBE">
              <w:rPr>
                <w:rFonts w:ascii="Times New Roman" w:hAnsi="Times New Roman"/>
                <w:szCs w:val="20"/>
                <w:lang w:eastAsia="en-GB"/>
              </w:rPr>
              <w:t xml:space="preserve">% of total </w:t>
            </w:r>
            <w:r w:rsidR="00AF270F" w:rsidRPr="00E37FBE">
              <w:rPr>
                <w:rFonts w:ascii="Times New Roman" w:hAnsi="Times New Roman"/>
                <w:szCs w:val="20"/>
                <w:lang w:eastAsia="en-GB"/>
              </w:rPr>
              <w:t>liabilities</w:t>
            </w:r>
            <w:r w:rsidR="00422131" w:rsidRPr="00E37FBE">
              <w:rPr>
                <w:rFonts w:ascii="Times New Roman" w:hAnsi="Times New Roman"/>
                <w:szCs w:val="20"/>
                <w:lang w:eastAsia="en-GB"/>
              </w:rPr>
              <w:t xml:space="preserve"> </w:t>
            </w:r>
            <w:r w:rsidRPr="00E37FBE">
              <w:rPr>
                <w:rFonts w:ascii="Times New Roman" w:hAnsi="Times New Roman"/>
                <w:szCs w:val="20"/>
                <w:lang w:eastAsia="en-GB"/>
              </w:rPr>
              <w:t>shall be recorded in column 0</w:t>
            </w:r>
            <w:r w:rsidR="00C90DF5" w:rsidRPr="00E37FBE">
              <w:rPr>
                <w:rFonts w:ascii="Times New Roman" w:hAnsi="Times New Roman"/>
                <w:szCs w:val="20"/>
                <w:lang w:eastAsia="en-GB"/>
              </w:rPr>
              <w:t>0</w:t>
            </w:r>
            <w:r w:rsidRPr="00E37FBE">
              <w:rPr>
                <w:rFonts w:ascii="Times New Roman" w:hAnsi="Times New Roman"/>
                <w:szCs w:val="20"/>
                <w:lang w:eastAsia="en-GB"/>
              </w:rPr>
              <w:t xml:space="preserve">10 in descending order, that is, in </w:t>
            </w:r>
            <w:r w:rsidR="00780636" w:rsidRPr="00E37FBE">
              <w:rPr>
                <w:rFonts w:ascii="Times New Roman" w:hAnsi="Times New Roman"/>
                <w:szCs w:val="20"/>
                <w:lang w:eastAsia="en-GB"/>
              </w:rPr>
              <w:t xml:space="preserve">the </w:t>
            </w:r>
            <w:r w:rsidRPr="00E37FBE">
              <w:rPr>
                <w:rFonts w:ascii="Times New Roman" w:hAnsi="Times New Roman"/>
                <w:szCs w:val="20"/>
                <w:lang w:eastAsia="en-GB"/>
              </w:rPr>
              <w:t xml:space="preserve">order of </w:t>
            </w:r>
            <w:r w:rsidR="00FA63BD" w:rsidRPr="00E37FBE">
              <w:rPr>
                <w:rFonts w:ascii="Times New Roman" w:hAnsi="Times New Roman"/>
                <w:szCs w:val="20"/>
                <w:lang w:eastAsia="en-GB"/>
              </w:rPr>
              <w:t xml:space="preserve">the </w:t>
            </w:r>
            <w:r w:rsidRPr="00E37FBE">
              <w:rPr>
                <w:rFonts w:ascii="Times New Roman" w:hAnsi="Times New Roman"/>
                <w:szCs w:val="20"/>
                <w:lang w:eastAsia="en-GB"/>
              </w:rPr>
              <w:t>size of funding obtained.</w:t>
            </w:r>
          </w:p>
          <w:p w14:paraId="5DFD68B3" w14:textId="77777777" w:rsidR="00A344AA" w:rsidRPr="00E37FBE" w:rsidRDefault="00A344AA" w:rsidP="00490B62">
            <w:pPr>
              <w:spacing w:before="0" w:after="0"/>
              <w:rPr>
                <w:rFonts w:ascii="Times New Roman" w:hAnsi="Times New Roman"/>
                <w:szCs w:val="20"/>
                <w:lang w:eastAsia="en-GB"/>
              </w:rPr>
            </w:pPr>
          </w:p>
          <w:p w14:paraId="5DA69516" w14:textId="6C8B79FB" w:rsidR="00A344AA" w:rsidRPr="00E37FBE" w:rsidRDefault="00C663BC" w:rsidP="00490B62">
            <w:pPr>
              <w:spacing w:before="0" w:after="0"/>
              <w:rPr>
                <w:rFonts w:ascii="Times New Roman" w:hAnsi="Times New Roman"/>
                <w:szCs w:val="20"/>
                <w:lang w:eastAsia="en-GB"/>
              </w:rPr>
            </w:pPr>
            <w:r w:rsidRPr="00E37FBE">
              <w:rPr>
                <w:rFonts w:ascii="Times New Roman" w:hAnsi="Times New Roman"/>
                <w:szCs w:val="20"/>
                <w:lang w:eastAsia="en-GB"/>
              </w:rPr>
              <w:t xml:space="preserve">The name of the counterparty, whether a legal entity or a natural person, shall be reported. </w:t>
            </w:r>
            <w:r w:rsidR="00953ED6" w:rsidRPr="00E37FBE">
              <w:rPr>
                <w:rFonts w:ascii="Times New Roman" w:hAnsi="Times New Roman"/>
                <w:szCs w:val="20"/>
                <w:lang w:eastAsia="en-GB"/>
              </w:rPr>
              <w:t>Where the counterparty is a legal entity, t</w:t>
            </w:r>
            <w:r w:rsidR="00A344AA" w:rsidRPr="00E37FBE">
              <w:rPr>
                <w:rFonts w:ascii="Times New Roman" w:hAnsi="Times New Roman"/>
                <w:szCs w:val="20"/>
                <w:lang w:eastAsia="en-GB"/>
              </w:rPr>
              <w:t xml:space="preserve">he counterparty name recorded shall be the </w:t>
            </w:r>
            <w:r w:rsidR="00FA63BD" w:rsidRPr="00E37FBE">
              <w:rPr>
                <w:rFonts w:ascii="Times New Roman" w:hAnsi="Times New Roman"/>
                <w:szCs w:val="20"/>
                <w:lang w:eastAsia="en-GB"/>
              </w:rPr>
              <w:t xml:space="preserve">full name of the </w:t>
            </w:r>
            <w:r w:rsidR="00A344AA" w:rsidRPr="00E37FBE">
              <w:rPr>
                <w:rFonts w:ascii="Times New Roman" w:hAnsi="Times New Roman"/>
                <w:szCs w:val="20"/>
                <w:lang w:eastAsia="en-GB"/>
              </w:rPr>
              <w:t xml:space="preserve">legal entity from which the funding is derived including any references </w:t>
            </w:r>
            <w:r w:rsidR="00FA63BD" w:rsidRPr="00E37FBE">
              <w:rPr>
                <w:rFonts w:ascii="Times New Roman" w:hAnsi="Times New Roman"/>
                <w:szCs w:val="20"/>
                <w:lang w:eastAsia="en-GB"/>
              </w:rPr>
              <w:t xml:space="preserve">to the company type in accordance with the national company law. </w:t>
            </w:r>
          </w:p>
          <w:p w14:paraId="3DD390D0" w14:textId="388FAF35" w:rsidR="00E8757D" w:rsidRPr="00E37FBE" w:rsidRDefault="00E8757D" w:rsidP="00490B62">
            <w:pPr>
              <w:spacing w:before="0" w:after="0"/>
              <w:rPr>
                <w:rFonts w:ascii="Times New Roman" w:hAnsi="Times New Roman"/>
                <w:szCs w:val="20"/>
                <w:lang w:eastAsia="en-GB"/>
              </w:rPr>
            </w:pPr>
          </w:p>
          <w:p w14:paraId="7B415BEB" w14:textId="432F1876" w:rsidR="00E8757D" w:rsidRPr="00E37FBE" w:rsidRDefault="00E8757D" w:rsidP="00490B62">
            <w:pPr>
              <w:spacing w:before="0" w:after="0"/>
              <w:rPr>
                <w:rFonts w:ascii="Times New Roman" w:hAnsi="Times New Roman"/>
                <w:szCs w:val="20"/>
                <w:lang w:eastAsia="en-GB"/>
              </w:rPr>
            </w:pPr>
            <w:r w:rsidRPr="00E37FBE">
              <w:rPr>
                <w:rFonts w:ascii="Times New Roman" w:hAnsi="Times New Roman"/>
                <w:szCs w:val="20"/>
                <w:lang w:eastAsia="en-GB"/>
              </w:rPr>
              <w:t>In the cases where the group of connected clients does not have a parent, the counterparty that shall be reported shall be the individual entity</w:t>
            </w:r>
            <w:r w:rsidR="007363DF" w:rsidRPr="00E37FBE">
              <w:rPr>
                <w:rFonts w:ascii="Times New Roman" w:hAnsi="Times New Roman"/>
                <w:szCs w:val="20"/>
                <w:lang w:eastAsia="en-GB"/>
              </w:rPr>
              <w:t>,</w:t>
            </w:r>
            <w:r w:rsidRPr="00E37FBE">
              <w:rPr>
                <w:rFonts w:ascii="Times New Roman" w:hAnsi="Times New Roman"/>
                <w:szCs w:val="20"/>
                <w:lang w:eastAsia="en-GB"/>
              </w:rPr>
              <w:t xml:space="preserve"> which is considered by the institution as the most significant within the group of connected clients. In any other case, it shall correspond to the individual counterparty.</w:t>
            </w:r>
            <w:r w:rsidR="00AE6CE2">
              <w:rPr>
                <w:rFonts w:ascii="Times New Roman" w:hAnsi="Times New Roman"/>
                <w:szCs w:val="20"/>
                <w:lang w:eastAsia="en-GB"/>
              </w:rPr>
              <w:t xml:space="preserve"> </w:t>
            </w:r>
          </w:p>
          <w:p w14:paraId="5AB242B5" w14:textId="77777777" w:rsidR="00A344AA" w:rsidRPr="00E37FBE" w:rsidRDefault="00A344AA" w:rsidP="003A2647">
            <w:pPr>
              <w:spacing w:before="0" w:after="0"/>
              <w:rPr>
                <w:rFonts w:ascii="Times New Roman" w:hAnsi="Times New Roman"/>
                <w:szCs w:val="20"/>
                <w:lang w:eastAsia="en-GB"/>
              </w:rPr>
            </w:pPr>
          </w:p>
        </w:tc>
      </w:tr>
      <w:tr w:rsidR="00CC3091" w:rsidRPr="00E37FBE" w14:paraId="383DA9E1" w14:textId="77777777" w:rsidTr="003F0706">
        <w:trPr>
          <w:trHeight w:val="765"/>
        </w:trPr>
        <w:tc>
          <w:tcPr>
            <w:tcW w:w="729" w:type="pct"/>
            <w:shd w:val="clear" w:color="auto" w:fill="auto"/>
            <w:noWrap/>
          </w:tcPr>
          <w:p w14:paraId="0369CC55" w14:textId="72873E1C" w:rsidR="00CC3091" w:rsidRPr="00E37FBE" w:rsidRDefault="00CC3091">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C90DF5" w:rsidRPr="00E37FBE">
              <w:rPr>
                <w:rFonts w:ascii="Times New Roman" w:hAnsi="Times New Roman"/>
                <w:color w:val="000000"/>
                <w:szCs w:val="20"/>
                <w:lang w:eastAsia="en-GB"/>
              </w:rPr>
              <w:t>0</w:t>
            </w:r>
            <w:r w:rsidRPr="00E37FBE">
              <w:rPr>
                <w:rFonts w:ascii="Times New Roman" w:hAnsi="Times New Roman"/>
                <w:color w:val="000000"/>
                <w:szCs w:val="20"/>
                <w:lang w:eastAsia="en-GB"/>
              </w:rPr>
              <w:t>15</w:t>
            </w:r>
          </w:p>
        </w:tc>
        <w:tc>
          <w:tcPr>
            <w:tcW w:w="4271" w:type="pct"/>
            <w:gridSpan w:val="2"/>
            <w:shd w:val="clear" w:color="auto" w:fill="auto"/>
          </w:tcPr>
          <w:p w14:paraId="12EA79C0" w14:textId="1CB26A4E" w:rsidR="00CC3091" w:rsidRPr="00E37FBE" w:rsidRDefault="00CC3091" w:rsidP="00CC3091">
            <w:pPr>
              <w:pStyle w:val="InstructionsText"/>
              <w:rPr>
                <w:rStyle w:val="InstructionsTabelleberschrift"/>
                <w:rFonts w:ascii="Times New Roman" w:hAnsi="Times New Roman"/>
                <w:szCs w:val="20"/>
              </w:rPr>
            </w:pPr>
            <w:r w:rsidRPr="00E37FBE">
              <w:rPr>
                <w:rStyle w:val="InstructionsTabelleberschrift"/>
                <w:rFonts w:ascii="Times New Roman" w:hAnsi="Times New Roman"/>
                <w:szCs w:val="20"/>
              </w:rPr>
              <w:t>Code</w:t>
            </w:r>
          </w:p>
          <w:p w14:paraId="484D7006" w14:textId="77777777" w:rsidR="00CC3091" w:rsidRPr="00E37FBE" w:rsidRDefault="00CC3091" w:rsidP="00CC3091">
            <w:pPr>
              <w:pStyle w:val="InstructionsText"/>
              <w:rPr>
                <w:rStyle w:val="InstructionsTabelleberschrift"/>
                <w:rFonts w:ascii="Times New Roman" w:hAnsi="Times New Roman"/>
                <w:szCs w:val="20"/>
              </w:rPr>
            </w:pPr>
          </w:p>
          <w:p w14:paraId="384FB2AC" w14:textId="180414B4" w:rsidR="00CC3091" w:rsidRPr="00E37FBE" w:rsidRDefault="00CC3091" w:rsidP="00CC3091">
            <w:pPr>
              <w:pStyle w:val="InstructionsText"/>
              <w:rPr>
                <w:rStyle w:val="FormatvorlageInstructionsTabelleText"/>
                <w:rFonts w:ascii="Times New Roman" w:hAnsi="Times New Roman"/>
                <w:szCs w:val="20"/>
              </w:rPr>
            </w:pPr>
            <w:r w:rsidRPr="00E37FBE">
              <w:rPr>
                <w:rStyle w:val="FormatvorlageInstructionsTabelleText"/>
                <w:rFonts w:ascii="Times New Roman" w:hAnsi="Times New Roman"/>
                <w:szCs w:val="20"/>
              </w:rPr>
              <w:t xml:space="preserve">This code is a row identifier and shall be unique for </w:t>
            </w:r>
            <w:r w:rsidR="00652C73" w:rsidRPr="00E37FBE">
              <w:rPr>
                <w:rStyle w:val="FormatvorlageInstructionsTabelleText"/>
                <w:rFonts w:ascii="Times New Roman" w:hAnsi="Times New Roman"/>
                <w:szCs w:val="20"/>
              </w:rPr>
              <w:t xml:space="preserve">each counterparty. For institutions </w:t>
            </w:r>
            <w:r w:rsidR="00AF49BE" w:rsidRPr="00E37FBE">
              <w:rPr>
                <w:rStyle w:val="FormatvorlageInstructionsTabelleText"/>
                <w:rFonts w:ascii="Times New Roman" w:hAnsi="Times New Roman"/>
                <w:szCs w:val="20"/>
              </w:rPr>
              <w:t xml:space="preserve">and insurance undertakings </w:t>
            </w:r>
            <w:r w:rsidR="00652C73" w:rsidRPr="00E37FBE">
              <w:rPr>
                <w:rStyle w:val="FormatvorlageInstructionsTabelleText"/>
                <w:rFonts w:ascii="Times New Roman" w:hAnsi="Times New Roman"/>
                <w:szCs w:val="20"/>
              </w:rPr>
              <w:t xml:space="preserve">the code shall be the </w:t>
            </w:r>
            <w:r w:rsidR="007363DF" w:rsidRPr="00E37FBE">
              <w:rPr>
                <w:rStyle w:val="FormatvorlageInstructionsTabelleText"/>
                <w:rFonts w:ascii="Times New Roman" w:hAnsi="Times New Roman"/>
                <w:szCs w:val="20"/>
              </w:rPr>
              <w:t>legal entity identifier (</w:t>
            </w:r>
            <w:r w:rsidR="00652C73" w:rsidRPr="00E37FBE">
              <w:rPr>
                <w:rStyle w:val="FormatvorlageInstructionsTabelleText"/>
                <w:rFonts w:ascii="Times New Roman" w:hAnsi="Times New Roman"/>
                <w:szCs w:val="20"/>
              </w:rPr>
              <w:t>LEI</w:t>
            </w:r>
            <w:r w:rsidR="007363DF" w:rsidRPr="00E37FBE">
              <w:rPr>
                <w:rStyle w:val="FormatvorlageInstructionsTabelleText"/>
                <w:rFonts w:ascii="Times New Roman" w:hAnsi="Times New Roman"/>
                <w:szCs w:val="20"/>
              </w:rPr>
              <w:t>)</w:t>
            </w:r>
            <w:r w:rsidR="00652C73" w:rsidRPr="00E37FBE">
              <w:rPr>
                <w:rStyle w:val="FormatvorlageInstructionsTabelleText"/>
                <w:rFonts w:ascii="Times New Roman" w:hAnsi="Times New Roman"/>
                <w:szCs w:val="20"/>
              </w:rPr>
              <w:t xml:space="preserve"> code. For other entities the code shall be the LEI code, or if not available, a national code. The code shall be unique and used consistently across the templates and across time. The code shall always have a value.</w:t>
            </w:r>
          </w:p>
          <w:p w14:paraId="0CD09054" w14:textId="77777777" w:rsidR="00CC3091" w:rsidRPr="00E37FBE" w:rsidRDefault="00CC3091" w:rsidP="008A2179">
            <w:pPr>
              <w:pStyle w:val="InstructionsText"/>
              <w:rPr>
                <w:b/>
                <w:szCs w:val="20"/>
                <w:lang w:eastAsia="en-GB"/>
              </w:rPr>
            </w:pPr>
          </w:p>
        </w:tc>
      </w:tr>
      <w:tr w:rsidR="00652C73" w:rsidRPr="00E37FBE" w14:paraId="5D4BEF90" w14:textId="77777777" w:rsidTr="003F0706">
        <w:trPr>
          <w:trHeight w:val="765"/>
        </w:trPr>
        <w:tc>
          <w:tcPr>
            <w:tcW w:w="729" w:type="pct"/>
            <w:shd w:val="clear" w:color="auto" w:fill="auto"/>
            <w:noWrap/>
          </w:tcPr>
          <w:p w14:paraId="54B95D38" w14:textId="1EE66AD6" w:rsidR="00652C73" w:rsidRPr="00E37FBE" w:rsidRDefault="00652C73">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C90DF5" w:rsidRPr="00E37FBE">
              <w:rPr>
                <w:rFonts w:ascii="Times New Roman" w:hAnsi="Times New Roman"/>
                <w:color w:val="000000"/>
                <w:szCs w:val="20"/>
                <w:lang w:eastAsia="en-GB"/>
              </w:rPr>
              <w:t>0</w:t>
            </w:r>
            <w:r w:rsidRPr="00E37FBE">
              <w:rPr>
                <w:rFonts w:ascii="Times New Roman" w:hAnsi="Times New Roman"/>
                <w:color w:val="000000"/>
                <w:szCs w:val="20"/>
                <w:lang w:eastAsia="en-GB"/>
              </w:rPr>
              <w:t>16</w:t>
            </w:r>
          </w:p>
        </w:tc>
        <w:tc>
          <w:tcPr>
            <w:tcW w:w="4271" w:type="pct"/>
            <w:gridSpan w:val="2"/>
            <w:shd w:val="clear" w:color="auto" w:fill="auto"/>
          </w:tcPr>
          <w:p w14:paraId="23D103A1" w14:textId="5556A6CB" w:rsidR="00652C73" w:rsidRPr="00E37FBE" w:rsidRDefault="00652C73" w:rsidP="00652C73">
            <w:pPr>
              <w:pStyle w:val="InstructionsText"/>
              <w:rPr>
                <w:rStyle w:val="InstructionsTabelleberschrift"/>
                <w:rFonts w:ascii="Times New Roman" w:hAnsi="Times New Roman"/>
                <w:szCs w:val="20"/>
              </w:rPr>
            </w:pPr>
            <w:r w:rsidRPr="00E37FBE">
              <w:rPr>
                <w:rStyle w:val="InstructionsTabelleberschrift"/>
                <w:rFonts w:ascii="Times New Roman" w:hAnsi="Times New Roman"/>
                <w:szCs w:val="20"/>
              </w:rPr>
              <w:t>Type of code</w:t>
            </w:r>
          </w:p>
          <w:p w14:paraId="24850EC8" w14:textId="77777777" w:rsidR="00652C73" w:rsidRPr="00E37FBE" w:rsidRDefault="00652C73" w:rsidP="00652C73">
            <w:pPr>
              <w:pStyle w:val="InstructionsText"/>
              <w:rPr>
                <w:rStyle w:val="InstructionsTabelleberschrift"/>
                <w:rFonts w:ascii="Times New Roman" w:hAnsi="Times New Roman"/>
                <w:szCs w:val="20"/>
              </w:rPr>
            </w:pPr>
          </w:p>
          <w:p w14:paraId="0DA412A4" w14:textId="7B7B1168" w:rsidR="00AF49BE" w:rsidRPr="00E37FBE" w:rsidRDefault="00652C73" w:rsidP="00AF49BE">
            <w:pPr>
              <w:pStyle w:val="InstructionsText"/>
              <w:rPr>
                <w:rStyle w:val="FormatvorlageInstructionsTabelleText"/>
                <w:rFonts w:ascii="Times New Roman" w:hAnsi="Times New Roman"/>
                <w:szCs w:val="20"/>
              </w:rPr>
            </w:pPr>
            <w:r w:rsidRPr="00E37FBE">
              <w:rPr>
                <w:rStyle w:val="FormatvorlageInstructionsTabelleText"/>
                <w:rFonts w:ascii="Times New Roman" w:hAnsi="Times New Roman"/>
                <w:szCs w:val="20"/>
              </w:rPr>
              <w:t xml:space="preserve">The institutions shall identify the type of code reported in column </w:t>
            </w:r>
            <w:r w:rsidR="00C90DF5" w:rsidRPr="00E37FBE">
              <w:rPr>
                <w:rStyle w:val="FormatvorlageInstructionsTabelleText"/>
                <w:rFonts w:ascii="Times New Roman" w:hAnsi="Times New Roman"/>
                <w:szCs w:val="20"/>
              </w:rPr>
              <w:t>0</w:t>
            </w:r>
            <w:r w:rsidRPr="00E37FBE">
              <w:rPr>
                <w:rStyle w:val="FormatvorlageInstructionsTabelleText"/>
                <w:rFonts w:ascii="Times New Roman" w:hAnsi="Times New Roman"/>
                <w:szCs w:val="20"/>
              </w:rPr>
              <w:t xml:space="preserve">015 as a ‘LEI code’ </w:t>
            </w:r>
            <w:r w:rsidR="00AF49BE" w:rsidRPr="00E37FBE">
              <w:rPr>
                <w:rStyle w:val="FormatvorlageInstructionsTabelleText"/>
                <w:rFonts w:ascii="Times New Roman" w:hAnsi="Times New Roman"/>
                <w:szCs w:val="20"/>
              </w:rPr>
              <w:t>or ‘Non-LEI code’.</w:t>
            </w:r>
          </w:p>
          <w:p w14:paraId="47AC406F" w14:textId="20E7AC43" w:rsidR="00652C73" w:rsidRPr="00E37FBE" w:rsidRDefault="00AF49BE" w:rsidP="00AF49BE">
            <w:pPr>
              <w:pStyle w:val="InstructionsText"/>
              <w:rPr>
                <w:rStyle w:val="FormatvorlageInstructionsTabelleText"/>
                <w:rFonts w:ascii="Times New Roman" w:hAnsi="Times New Roman"/>
                <w:szCs w:val="20"/>
              </w:rPr>
            </w:pPr>
            <w:r w:rsidRPr="00E37FBE">
              <w:rPr>
                <w:rStyle w:val="FormatvorlageInstructionsTabelleText"/>
                <w:rFonts w:ascii="Times New Roman" w:hAnsi="Times New Roman"/>
                <w:szCs w:val="20"/>
              </w:rPr>
              <w:t>The type of code shall always be reported.</w:t>
            </w:r>
          </w:p>
          <w:p w14:paraId="663A1531" w14:textId="52CE1945" w:rsidR="00652C73" w:rsidRPr="00E37FBE" w:rsidRDefault="00652C73" w:rsidP="00CC3091">
            <w:pPr>
              <w:pStyle w:val="InstructionsText"/>
              <w:rPr>
                <w:rStyle w:val="InstructionsTabelleberschrift"/>
                <w:rFonts w:ascii="Times New Roman" w:hAnsi="Times New Roman"/>
                <w:szCs w:val="20"/>
              </w:rPr>
            </w:pPr>
          </w:p>
        </w:tc>
      </w:tr>
      <w:tr w:rsidR="00652C73" w:rsidRPr="00E37FBE" w14:paraId="3A285D76" w14:textId="77777777" w:rsidTr="003F0706">
        <w:trPr>
          <w:trHeight w:val="765"/>
        </w:trPr>
        <w:tc>
          <w:tcPr>
            <w:tcW w:w="729" w:type="pct"/>
            <w:shd w:val="clear" w:color="auto" w:fill="auto"/>
            <w:noWrap/>
          </w:tcPr>
          <w:p w14:paraId="073F98AC" w14:textId="0D1B2370" w:rsidR="00652C73" w:rsidRPr="00E37FBE" w:rsidRDefault="00652C73">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C90DF5" w:rsidRPr="00E37FBE">
              <w:rPr>
                <w:rFonts w:ascii="Times New Roman" w:hAnsi="Times New Roman"/>
                <w:color w:val="000000"/>
                <w:szCs w:val="20"/>
                <w:lang w:eastAsia="en-GB"/>
              </w:rPr>
              <w:t>0</w:t>
            </w:r>
            <w:r w:rsidRPr="00E37FBE">
              <w:rPr>
                <w:rFonts w:ascii="Times New Roman" w:hAnsi="Times New Roman"/>
                <w:color w:val="000000"/>
                <w:szCs w:val="20"/>
                <w:lang w:eastAsia="en-GB"/>
              </w:rPr>
              <w:t>17</w:t>
            </w:r>
          </w:p>
        </w:tc>
        <w:tc>
          <w:tcPr>
            <w:tcW w:w="4271" w:type="pct"/>
            <w:gridSpan w:val="2"/>
            <w:shd w:val="clear" w:color="auto" w:fill="auto"/>
          </w:tcPr>
          <w:p w14:paraId="24714CD1" w14:textId="28F9B92F" w:rsidR="00652C73" w:rsidRPr="00E37FBE" w:rsidRDefault="00652C73" w:rsidP="00652C73">
            <w:pPr>
              <w:pStyle w:val="InstructionsText"/>
              <w:rPr>
                <w:rStyle w:val="InstructionsTabelleberschrift"/>
                <w:rFonts w:ascii="Times New Roman" w:hAnsi="Times New Roman"/>
                <w:szCs w:val="20"/>
              </w:rPr>
            </w:pPr>
            <w:r w:rsidRPr="00E37FBE">
              <w:rPr>
                <w:rStyle w:val="InstructionsTabelleberschrift"/>
                <w:rFonts w:ascii="Times New Roman" w:hAnsi="Times New Roman"/>
                <w:szCs w:val="20"/>
              </w:rPr>
              <w:t>National code</w:t>
            </w:r>
          </w:p>
          <w:p w14:paraId="299CAD77" w14:textId="77777777" w:rsidR="00652C73" w:rsidRPr="00E37FBE" w:rsidRDefault="00652C73" w:rsidP="00652C73">
            <w:pPr>
              <w:pStyle w:val="InstructionsText"/>
              <w:rPr>
                <w:rStyle w:val="InstructionsTabelleberschrift"/>
                <w:rFonts w:ascii="Times New Roman" w:hAnsi="Times New Roman"/>
                <w:szCs w:val="20"/>
              </w:rPr>
            </w:pPr>
          </w:p>
          <w:p w14:paraId="3D894992" w14:textId="77777777" w:rsidR="00652C73" w:rsidRPr="00E37FBE" w:rsidRDefault="00652C73" w:rsidP="00CC3091">
            <w:pPr>
              <w:pStyle w:val="InstructionsText"/>
              <w:rPr>
                <w:rStyle w:val="FormatvorlageInstructionsTabelleText"/>
                <w:rFonts w:ascii="Times New Roman" w:hAnsi="Times New Roman"/>
                <w:szCs w:val="20"/>
              </w:rPr>
            </w:pPr>
            <w:r w:rsidRPr="00E37FBE">
              <w:rPr>
                <w:rStyle w:val="FormatvorlageInstructionsTabelleText"/>
                <w:rFonts w:ascii="Times New Roman" w:hAnsi="Times New Roman"/>
                <w:szCs w:val="20"/>
              </w:rPr>
              <w:t>Institutions may additionally report the national code when they report LEI code as identifier as in the ‘Code’ column.</w:t>
            </w:r>
          </w:p>
          <w:p w14:paraId="2DD0B123" w14:textId="59AC2EB9" w:rsidR="00652C73" w:rsidRPr="00E37FBE" w:rsidRDefault="00652C73" w:rsidP="00CC3091">
            <w:pPr>
              <w:pStyle w:val="InstructionsText"/>
              <w:rPr>
                <w:rStyle w:val="InstructionsTabelleberschrift"/>
                <w:rFonts w:ascii="Times New Roman" w:hAnsi="Times New Roman"/>
                <w:szCs w:val="20"/>
              </w:rPr>
            </w:pPr>
          </w:p>
        </w:tc>
      </w:tr>
      <w:tr w:rsidR="00A344AA" w:rsidRPr="00E37FBE" w14:paraId="51607CEC" w14:textId="77777777" w:rsidTr="003D0976">
        <w:trPr>
          <w:trHeight w:val="510"/>
        </w:trPr>
        <w:tc>
          <w:tcPr>
            <w:tcW w:w="729" w:type="pct"/>
            <w:tcBorders>
              <w:bottom w:val="single" w:sz="4" w:space="0" w:color="auto"/>
            </w:tcBorders>
            <w:shd w:val="clear" w:color="auto" w:fill="auto"/>
            <w:noWrap/>
          </w:tcPr>
          <w:p w14:paraId="19A860BE" w14:textId="4EB79D38" w:rsidR="00A344AA" w:rsidRPr="00E37FBE" w:rsidRDefault="00A344AA" w:rsidP="000B288B">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lastRenderedPageBreak/>
              <w:t>0</w:t>
            </w:r>
            <w:r w:rsidR="00C90DF5" w:rsidRPr="00E37FBE">
              <w:rPr>
                <w:rFonts w:ascii="Times New Roman" w:hAnsi="Times New Roman"/>
                <w:color w:val="000000"/>
                <w:szCs w:val="20"/>
                <w:lang w:eastAsia="en-GB"/>
              </w:rPr>
              <w:t>0</w:t>
            </w:r>
            <w:r w:rsidRPr="00E37FBE">
              <w:rPr>
                <w:rFonts w:ascii="Times New Roman" w:hAnsi="Times New Roman"/>
                <w:color w:val="000000"/>
                <w:szCs w:val="20"/>
                <w:lang w:eastAsia="en-GB"/>
              </w:rPr>
              <w:t>30</w:t>
            </w:r>
          </w:p>
        </w:tc>
        <w:tc>
          <w:tcPr>
            <w:tcW w:w="4271" w:type="pct"/>
            <w:gridSpan w:val="2"/>
            <w:tcBorders>
              <w:bottom w:val="single" w:sz="4" w:space="0" w:color="auto"/>
            </w:tcBorders>
            <w:shd w:val="clear" w:color="auto" w:fill="auto"/>
          </w:tcPr>
          <w:p w14:paraId="6B942154" w14:textId="77777777" w:rsidR="00A344AA" w:rsidRPr="00E37FBE" w:rsidRDefault="00A344AA" w:rsidP="003A2647">
            <w:pPr>
              <w:spacing w:before="0" w:after="0"/>
              <w:rPr>
                <w:rFonts w:ascii="Times New Roman" w:hAnsi="Times New Roman"/>
                <w:b/>
                <w:szCs w:val="20"/>
                <w:u w:val="single"/>
                <w:lang w:eastAsia="en-GB"/>
              </w:rPr>
            </w:pPr>
            <w:r w:rsidRPr="00E37FBE">
              <w:rPr>
                <w:rFonts w:ascii="Times New Roman" w:hAnsi="Times New Roman"/>
                <w:b/>
                <w:szCs w:val="20"/>
                <w:u w:val="single"/>
                <w:lang w:eastAsia="en-GB"/>
              </w:rPr>
              <w:t>Counterparty Sector</w:t>
            </w:r>
          </w:p>
          <w:p w14:paraId="2CCF7839" w14:textId="77777777" w:rsidR="00A344AA" w:rsidRPr="00E37FBE" w:rsidRDefault="00A344AA" w:rsidP="003A2647">
            <w:pPr>
              <w:spacing w:before="0" w:after="0"/>
              <w:rPr>
                <w:rFonts w:ascii="Times New Roman" w:hAnsi="Times New Roman"/>
                <w:b/>
                <w:szCs w:val="20"/>
                <w:u w:val="single"/>
                <w:lang w:eastAsia="en-GB"/>
              </w:rPr>
            </w:pPr>
          </w:p>
          <w:p w14:paraId="2E43DAFB" w14:textId="2CD514E0" w:rsidR="00A344AA" w:rsidRPr="00E37FBE" w:rsidRDefault="00A344AA" w:rsidP="00CC3091">
            <w:pPr>
              <w:pStyle w:val="InstructionsText"/>
              <w:rPr>
                <w:rStyle w:val="FormatvorlageInstructionsTabelleText"/>
                <w:rFonts w:ascii="Times New Roman" w:hAnsi="Times New Roman"/>
                <w:szCs w:val="20"/>
              </w:rPr>
            </w:pPr>
            <w:r w:rsidRPr="00E37FBE">
              <w:rPr>
                <w:rStyle w:val="FormatvorlageInstructionsTabelleText"/>
                <w:rFonts w:ascii="Times New Roman" w:hAnsi="Times New Roman"/>
                <w:szCs w:val="20"/>
              </w:rPr>
              <w:t xml:space="preserve">One sector shall be allocated to </w:t>
            </w:r>
            <w:r w:rsidR="00FA63BD" w:rsidRPr="00E37FBE">
              <w:rPr>
                <w:rStyle w:val="FormatvorlageInstructionsTabelleText"/>
                <w:rFonts w:ascii="Times New Roman" w:hAnsi="Times New Roman"/>
                <w:szCs w:val="20"/>
              </w:rPr>
              <w:t xml:space="preserve">each </w:t>
            </w:r>
            <w:r w:rsidRPr="00E37FBE">
              <w:rPr>
                <w:rStyle w:val="FormatvorlageInstructionsTabelleText"/>
                <w:rFonts w:ascii="Times New Roman" w:hAnsi="Times New Roman"/>
                <w:szCs w:val="20"/>
              </w:rPr>
              <w:t xml:space="preserve">counterparty on the basis of </w:t>
            </w:r>
            <w:r w:rsidR="007363DF" w:rsidRPr="00E37FBE">
              <w:rPr>
                <w:rStyle w:val="FormatvorlageInstructionsTabelleText"/>
                <w:rFonts w:ascii="Times New Roman" w:hAnsi="Times New Roman"/>
                <w:szCs w:val="20"/>
              </w:rPr>
              <w:t>following [</w:t>
            </w:r>
            <w:r w:rsidRPr="00E37FBE">
              <w:rPr>
                <w:rStyle w:val="FormatvorlageInstructionsTabelleText"/>
                <w:rFonts w:ascii="Times New Roman" w:hAnsi="Times New Roman"/>
                <w:szCs w:val="20"/>
              </w:rPr>
              <w:t>FINREP</w:t>
            </w:r>
            <w:r w:rsidR="007363DF" w:rsidRPr="00E37FBE">
              <w:rPr>
                <w:rStyle w:val="FormatvorlageInstructionsTabelleText"/>
                <w:rFonts w:ascii="Times New Roman" w:hAnsi="Times New Roman"/>
                <w:szCs w:val="20"/>
              </w:rPr>
              <w:t>]</w:t>
            </w:r>
            <w:r w:rsidRPr="00E37FBE">
              <w:rPr>
                <w:rStyle w:val="FormatvorlageInstructionsTabelleText"/>
                <w:rFonts w:ascii="Times New Roman" w:hAnsi="Times New Roman"/>
                <w:szCs w:val="20"/>
              </w:rPr>
              <w:t xml:space="preserve"> economic sector classes</w:t>
            </w:r>
            <w:r w:rsidR="00633228" w:rsidRPr="00E37FBE">
              <w:rPr>
                <w:rStyle w:val="FormatvorlageInstructionsTabelleText"/>
                <w:rFonts w:ascii="Times New Roman" w:hAnsi="Times New Roman"/>
                <w:szCs w:val="20"/>
              </w:rPr>
              <w:t xml:space="preserve"> (</w:t>
            </w:r>
            <w:r w:rsidR="00CD6485" w:rsidRPr="00E37FBE">
              <w:rPr>
                <w:rStyle w:val="FormatvorlageInstructionsTabelleText"/>
                <w:rFonts w:ascii="Times New Roman" w:hAnsi="Times New Roman"/>
                <w:szCs w:val="20"/>
              </w:rPr>
              <w:t>p</w:t>
            </w:r>
            <w:r w:rsidR="00633228" w:rsidRPr="00E37FBE">
              <w:rPr>
                <w:rStyle w:val="FormatvorlageInstructionsTabelleText"/>
                <w:rFonts w:ascii="Times New Roman" w:hAnsi="Times New Roman"/>
                <w:szCs w:val="20"/>
              </w:rPr>
              <w:t xml:space="preserve">art </w:t>
            </w:r>
            <w:r w:rsidR="00CD6485" w:rsidRPr="00E37FBE">
              <w:rPr>
                <w:rStyle w:val="FormatvorlageInstructionsTabelleText"/>
                <w:rFonts w:ascii="Times New Roman" w:hAnsi="Times New Roman"/>
                <w:szCs w:val="20"/>
              </w:rPr>
              <w:t>1</w:t>
            </w:r>
            <w:r w:rsidR="00F9747D" w:rsidRPr="00E37FBE">
              <w:rPr>
                <w:rStyle w:val="FormatvorlageInstructionsTabelleText"/>
                <w:rFonts w:ascii="Times New Roman" w:hAnsi="Times New Roman"/>
                <w:szCs w:val="20"/>
              </w:rPr>
              <w:t>,</w:t>
            </w:r>
            <w:r w:rsidR="00633228" w:rsidRPr="00E37FBE">
              <w:rPr>
                <w:rStyle w:val="FormatvorlageInstructionsTabelleText"/>
                <w:rFonts w:ascii="Times New Roman" w:hAnsi="Times New Roman"/>
                <w:szCs w:val="20"/>
              </w:rPr>
              <w:t xml:space="preserve"> Annex V to this Implementing Regulation)</w:t>
            </w:r>
            <w:r w:rsidRPr="00E37FBE">
              <w:rPr>
                <w:rStyle w:val="FormatvorlageInstructionsTabelleText"/>
                <w:rFonts w:ascii="Times New Roman" w:hAnsi="Times New Roman"/>
                <w:szCs w:val="20"/>
              </w:rPr>
              <w:t>:</w:t>
            </w:r>
          </w:p>
          <w:p w14:paraId="7C349277" w14:textId="77777777" w:rsidR="00A344AA" w:rsidRPr="00E37FBE" w:rsidRDefault="00A344AA" w:rsidP="00CC3091">
            <w:pPr>
              <w:pStyle w:val="InstructionsText"/>
              <w:rPr>
                <w:rStyle w:val="FormatvorlageInstructionsTabelleText"/>
                <w:rFonts w:ascii="Times New Roman" w:hAnsi="Times New Roman"/>
                <w:szCs w:val="20"/>
              </w:rPr>
            </w:pPr>
          </w:p>
          <w:p w14:paraId="07E3E3C8" w14:textId="068EC55B" w:rsidR="00A344AA" w:rsidRPr="00E37FBE" w:rsidRDefault="00A344AA" w:rsidP="00CC3091">
            <w:pPr>
              <w:pStyle w:val="InstructionsText"/>
              <w:rPr>
                <w:rStyle w:val="FormatvorlageInstructionsTabelleText"/>
                <w:rFonts w:ascii="Times New Roman" w:hAnsi="Times New Roman"/>
                <w:szCs w:val="20"/>
                <w:lang w:eastAsia="en-US"/>
              </w:rPr>
            </w:pPr>
            <w:r w:rsidRPr="00E37FBE">
              <w:rPr>
                <w:rStyle w:val="FormatvorlageInstructionsTabelleText"/>
                <w:rFonts w:ascii="Times New Roman" w:hAnsi="Times New Roman"/>
                <w:szCs w:val="20"/>
              </w:rPr>
              <w:t xml:space="preserve">(i) Central Banks; (ii) General Governments; (iii) Credit institutions; (iv) Other financial corporations; (v) Non-financial corporations; (vi) </w:t>
            </w:r>
            <w:r w:rsidR="008E1DE8" w:rsidRPr="00E37FBE">
              <w:rPr>
                <w:rStyle w:val="FormatvorlageInstructionsTabelleText"/>
                <w:rFonts w:ascii="Times New Roman" w:hAnsi="Times New Roman"/>
                <w:szCs w:val="20"/>
              </w:rPr>
              <w:t>H</w:t>
            </w:r>
            <w:r w:rsidRPr="00E37FBE">
              <w:rPr>
                <w:rStyle w:val="FormatvorlageInstructionsTabelleText"/>
                <w:rFonts w:ascii="Times New Roman" w:hAnsi="Times New Roman"/>
                <w:szCs w:val="20"/>
              </w:rPr>
              <w:t xml:space="preserve">ouseholds. </w:t>
            </w:r>
          </w:p>
          <w:p w14:paraId="4CA62F92" w14:textId="77777777" w:rsidR="00A344AA" w:rsidRPr="00E37FBE" w:rsidRDefault="00A344AA" w:rsidP="00CC3091">
            <w:pPr>
              <w:pStyle w:val="InstructionsText"/>
              <w:rPr>
                <w:rStyle w:val="FormatvorlageInstructionsTabelleText"/>
                <w:rFonts w:ascii="Times New Roman" w:hAnsi="Times New Roman"/>
                <w:szCs w:val="20"/>
                <w:lang w:eastAsia="en-US"/>
              </w:rPr>
            </w:pPr>
          </w:p>
          <w:p w14:paraId="1E7BCB8F" w14:textId="77777777" w:rsidR="00A344AA" w:rsidRPr="00E37FBE" w:rsidRDefault="00A344AA" w:rsidP="00CC3091">
            <w:pPr>
              <w:pStyle w:val="InstructionsText"/>
              <w:rPr>
                <w:rStyle w:val="FormatvorlageInstructionsTabelleText"/>
                <w:rFonts w:ascii="Times New Roman" w:hAnsi="Times New Roman"/>
                <w:szCs w:val="20"/>
                <w:lang w:eastAsia="en-US"/>
              </w:rPr>
            </w:pPr>
            <w:r w:rsidRPr="00E37FBE">
              <w:rPr>
                <w:rStyle w:val="FormatvorlageInstructionsTabelleText"/>
                <w:rFonts w:ascii="Times New Roman" w:hAnsi="Times New Roman"/>
                <w:szCs w:val="20"/>
              </w:rPr>
              <w:t>For groups of connected clients, no sector shall be reported.</w:t>
            </w:r>
          </w:p>
          <w:p w14:paraId="0E3CE66C" w14:textId="77777777" w:rsidR="00A344AA" w:rsidRPr="00E37FBE" w:rsidRDefault="00A344AA" w:rsidP="00927DCB">
            <w:pPr>
              <w:pStyle w:val="InstructionsText2"/>
              <w:numPr>
                <w:ilvl w:val="0"/>
                <w:numId w:val="0"/>
              </w:numPr>
              <w:spacing w:after="0"/>
              <w:ind w:left="714"/>
            </w:pPr>
          </w:p>
        </w:tc>
      </w:tr>
      <w:tr w:rsidR="00A344AA" w:rsidRPr="00E37FBE" w14:paraId="159CB0CE" w14:textId="77777777" w:rsidTr="003D0976">
        <w:trPr>
          <w:trHeight w:val="510"/>
        </w:trPr>
        <w:tc>
          <w:tcPr>
            <w:tcW w:w="729" w:type="pct"/>
            <w:tcBorders>
              <w:bottom w:val="nil"/>
            </w:tcBorders>
            <w:shd w:val="clear" w:color="auto" w:fill="auto"/>
            <w:noWrap/>
          </w:tcPr>
          <w:p w14:paraId="7DA552B5" w14:textId="50E8979D" w:rsidR="00A344AA" w:rsidRPr="00E37FBE" w:rsidRDefault="00A344AA" w:rsidP="000B288B">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C90DF5" w:rsidRPr="00E37FBE">
              <w:rPr>
                <w:rFonts w:ascii="Times New Roman" w:hAnsi="Times New Roman"/>
                <w:color w:val="000000"/>
                <w:szCs w:val="20"/>
                <w:lang w:eastAsia="en-GB"/>
              </w:rPr>
              <w:t>0</w:t>
            </w:r>
            <w:r w:rsidRPr="00E37FBE">
              <w:rPr>
                <w:rFonts w:ascii="Times New Roman" w:hAnsi="Times New Roman"/>
                <w:color w:val="000000"/>
                <w:szCs w:val="20"/>
                <w:lang w:eastAsia="en-GB"/>
              </w:rPr>
              <w:t>40</w:t>
            </w:r>
          </w:p>
        </w:tc>
        <w:tc>
          <w:tcPr>
            <w:tcW w:w="4271" w:type="pct"/>
            <w:gridSpan w:val="2"/>
            <w:tcBorders>
              <w:bottom w:val="nil"/>
            </w:tcBorders>
            <w:shd w:val="clear" w:color="auto" w:fill="auto"/>
          </w:tcPr>
          <w:p w14:paraId="4A62D5F3" w14:textId="77777777" w:rsidR="00A344AA" w:rsidRPr="00E37FBE" w:rsidRDefault="00A344AA" w:rsidP="003A2647">
            <w:pPr>
              <w:spacing w:before="0" w:after="0"/>
              <w:rPr>
                <w:rFonts w:ascii="Times New Roman" w:hAnsi="Times New Roman"/>
                <w:b/>
                <w:szCs w:val="20"/>
                <w:u w:val="single"/>
                <w:lang w:eastAsia="en-GB"/>
              </w:rPr>
            </w:pPr>
            <w:r w:rsidRPr="00E37FBE">
              <w:rPr>
                <w:rFonts w:ascii="Times New Roman" w:hAnsi="Times New Roman"/>
                <w:b/>
                <w:szCs w:val="20"/>
                <w:u w:val="single"/>
                <w:lang w:eastAsia="en-GB"/>
              </w:rPr>
              <w:t xml:space="preserve">Residence of Counterparty </w:t>
            </w:r>
          </w:p>
          <w:p w14:paraId="4CB6B035" w14:textId="77777777" w:rsidR="00A344AA" w:rsidRPr="00E37FBE" w:rsidRDefault="00A344AA" w:rsidP="00CC3091">
            <w:pPr>
              <w:pStyle w:val="InstructionsText"/>
              <w:rPr>
                <w:rStyle w:val="FormatvorlageInstructionsTabelleText"/>
                <w:rFonts w:ascii="Times New Roman" w:hAnsi="Times New Roman"/>
                <w:b/>
                <w:szCs w:val="20"/>
              </w:rPr>
            </w:pPr>
          </w:p>
          <w:p w14:paraId="1792AE6F" w14:textId="2E35E73C" w:rsidR="00A344AA" w:rsidRPr="00E37FBE" w:rsidRDefault="00A344AA" w:rsidP="00CC3091">
            <w:pPr>
              <w:pStyle w:val="InstructionsText"/>
              <w:rPr>
                <w:rStyle w:val="FormatvorlageInstructionsTabelleText"/>
                <w:rFonts w:ascii="Times New Roman" w:hAnsi="Times New Roman"/>
                <w:szCs w:val="20"/>
              </w:rPr>
            </w:pPr>
            <w:r w:rsidRPr="00E37FBE">
              <w:rPr>
                <w:rStyle w:val="FormatvorlageInstructionsTabelleText"/>
                <w:rFonts w:ascii="Times New Roman" w:hAnsi="Times New Roman"/>
                <w:szCs w:val="20"/>
              </w:rPr>
              <w:t>ISO code 3166-1-alpha-2 of the country of incorporation of the counterparty shall be used</w:t>
            </w:r>
            <w:r w:rsidR="00FA63BD" w:rsidRPr="00E37FBE">
              <w:rPr>
                <w:rStyle w:val="FormatvorlageInstructionsTabelleText"/>
                <w:rFonts w:ascii="Times New Roman" w:hAnsi="Times New Roman"/>
                <w:szCs w:val="20"/>
              </w:rPr>
              <w:t>,</w:t>
            </w:r>
            <w:r w:rsidRPr="00E37FBE">
              <w:rPr>
                <w:rStyle w:val="FormatvorlageInstructionsTabelleText"/>
                <w:rFonts w:ascii="Times New Roman" w:hAnsi="Times New Roman"/>
                <w:szCs w:val="20"/>
              </w:rPr>
              <w:t xml:space="preserve"> including pseudo-ISO codes for international organisations</w:t>
            </w:r>
            <w:r w:rsidRPr="00E37FBE">
              <w:rPr>
                <w:u w:val="none"/>
              </w:rPr>
              <w:t xml:space="preserve">, available in the </w:t>
            </w:r>
            <w:r w:rsidR="008E1DE8" w:rsidRPr="00E37FBE">
              <w:rPr>
                <w:u w:val="none"/>
              </w:rPr>
              <w:t>most recent</w:t>
            </w:r>
            <w:r w:rsidRPr="00E37FBE">
              <w:rPr>
                <w:u w:val="none"/>
              </w:rPr>
              <w:t xml:space="preserve"> edition of the Eurostat’s </w:t>
            </w:r>
            <w:r w:rsidR="00FA63BD" w:rsidRPr="00E37FBE">
              <w:rPr>
                <w:u w:val="none"/>
              </w:rPr>
              <w:t>‘</w:t>
            </w:r>
            <w:r w:rsidRPr="00E37FBE">
              <w:rPr>
                <w:u w:val="none"/>
              </w:rPr>
              <w:t>Balance of Payments Vademecum</w:t>
            </w:r>
            <w:r w:rsidR="00FA63BD" w:rsidRPr="00E37FBE">
              <w:rPr>
                <w:u w:val="none"/>
              </w:rPr>
              <w:t>’</w:t>
            </w:r>
            <w:r w:rsidRPr="00E37FBE">
              <w:rPr>
                <w:rStyle w:val="FormatvorlageInstructionsTabelleText"/>
                <w:rFonts w:ascii="Times New Roman" w:hAnsi="Times New Roman"/>
                <w:szCs w:val="20"/>
              </w:rPr>
              <w:t xml:space="preserve">. </w:t>
            </w:r>
          </w:p>
          <w:p w14:paraId="713A8F3E" w14:textId="77777777" w:rsidR="00A344AA" w:rsidRPr="00E37FBE" w:rsidRDefault="00A344AA" w:rsidP="00CC3091">
            <w:pPr>
              <w:pStyle w:val="InstructionsText"/>
              <w:rPr>
                <w:rStyle w:val="FormatvorlageInstructionsTabelleText"/>
                <w:rFonts w:ascii="Times New Roman" w:hAnsi="Times New Roman"/>
                <w:szCs w:val="20"/>
              </w:rPr>
            </w:pPr>
          </w:p>
          <w:p w14:paraId="6E964331" w14:textId="180A6696" w:rsidR="00A344AA" w:rsidRPr="00E37FBE" w:rsidRDefault="00A344AA" w:rsidP="003A2647">
            <w:pPr>
              <w:spacing w:before="0" w:after="0"/>
              <w:rPr>
                <w:rFonts w:ascii="Times New Roman" w:hAnsi="Times New Roman"/>
                <w:b/>
                <w:szCs w:val="20"/>
                <w:u w:val="single"/>
                <w:lang w:eastAsia="en-GB"/>
              </w:rPr>
            </w:pPr>
            <w:r w:rsidRPr="00E37FBE">
              <w:rPr>
                <w:rStyle w:val="FormatvorlageInstructionsTabelleText"/>
                <w:rFonts w:ascii="Times New Roman" w:hAnsi="Times New Roman"/>
                <w:szCs w:val="20"/>
              </w:rPr>
              <w:t>For groups of connected clients</w:t>
            </w:r>
            <w:r w:rsidR="005B086D" w:rsidRPr="00E37FBE">
              <w:rPr>
                <w:rStyle w:val="FormatvorlageInstructionsTabelleText"/>
                <w:rFonts w:ascii="Times New Roman" w:hAnsi="Times New Roman"/>
                <w:szCs w:val="20"/>
              </w:rPr>
              <w:t>, no country shall be reported.</w:t>
            </w:r>
          </w:p>
        </w:tc>
      </w:tr>
      <w:tr w:rsidR="00A344AA" w:rsidRPr="00E37FBE" w14:paraId="6AA91692" w14:textId="77777777" w:rsidTr="005B086D">
        <w:trPr>
          <w:trHeight w:val="242"/>
        </w:trPr>
        <w:tc>
          <w:tcPr>
            <w:tcW w:w="729" w:type="pct"/>
            <w:tcBorders>
              <w:top w:val="nil"/>
              <w:bottom w:val="single" w:sz="4" w:space="0" w:color="auto"/>
            </w:tcBorders>
            <w:shd w:val="clear" w:color="auto" w:fill="auto"/>
            <w:noWrap/>
          </w:tcPr>
          <w:p w14:paraId="37378802" w14:textId="77777777" w:rsidR="00A344AA" w:rsidRPr="00E37FBE" w:rsidRDefault="00A344AA" w:rsidP="000B288B">
            <w:pPr>
              <w:spacing w:before="0" w:after="0"/>
              <w:jc w:val="left"/>
              <w:rPr>
                <w:rFonts w:ascii="Times New Roman" w:hAnsi="Times New Roman"/>
                <w:color w:val="000000"/>
                <w:szCs w:val="20"/>
                <w:lang w:eastAsia="en-GB"/>
              </w:rPr>
            </w:pPr>
          </w:p>
        </w:tc>
        <w:tc>
          <w:tcPr>
            <w:tcW w:w="2136" w:type="pct"/>
            <w:tcBorders>
              <w:top w:val="nil"/>
              <w:bottom w:val="single" w:sz="4" w:space="0" w:color="auto"/>
              <w:right w:val="nil"/>
            </w:tcBorders>
            <w:shd w:val="clear" w:color="auto" w:fill="auto"/>
          </w:tcPr>
          <w:p w14:paraId="68697EE7" w14:textId="77777777" w:rsidR="00A344AA" w:rsidRPr="00E37FBE" w:rsidRDefault="00A344AA" w:rsidP="003A2647">
            <w:pPr>
              <w:spacing w:before="0" w:after="0"/>
              <w:rPr>
                <w:rFonts w:ascii="Times New Roman" w:hAnsi="Times New Roman"/>
                <w:b/>
                <w:szCs w:val="20"/>
                <w:u w:val="single"/>
                <w:lang w:eastAsia="en-GB"/>
              </w:rPr>
            </w:pPr>
          </w:p>
        </w:tc>
        <w:tc>
          <w:tcPr>
            <w:tcW w:w="2135" w:type="pct"/>
            <w:tcBorders>
              <w:top w:val="nil"/>
              <w:left w:val="nil"/>
              <w:bottom w:val="single" w:sz="4" w:space="0" w:color="auto"/>
            </w:tcBorders>
            <w:shd w:val="clear" w:color="auto" w:fill="auto"/>
          </w:tcPr>
          <w:p w14:paraId="32365D61" w14:textId="77777777" w:rsidR="00A344AA" w:rsidRPr="00E37FBE" w:rsidRDefault="00A344AA" w:rsidP="003A2647">
            <w:pPr>
              <w:spacing w:before="0" w:after="0"/>
              <w:rPr>
                <w:rFonts w:ascii="Times New Roman" w:hAnsi="Times New Roman"/>
                <w:b/>
                <w:szCs w:val="20"/>
                <w:u w:val="single"/>
                <w:lang w:eastAsia="en-GB"/>
              </w:rPr>
            </w:pPr>
          </w:p>
        </w:tc>
      </w:tr>
      <w:tr w:rsidR="00A344AA" w:rsidRPr="00E37FBE" w14:paraId="693D372B" w14:textId="77777777" w:rsidTr="003D0976">
        <w:trPr>
          <w:trHeight w:val="765"/>
        </w:trPr>
        <w:tc>
          <w:tcPr>
            <w:tcW w:w="729" w:type="pct"/>
            <w:tcBorders>
              <w:top w:val="single" w:sz="4" w:space="0" w:color="auto"/>
              <w:bottom w:val="single" w:sz="4" w:space="0" w:color="auto"/>
            </w:tcBorders>
            <w:shd w:val="clear" w:color="auto" w:fill="auto"/>
            <w:noWrap/>
          </w:tcPr>
          <w:p w14:paraId="73D3D20D" w14:textId="5BE76D8B" w:rsidR="00A344AA" w:rsidRPr="00E37FBE" w:rsidRDefault="00A344AA" w:rsidP="000B288B">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C90DF5" w:rsidRPr="00E37FBE">
              <w:rPr>
                <w:rFonts w:ascii="Times New Roman" w:hAnsi="Times New Roman"/>
                <w:color w:val="000000"/>
                <w:szCs w:val="20"/>
                <w:lang w:eastAsia="en-GB"/>
              </w:rPr>
              <w:t>0</w:t>
            </w:r>
            <w:r w:rsidRPr="00E37FBE">
              <w:rPr>
                <w:rFonts w:ascii="Times New Roman" w:hAnsi="Times New Roman"/>
                <w:color w:val="000000"/>
                <w:szCs w:val="20"/>
                <w:lang w:eastAsia="en-GB"/>
              </w:rPr>
              <w:t>50</w:t>
            </w:r>
          </w:p>
        </w:tc>
        <w:tc>
          <w:tcPr>
            <w:tcW w:w="4271" w:type="pct"/>
            <w:gridSpan w:val="2"/>
            <w:tcBorders>
              <w:top w:val="single" w:sz="4" w:space="0" w:color="auto"/>
              <w:bottom w:val="single" w:sz="4" w:space="0" w:color="auto"/>
            </w:tcBorders>
            <w:shd w:val="clear" w:color="auto" w:fill="auto"/>
          </w:tcPr>
          <w:p w14:paraId="202E35F5" w14:textId="77777777" w:rsidR="00A344AA" w:rsidRPr="00E37FBE" w:rsidRDefault="00A344AA" w:rsidP="003A2647">
            <w:pPr>
              <w:spacing w:before="0" w:after="0"/>
              <w:rPr>
                <w:rFonts w:ascii="Times New Roman" w:hAnsi="Times New Roman"/>
                <w:b/>
                <w:szCs w:val="20"/>
                <w:u w:val="single"/>
                <w:lang w:eastAsia="en-GB"/>
              </w:rPr>
            </w:pPr>
            <w:r w:rsidRPr="00E37FBE">
              <w:rPr>
                <w:rFonts w:ascii="Times New Roman" w:hAnsi="Times New Roman"/>
                <w:b/>
                <w:szCs w:val="20"/>
                <w:u w:val="single"/>
                <w:lang w:eastAsia="en-GB"/>
              </w:rPr>
              <w:t>Product Type</w:t>
            </w:r>
          </w:p>
          <w:p w14:paraId="27D8CDCC" w14:textId="77777777" w:rsidR="00A344AA" w:rsidRPr="00E37FBE" w:rsidRDefault="00A344AA" w:rsidP="003A2647">
            <w:pPr>
              <w:spacing w:before="0" w:after="0"/>
              <w:rPr>
                <w:rFonts w:ascii="Times New Roman" w:hAnsi="Times New Roman"/>
                <w:b/>
                <w:szCs w:val="20"/>
                <w:u w:val="single"/>
                <w:lang w:eastAsia="en-GB"/>
              </w:rPr>
            </w:pPr>
          </w:p>
          <w:p w14:paraId="435BE420" w14:textId="48F7C1CB" w:rsidR="00A344AA" w:rsidRPr="00E37FBE" w:rsidRDefault="00A344AA" w:rsidP="00763448">
            <w:pPr>
              <w:spacing w:before="0" w:after="0"/>
              <w:rPr>
                <w:rFonts w:ascii="Times New Roman" w:hAnsi="Times New Roman"/>
                <w:szCs w:val="20"/>
                <w:lang w:eastAsia="en-GB"/>
              </w:rPr>
            </w:pPr>
            <w:r w:rsidRPr="00E37FBE">
              <w:rPr>
                <w:rFonts w:ascii="Times New Roman" w:hAnsi="Times New Roman"/>
                <w:szCs w:val="20"/>
                <w:lang w:eastAsia="en-GB"/>
              </w:rPr>
              <w:t xml:space="preserve">Counterparties reported in column </w:t>
            </w:r>
            <w:r w:rsidR="00C90DF5" w:rsidRPr="00E37FBE">
              <w:rPr>
                <w:rFonts w:ascii="Times New Roman" w:hAnsi="Times New Roman"/>
                <w:szCs w:val="20"/>
                <w:lang w:eastAsia="en-GB"/>
              </w:rPr>
              <w:t>0</w:t>
            </w:r>
            <w:r w:rsidRPr="00E37FBE">
              <w:rPr>
                <w:rFonts w:ascii="Times New Roman" w:hAnsi="Times New Roman"/>
                <w:szCs w:val="20"/>
                <w:lang w:eastAsia="en-GB"/>
              </w:rPr>
              <w:t>010 shall be assigned a product type, corresponding to the product issued in which the funding was received or in which the largest proportion of funding was received for mixed product types</w:t>
            </w:r>
            <w:r w:rsidR="00181A4F" w:rsidRPr="00E37FBE">
              <w:rPr>
                <w:rFonts w:ascii="Times New Roman" w:hAnsi="Times New Roman"/>
                <w:szCs w:val="20"/>
                <w:lang w:eastAsia="en-GB"/>
              </w:rPr>
              <w:t>,</w:t>
            </w:r>
            <w:r w:rsidRPr="00E37FBE">
              <w:rPr>
                <w:rFonts w:ascii="Times New Roman" w:hAnsi="Times New Roman"/>
                <w:szCs w:val="20"/>
                <w:lang w:eastAsia="en-GB"/>
              </w:rPr>
              <w:t xml:space="preserve"> using the following codes indicated in bold:</w:t>
            </w:r>
          </w:p>
          <w:p w14:paraId="374B715F" w14:textId="77777777" w:rsidR="00A344AA" w:rsidRPr="00E37FBE" w:rsidRDefault="00A344AA" w:rsidP="003A2647">
            <w:pPr>
              <w:spacing w:before="0" w:after="0"/>
              <w:ind w:left="108"/>
              <w:rPr>
                <w:rFonts w:ascii="Times New Roman" w:hAnsi="Times New Roman"/>
                <w:color w:val="000000"/>
                <w:szCs w:val="20"/>
                <w:lang w:eastAsia="en-GB"/>
              </w:rPr>
            </w:pPr>
          </w:p>
          <w:p w14:paraId="644929DE" w14:textId="77777777" w:rsidR="00A344AA" w:rsidRPr="00E37FBE" w:rsidRDefault="00A344AA" w:rsidP="003A2647">
            <w:pPr>
              <w:spacing w:before="0" w:after="0"/>
              <w:ind w:left="108"/>
              <w:rPr>
                <w:rFonts w:ascii="Times New Roman" w:hAnsi="Times New Roman"/>
                <w:color w:val="000000"/>
                <w:szCs w:val="20"/>
                <w:lang w:eastAsia="en-GB"/>
              </w:rPr>
            </w:pPr>
            <w:r w:rsidRPr="00E37FBE">
              <w:rPr>
                <w:rFonts w:ascii="Times New Roman" w:hAnsi="Times New Roman"/>
                <w:b/>
                <w:color w:val="000000"/>
                <w:szCs w:val="20"/>
                <w:lang w:eastAsia="en-GB"/>
              </w:rPr>
              <w:t>UWF</w:t>
            </w:r>
            <w:r w:rsidRPr="00E37FBE">
              <w:rPr>
                <w:rFonts w:ascii="Times New Roman" w:hAnsi="Times New Roman"/>
                <w:color w:val="000000"/>
                <w:szCs w:val="20"/>
                <w:lang w:eastAsia="en-GB"/>
              </w:rPr>
              <w:t xml:space="preserve"> (unsecured wholesale funding obtained from financial customers including interbank money)</w:t>
            </w:r>
          </w:p>
          <w:p w14:paraId="65D81A1D" w14:textId="77777777" w:rsidR="00A344AA" w:rsidRPr="00E37FBE" w:rsidRDefault="00A344AA" w:rsidP="003A2647">
            <w:pPr>
              <w:spacing w:before="0" w:after="0"/>
              <w:ind w:left="108"/>
              <w:rPr>
                <w:rFonts w:ascii="Times New Roman" w:hAnsi="Times New Roman"/>
                <w:color w:val="000000"/>
                <w:szCs w:val="20"/>
                <w:lang w:eastAsia="en-GB"/>
              </w:rPr>
            </w:pPr>
          </w:p>
          <w:p w14:paraId="2E6EBD07" w14:textId="77777777" w:rsidR="00A344AA" w:rsidRPr="00E37FBE" w:rsidRDefault="00A344AA" w:rsidP="003A2647">
            <w:pPr>
              <w:spacing w:before="0" w:after="0"/>
              <w:ind w:left="108"/>
              <w:rPr>
                <w:rFonts w:ascii="Times New Roman" w:hAnsi="Times New Roman"/>
                <w:color w:val="000000"/>
                <w:szCs w:val="20"/>
                <w:lang w:eastAsia="en-GB"/>
              </w:rPr>
            </w:pPr>
            <w:r w:rsidRPr="00E37FBE">
              <w:rPr>
                <w:rFonts w:ascii="Times New Roman" w:hAnsi="Times New Roman"/>
                <w:b/>
                <w:color w:val="000000"/>
                <w:szCs w:val="20"/>
                <w:lang w:eastAsia="en-GB"/>
              </w:rPr>
              <w:t>UWNF</w:t>
            </w:r>
            <w:r w:rsidRPr="00E37FBE">
              <w:rPr>
                <w:rFonts w:ascii="Times New Roman" w:hAnsi="Times New Roman"/>
                <w:color w:val="000000"/>
                <w:szCs w:val="20"/>
                <w:lang w:eastAsia="en-GB"/>
              </w:rPr>
              <w:t xml:space="preserve"> (unsecured wholesale funding obtained from non-financial customers)</w:t>
            </w:r>
          </w:p>
          <w:p w14:paraId="69567DFF" w14:textId="77777777" w:rsidR="00A344AA" w:rsidRPr="00E37FBE" w:rsidRDefault="00A344AA" w:rsidP="003A2647">
            <w:pPr>
              <w:spacing w:before="0" w:after="0"/>
              <w:ind w:left="108"/>
              <w:rPr>
                <w:rFonts w:ascii="Times New Roman" w:hAnsi="Times New Roman"/>
                <w:color w:val="000000"/>
                <w:szCs w:val="20"/>
                <w:lang w:eastAsia="en-GB"/>
              </w:rPr>
            </w:pPr>
          </w:p>
          <w:p w14:paraId="362C9247" w14:textId="62825CD2" w:rsidR="00A344AA" w:rsidRPr="00E37FBE" w:rsidRDefault="00792E65" w:rsidP="003A2647">
            <w:pPr>
              <w:spacing w:before="0" w:after="0"/>
              <w:ind w:left="108"/>
              <w:rPr>
                <w:rFonts w:ascii="Times New Roman" w:hAnsi="Times New Roman"/>
                <w:color w:val="000000"/>
                <w:szCs w:val="20"/>
                <w:lang w:eastAsia="en-GB"/>
              </w:rPr>
            </w:pPr>
            <w:r w:rsidRPr="00E37FBE">
              <w:rPr>
                <w:rFonts w:ascii="Times New Roman" w:hAnsi="Times New Roman"/>
                <w:b/>
                <w:color w:val="000000"/>
                <w:szCs w:val="20"/>
                <w:lang w:eastAsia="en-GB"/>
              </w:rPr>
              <w:t>SFT</w:t>
            </w:r>
            <w:r w:rsidRPr="00E37FBE">
              <w:rPr>
                <w:rFonts w:ascii="Times New Roman" w:hAnsi="Times New Roman"/>
                <w:color w:val="000000"/>
                <w:szCs w:val="20"/>
                <w:lang w:eastAsia="en-GB"/>
              </w:rPr>
              <w:t xml:space="preserve"> </w:t>
            </w:r>
            <w:r w:rsidR="00A344AA" w:rsidRPr="00E37FBE">
              <w:rPr>
                <w:rFonts w:ascii="Times New Roman" w:hAnsi="Times New Roman"/>
                <w:color w:val="000000"/>
                <w:szCs w:val="20"/>
                <w:lang w:eastAsia="en-GB"/>
              </w:rPr>
              <w:t>(funding obtained from repurchase agreements as defined in</w:t>
            </w:r>
            <w:r w:rsidR="005B086D" w:rsidRPr="00E37FBE">
              <w:rPr>
                <w:rFonts w:ascii="Times New Roman" w:hAnsi="Times New Roman"/>
                <w:color w:val="000000"/>
                <w:szCs w:val="20"/>
                <w:lang w:eastAsia="en-GB"/>
              </w:rPr>
              <w:t xml:space="preserve"> </w:t>
            </w:r>
            <w:r w:rsidR="00E87718" w:rsidRPr="00E37FBE">
              <w:rPr>
                <w:rFonts w:ascii="Times New Roman" w:hAnsi="Times New Roman"/>
                <w:color w:val="000000"/>
                <w:szCs w:val="20"/>
                <w:lang w:eastAsia="en-GB"/>
              </w:rPr>
              <w:t xml:space="preserve">Article 4(1), </w:t>
            </w:r>
            <w:r w:rsidR="005B086D" w:rsidRPr="00E37FBE">
              <w:rPr>
                <w:rFonts w:ascii="Times New Roman" w:hAnsi="Times New Roman"/>
                <w:color w:val="000000"/>
                <w:szCs w:val="20"/>
                <w:lang w:eastAsia="en-GB"/>
              </w:rPr>
              <w:t>point (82)</w:t>
            </w:r>
            <w:r w:rsidR="00E87718" w:rsidRPr="00E37FBE">
              <w:rPr>
                <w:rFonts w:ascii="Times New Roman" w:hAnsi="Times New Roman"/>
                <w:color w:val="000000"/>
                <w:szCs w:val="20"/>
                <w:lang w:eastAsia="en-GB"/>
              </w:rPr>
              <w:t>,</w:t>
            </w:r>
            <w:r w:rsidR="005B086D" w:rsidRPr="00E37FBE">
              <w:rPr>
                <w:rFonts w:ascii="Times New Roman" w:hAnsi="Times New Roman"/>
                <w:color w:val="000000"/>
                <w:szCs w:val="20"/>
                <w:lang w:eastAsia="en-GB"/>
              </w:rPr>
              <w:t xml:space="preserve"> </w:t>
            </w:r>
            <w:r w:rsidR="00A344AA" w:rsidRPr="00E37FBE">
              <w:rPr>
                <w:rFonts w:ascii="Times New Roman" w:hAnsi="Times New Roman"/>
                <w:color w:val="000000"/>
                <w:szCs w:val="20"/>
                <w:lang w:eastAsia="en-GB"/>
              </w:rPr>
              <w:t xml:space="preserve">of </w:t>
            </w:r>
            <w:r w:rsidR="00047A6F" w:rsidRPr="00E37FBE">
              <w:rPr>
                <w:rFonts w:ascii="Times New Roman" w:hAnsi="Times New Roman"/>
                <w:color w:val="000000"/>
                <w:szCs w:val="20"/>
                <w:lang w:eastAsia="en-GB"/>
              </w:rPr>
              <w:t>Regulation (EU) No 575/2013</w:t>
            </w:r>
            <w:r w:rsidR="00A344AA" w:rsidRPr="00E37FBE">
              <w:rPr>
                <w:rFonts w:ascii="Times New Roman" w:hAnsi="Times New Roman"/>
                <w:color w:val="000000"/>
                <w:szCs w:val="20"/>
                <w:lang w:eastAsia="en-GB"/>
              </w:rPr>
              <w:t>)</w:t>
            </w:r>
          </w:p>
          <w:p w14:paraId="66F4842F" w14:textId="77777777" w:rsidR="00A344AA" w:rsidRPr="00E37FBE" w:rsidRDefault="00A344AA" w:rsidP="003A2647">
            <w:pPr>
              <w:spacing w:before="0" w:after="0"/>
              <w:ind w:left="108"/>
              <w:rPr>
                <w:rFonts w:ascii="Times New Roman" w:hAnsi="Times New Roman"/>
                <w:color w:val="000000"/>
                <w:szCs w:val="20"/>
                <w:lang w:eastAsia="en-GB"/>
              </w:rPr>
            </w:pPr>
          </w:p>
          <w:p w14:paraId="4D7FE979" w14:textId="33AD0392" w:rsidR="00A344AA" w:rsidRPr="00E37FBE" w:rsidRDefault="00A344AA" w:rsidP="003A2647">
            <w:pPr>
              <w:spacing w:before="0" w:after="0"/>
              <w:ind w:left="108"/>
              <w:rPr>
                <w:rFonts w:ascii="Times New Roman" w:hAnsi="Times New Roman"/>
                <w:color w:val="000000"/>
                <w:szCs w:val="20"/>
                <w:lang w:eastAsia="en-GB"/>
              </w:rPr>
            </w:pPr>
            <w:r w:rsidRPr="00E37FBE">
              <w:rPr>
                <w:rFonts w:ascii="Times New Roman" w:hAnsi="Times New Roman"/>
                <w:b/>
                <w:color w:val="000000"/>
                <w:szCs w:val="20"/>
                <w:lang w:eastAsia="en-GB"/>
              </w:rPr>
              <w:t>CB</w:t>
            </w:r>
            <w:r w:rsidRPr="00E37FBE">
              <w:rPr>
                <w:rFonts w:ascii="Times New Roman" w:hAnsi="Times New Roman"/>
                <w:color w:val="000000"/>
                <w:szCs w:val="20"/>
                <w:lang w:eastAsia="en-GB"/>
              </w:rPr>
              <w:t xml:space="preserve"> (funding obtained from covered bond issuance as defined in Article 129(4) or (5)</w:t>
            </w:r>
            <w:r w:rsidR="00F9747D" w:rsidRPr="00E37FBE">
              <w:rPr>
                <w:rFonts w:ascii="Times New Roman" w:hAnsi="Times New Roman"/>
                <w:color w:val="000000"/>
                <w:szCs w:val="20"/>
                <w:lang w:eastAsia="en-GB"/>
              </w:rPr>
              <w:t>,</w:t>
            </w:r>
            <w:r w:rsidRPr="00E37FBE">
              <w:rPr>
                <w:rFonts w:ascii="Times New Roman" w:hAnsi="Times New Roman"/>
                <w:color w:val="000000"/>
                <w:szCs w:val="20"/>
                <w:lang w:eastAsia="en-GB"/>
              </w:rPr>
              <w:t xml:space="preserve"> of </w:t>
            </w:r>
            <w:r w:rsidR="00047A6F" w:rsidRPr="00E37FBE">
              <w:rPr>
                <w:rFonts w:ascii="Times New Roman" w:hAnsi="Times New Roman"/>
                <w:color w:val="000000"/>
                <w:szCs w:val="20"/>
                <w:lang w:eastAsia="en-GB"/>
              </w:rPr>
              <w:t>Regulation (EU) No 575/2013</w:t>
            </w:r>
            <w:r w:rsidR="00E53421" w:rsidRPr="00E37FBE">
              <w:rPr>
                <w:rFonts w:ascii="Times New Roman" w:hAnsi="Times New Roman"/>
                <w:color w:val="000000"/>
                <w:szCs w:val="20"/>
                <w:lang w:eastAsia="en-GB"/>
              </w:rPr>
              <w:t xml:space="preserve"> </w:t>
            </w:r>
            <w:r w:rsidR="00047A6F" w:rsidRPr="00E37FBE">
              <w:rPr>
                <w:rFonts w:ascii="Times New Roman" w:hAnsi="Times New Roman"/>
                <w:color w:val="000000"/>
                <w:szCs w:val="20"/>
                <w:lang w:eastAsia="en-GB"/>
              </w:rPr>
              <w:t xml:space="preserve">or </w:t>
            </w:r>
            <w:r w:rsidRPr="00E37FBE">
              <w:rPr>
                <w:rFonts w:ascii="Times New Roman" w:hAnsi="Times New Roman"/>
                <w:color w:val="000000"/>
                <w:szCs w:val="20"/>
                <w:lang w:eastAsia="en-GB"/>
              </w:rPr>
              <w:t>Article 52(4) of Directive 2009/65/EC)</w:t>
            </w:r>
          </w:p>
          <w:p w14:paraId="3F2C9E19" w14:textId="77777777" w:rsidR="00A344AA" w:rsidRPr="00E37FBE" w:rsidRDefault="00A344AA" w:rsidP="003A2647">
            <w:pPr>
              <w:spacing w:before="0" w:after="0"/>
              <w:ind w:left="108"/>
              <w:rPr>
                <w:rFonts w:ascii="Times New Roman" w:hAnsi="Times New Roman"/>
                <w:color w:val="000000"/>
                <w:szCs w:val="20"/>
                <w:lang w:eastAsia="en-GB"/>
              </w:rPr>
            </w:pPr>
          </w:p>
          <w:p w14:paraId="2DBA0870" w14:textId="3C775A9F" w:rsidR="00A344AA" w:rsidRPr="00E37FBE" w:rsidRDefault="00A344AA" w:rsidP="003A2647">
            <w:pPr>
              <w:spacing w:before="0" w:after="0"/>
              <w:ind w:left="108"/>
              <w:rPr>
                <w:rFonts w:ascii="Times New Roman" w:hAnsi="Times New Roman"/>
                <w:color w:val="000000"/>
                <w:szCs w:val="20"/>
                <w:lang w:eastAsia="en-GB"/>
              </w:rPr>
            </w:pPr>
            <w:r w:rsidRPr="00E37FBE">
              <w:rPr>
                <w:rFonts w:ascii="Times New Roman" w:hAnsi="Times New Roman"/>
                <w:b/>
                <w:color w:val="000000"/>
                <w:szCs w:val="20"/>
                <w:lang w:eastAsia="en-GB"/>
              </w:rPr>
              <w:t xml:space="preserve">ABS </w:t>
            </w:r>
            <w:r w:rsidRPr="00E37FBE">
              <w:rPr>
                <w:rFonts w:ascii="Times New Roman" w:hAnsi="Times New Roman"/>
                <w:color w:val="000000"/>
                <w:szCs w:val="20"/>
                <w:lang w:eastAsia="en-GB"/>
              </w:rPr>
              <w:t>(funding obtained from asset backed security issuance including asset backed commercial paper)</w:t>
            </w:r>
          </w:p>
          <w:p w14:paraId="49DC5CAE" w14:textId="46B6D398" w:rsidR="00E272B2" w:rsidRPr="00E37FBE" w:rsidRDefault="00E272B2" w:rsidP="003A2647">
            <w:pPr>
              <w:spacing w:before="0" w:after="0"/>
              <w:ind w:left="108"/>
              <w:rPr>
                <w:rFonts w:ascii="Times New Roman" w:hAnsi="Times New Roman"/>
                <w:color w:val="000000"/>
                <w:szCs w:val="20"/>
                <w:lang w:eastAsia="en-GB"/>
              </w:rPr>
            </w:pPr>
          </w:p>
          <w:p w14:paraId="6EE0437C" w14:textId="5F02752C" w:rsidR="00E272B2" w:rsidRPr="00E37FBE" w:rsidRDefault="00E272B2" w:rsidP="003A2647">
            <w:pPr>
              <w:spacing w:before="0" w:after="0"/>
              <w:ind w:left="108"/>
              <w:rPr>
                <w:rFonts w:ascii="Times New Roman" w:hAnsi="Times New Roman"/>
                <w:color w:val="000000"/>
                <w:szCs w:val="20"/>
                <w:lang w:eastAsia="en-GB"/>
              </w:rPr>
            </w:pPr>
            <w:r w:rsidRPr="00E37FBE">
              <w:rPr>
                <w:rFonts w:ascii="Times New Roman" w:hAnsi="Times New Roman"/>
                <w:b/>
                <w:color w:val="000000"/>
                <w:szCs w:val="20"/>
                <w:lang w:eastAsia="en-GB"/>
              </w:rPr>
              <w:t>CBM</w:t>
            </w:r>
            <w:r w:rsidRPr="00E37FBE">
              <w:rPr>
                <w:rFonts w:ascii="Times New Roman" w:hAnsi="Times New Roman"/>
                <w:color w:val="000000"/>
                <w:szCs w:val="20"/>
                <w:lang w:eastAsia="en-GB"/>
              </w:rPr>
              <w:t xml:space="preserve"> (Central bank funding related to monetary policy operations)</w:t>
            </w:r>
          </w:p>
          <w:p w14:paraId="54E284FB" w14:textId="77777777" w:rsidR="00A344AA" w:rsidRPr="00E37FBE" w:rsidRDefault="00A344AA" w:rsidP="003A2647">
            <w:pPr>
              <w:spacing w:before="0" w:after="0"/>
              <w:ind w:left="108"/>
              <w:rPr>
                <w:rFonts w:ascii="Times New Roman" w:hAnsi="Times New Roman"/>
                <w:color w:val="000000"/>
                <w:szCs w:val="20"/>
                <w:lang w:eastAsia="en-GB"/>
              </w:rPr>
            </w:pPr>
          </w:p>
          <w:p w14:paraId="195FF68E" w14:textId="3A3310CC" w:rsidR="00F7385A" w:rsidRPr="00E37FBE" w:rsidRDefault="00F7385A" w:rsidP="003A2647">
            <w:pPr>
              <w:spacing w:before="0" w:after="0"/>
              <w:ind w:left="108"/>
              <w:rPr>
                <w:rFonts w:ascii="Times New Roman" w:hAnsi="Times New Roman"/>
                <w:b/>
                <w:color w:val="000000"/>
                <w:szCs w:val="20"/>
                <w:lang w:eastAsia="en-GB"/>
              </w:rPr>
            </w:pPr>
            <w:r w:rsidRPr="00E37FBE">
              <w:rPr>
                <w:rFonts w:ascii="Times New Roman" w:hAnsi="Times New Roman"/>
                <w:b/>
                <w:color w:val="000000"/>
                <w:szCs w:val="20"/>
                <w:lang w:eastAsia="en-GB"/>
              </w:rPr>
              <w:t xml:space="preserve">IGUWF </w:t>
            </w:r>
            <w:r w:rsidRPr="00E37FBE">
              <w:rPr>
                <w:rFonts w:ascii="Times New Roman" w:hAnsi="Times New Roman"/>
                <w:color w:val="000000"/>
                <w:szCs w:val="20"/>
                <w:lang w:eastAsia="en-GB"/>
              </w:rPr>
              <w:t>(unsecured wholesale funding obtained from intragroup counterparties)</w:t>
            </w:r>
          </w:p>
          <w:p w14:paraId="5C6BB4C4" w14:textId="4AEDC99B" w:rsidR="00F7385A" w:rsidRPr="00E37FBE" w:rsidRDefault="00F7385A" w:rsidP="003A2647">
            <w:pPr>
              <w:spacing w:before="0" w:after="0"/>
              <w:ind w:left="108"/>
              <w:rPr>
                <w:rFonts w:ascii="Times New Roman" w:hAnsi="Times New Roman"/>
                <w:b/>
                <w:color w:val="000000"/>
                <w:szCs w:val="20"/>
                <w:lang w:eastAsia="en-GB"/>
              </w:rPr>
            </w:pPr>
          </w:p>
          <w:p w14:paraId="1F5C23B7" w14:textId="1E252C58" w:rsidR="00F7385A" w:rsidRPr="00E37FBE" w:rsidRDefault="00F7385A" w:rsidP="003A2647">
            <w:pPr>
              <w:spacing w:before="0" w:after="0"/>
              <w:ind w:left="108"/>
              <w:rPr>
                <w:rFonts w:ascii="Times New Roman" w:hAnsi="Times New Roman"/>
                <w:b/>
                <w:color w:val="000000"/>
                <w:szCs w:val="20"/>
                <w:lang w:eastAsia="en-GB"/>
              </w:rPr>
            </w:pPr>
            <w:r w:rsidRPr="00E37FBE">
              <w:rPr>
                <w:rFonts w:ascii="Times New Roman" w:hAnsi="Times New Roman"/>
                <w:b/>
                <w:color w:val="000000"/>
                <w:szCs w:val="20"/>
                <w:lang w:eastAsia="en-GB"/>
              </w:rPr>
              <w:t xml:space="preserve">IGSWF </w:t>
            </w:r>
            <w:r w:rsidRPr="00E37FBE">
              <w:rPr>
                <w:rFonts w:ascii="Times New Roman" w:hAnsi="Times New Roman"/>
                <w:color w:val="000000"/>
                <w:szCs w:val="20"/>
                <w:lang w:eastAsia="en-GB"/>
              </w:rPr>
              <w:t>(secured wholesale funding obtained from intragroup counterparties)</w:t>
            </w:r>
          </w:p>
          <w:p w14:paraId="5F469B51" w14:textId="77777777" w:rsidR="00F7385A" w:rsidRPr="00E37FBE" w:rsidRDefault="00F7385A" w:rsidP="003A2647">
            <w:pPr>
              <w:spacing w:before="0" w:after="0"/>
              <w:ind w:left="108"/>
              <w:rPr>
                <w:rFonts w:ascii="Times New Roman" w:hAnsi="Times New Roman"/>
                <w:b/>
                <w:color w:val="000000"/>
                <w:szCs w:val="20"/>
                <w:lang w:eastAsia="en-GB"/>
              </w:rPr>
            </w:pPr>
          </w:p>
          <w:p w14:paraId="59575FF6" w14:textId="77777777" w:rsidR="00A344AA" w:rsidRPr="00E37FBE" w:rsidRDefault="00A344AA" w:rsidP="003A2647">
            <w:pPr>
              <w:spacing w:before="0" w:after="0"/>
              <w:ind w:left="108"/>
              <w:rPr>
                <w:rFonts w:ascii="Times New Roman" w:hAnsi="Times New Roman"/>
                <w:color w:val="000000"/>
                <w:szCs w:val="20"/>
                <w:lang w:eastAsia="en-GB"/>
              </w:rPr>
            </w:pPr>
          </w:p>
          <w:p w14:paraId="0809393C" w14:textId="77777777" w:rsidR="00A344AA" w:rsidRPr="00E37FBE" w:rsidRDefault="00A344AA" w:rsidP="003A2647">
            <w:pPr>
              <w:spacing w:before="0" w:after="0"/>
              <w:ind w:left="108"/>
              <w:rPr>
                <w:rFonts w:ascii="Times New Roman" w:hAnsi="Times New Roman"/>
                <w:color w:val="000000"/>
                <w:szCs w:val="20"/>
                <w:lang w:eastAsia="en-GB"/>
              </w:rPr>
            </w:pPr>
            <w:r w:rsidRPr="00E37FBE">
              <w:rPr>
                <w:rFonts w:ascii="Times New Roman" w:hAnsi="Times New Roman"/>
                <w:b/>
                <w:color w:val="000000"/>
                <w:szCs w:val="20"/>
                <w:lang w:eastAsia="en-GB"/>
              </w:rPr>
              <w:t>OSWF</w:t>
            </w:r>
            <w:r w:rsidRPr="00E37FBE">
              <w:rPr>
                <w:rFonts w:ascii="Times New Roman" w:hAnsi="Times New Roman"/>
                <w:color w:val="000000"/>
                <w:szCs w:val="20"/>
                <w:lang w:eastAsia="en-GB"/>
              </w:rPr>
              <w:t xml:space="preserve"> (other secured wholesale funding)</w:t>
            </w:r>
          </w:p>
          <w:p w14:paraId="64E5769B" w14:textId="77777777" w:rsidR="00A344AA" w:rsidRPr="00E37FBE" w:rsidRDefault="00A344AA" w:rsidP="003A2647">
            <w:pPr>
              <w:spacing w:before="0" w:after="0"/>
              <w:ind w:left="108"/>
              <w:rPr>
                <w:rFonts w:ascii="Times New Roman" w:hAnsi="Times New Roman"/>
                <w:color w:val="000000"/>
                <w:szCs w:val="20"/>
                <w:lang w:eastAsia="en-GB"/>
              </w:rPr>
            </w:pPr>
          </w:p>
          <w:p w14:paraId="520400E8" w14:textId="5F92E2CE" w:rsidR="00A344AA" w:rsidRPr="00E37FBE" w:rsidRDefault="00A344AA" w:rsidP="003A2647">
            <w:pPr>
              <w:spacing w:before="0" w:after="0"/>
              <w:ind w:left="108"/>
              <w:rPr>
                <w:rFonts w:ascii="Times New Roman" w:hAnsi="Times New Roman"/>
                <w:color w:val="000000"/>
                <w:szCs w:val="20"/>
                <w:lang w:eastAsia="en-GB"/>
              </w:rPr>
            </w:pPr>
            <w:r w:rsidRPr="00E37FBE">
              <w:rPr>
                <w:rFonts w:ascii="Times New Roman" w:hAnsi="Times New Roman"/>
                <w:b/>
                <w:color w:val="000000"/>
                <w:szCs w:val="20"/>
                <w:lang w:eastAsia="en-GB"/>
              </w:rPr>
              <w:t>OFP</w:t>
            </w:r>
            <w:r w:rsidRPr="00E37FBE">
              <w:rPr>
                <w:rFonts w:ascii="Times New Roman" w:hAnsi="Times New Roman"/>
                <w:color w:val="000000"/>
                <w:szCs w:val="20"/>
                <w:lang w:eastAsia="en-GB"/>
              </w:rPr>
              <w:t xml:space="preserve"> (other funding products, e.g. retail funding)</w:t>
            </w:r>
          </w:p>
          <w:p w14:paraId="7EA3B3FF" w14:textId="77777777" w:rsidR="00A344AA" w:rsidRPr="00E37FBE" w:rsidRDefault="00A344AA" w:rsidP="008E720B">
            <w:pPr>
              <w:spacing w:before="0" w:after="0"/>
              <w:rPr>
                <w:rFonts w:ascii="Times New Roman" w:hAnsi="Times New Roman"/>
                <w:b/>
                <w:szCs w:val="20"/>
                <w:u w:val="single"/>
                <w:lang w:eastAsia="en-GB"/>
              </w:rPr>
            </w:pPr>
          </w:p>
        </w:tc>
      </w:tr>
      <w:tr w:rsidR="00A344AA" w:rsidRPr="00E37FBE" w14:paraId="5F88F47E" w14:textId="77777777" w:rsidTr="003D0976">
        <w:trPr>
          <w:trHeight w:val="510"/>
        </w:trPr>
        <w:tc>
          <w:tcPr>
            <w:tcW w:w="729" w:type="pct"/>
            <w:shd w:val="clear" w:color="auto" w:fill="auto"/>
            <w:noWrap/>
          </w:tcPr>
          <w:p w14:paraId="6C7A5E49" w14:textId="77705D92" w:rsidR="00A344AA" w:rsidRPr="00E37FBE" w:rsidRDefault="00A344AA" w:rsidP="000B288B">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C90DF5" w:rsidRPr="00E37FBE">
              <w:rPr>
                <w:rFonts w:ascii="Times New Roman" w:hAnsi="Times New Roman"/>
                <w:color w:val="000000"/>
                <w:szCs w:val="20"/>
                <w:lang w:eastAsia="en-GB"/>
              </w:rPr>
              <w:t>0</w:t>
            </w:r>
            <w:r w:rsidRPr="00E37FBE">
              <w:rPr>
                <w:rFonts w:ascii="Times New Roman" w:hAnsi="Times New Roman"/>
                <w:color w:val="000000"/>
                <w:szCs w:val="20"/>
                <w:lang w:eastAsia="en-GB"/>
              </w:rPr>
              <w:t>60</w:t>
            </w:r>
          </w:p>
        </w:tc>
        <w:tc>
          <w:tcPr>
            <w:tcW w:w="4271" w:type="pct"/>
            <w:gridSpan w:val="2"/>
            <w:tcBorders>
              <w:top w:val="single" w:sz="4" w:space="0" w:color="auto"/>
            </w:tcBorders>
            <w:shd w:val="clear" w:color="auto" w:fill="auto"/>
          </w:tcPr>
          <w:p w14:paraId="2D80056A" w14:textId="77777777" w:rsidR="00A344AA" w:rsidRPr="00E37FBE" w:rsidRDefault="00A344AA" w:rsidP="003A2647">
            <w:pPr>
              <w:spacing w:before="0" w:after="0"/>
              <w:rPr>
                <w:rFonts w:ascii="Times New Roman" w:hAnsi="Times New Roman"/>
                <w:b/>
                <w:szCs w:val="20"/>
                <w:u w:val="single"/>
                <w:lang w:eastAsia="en-GB"/>
              </w:rPr>
            </w:pPr>
            <w:r w:rsidRPr="00E37FBE">
              <w:rPr>
                <w:rFonts w:ascii="Times New Roman" w:hAnsi="Times New Roman"/>
                <w:b/>
                <w:szCs w:val="20"/>
                <w:u w:val="single"/>
                <w:lang w:eastAsia="en-GB"/>
              </w:rPr>
              <w:t>Amount Received</w:t>
            </w:r>
          </w:p>
          <w:p w14:paraId="235C86C1" w14:textId="77777777" w:rsidR="00A344AA" w:rsidRPr="00E37FBE" w:rsidRDefault="00A344AA" w:rsidP="003A2647">
            <w:pPr>
              <w:spacing w:before="0" w:after="0"/>
              <w:rPr>
                <w:rFonts w:ascii="Times New Roman" w:hAnsi="Times New Roman"/>
                <w:b/>
                <w:szCs w:val="20"/>
                <w:u w:val="single"/>
                <w:lang w:eastAsia="en-GB"/>
              </w:rPr>
            </w:pPr>
          </w:p>
          <w:p w14:paraId="2FAA6C63" w14:textId="26C0DDDB" w:rsidR="00A344AA" w:rsidRPr="00E37FBE" w:rsidRDefault="00A344AA" w:rsidP="00763448">
            <w:pPr>
              <w:spacing w:before="0" w:after="0"/>
              <w:rPr>
                <w:rFonts w:ascii="Times New Roman" w:hAnsi="Times New Roman"/>
                <w:szCs w:val="20"/>
                <w:lang w:eastAsia="en-GB"/>
              </w:rPr>
            </w:pPr>
            <w:r w:rsidRPr="00E37FBE">
              <w:rPr>
                <w:rFonts w:ascii="Times New Roman" w:hAnsi="Times New Roman"/>
                <w:szCs w:val="20"/>
                <w:lang w:eastAsia="en-GB"/>
              </w:rPr>
              <w:t>The total amount of funding received from counterparties reported in column 0</w:t>
            </w:r>
            <w:r w:rsidR="00C90DF5" w:rsidRPr="00E37FBE">
              <w:rPr>
                <w:rFonts w:ascii="Times New Roman" w:hAnsi="Times New Roman"/>
                <w:szCs w:val="20"/>
                <w:lang w:eastAsia="en-GB"/>
              </w:rPr>
              <w:t>0</w:t>
            </w:r>
            <w:r w:rsidRPr="00E37FBE">
              <w:rPr>
                <w:rFonts w:ascii="Times New Roman" w:hAnsi="Times New Roman"/>
                <w:szCs w:val="20"/>
                <w:lang w:eastAsia="en-GB"/>
              </w:rPr>
              <w:t>10 shall be recorded in column 0</w:t>
            </w:r>
            <w:r w:rsidR="00C90DF5" w:rsidRPr="00E37FBE">
              <w:rPr>
                <w:rFonts w:ascii="Times New Roman" w:hAnsi="Times New Roman"/>
                <w:szCs w:val="20"/>
                <w:lang w:eastAsia="en-GB"/>
              </w:rPr>
              <w:t>0</w:t>
            </w:r>
            <w:r w:rsidRPr="00E37FBE">
              <w:rPr>
                <w:rFonts w:ascii="Times New Roman" w:hAnsi="Times New Roman"/>
                <w:szCs w:val="20"/>
                <w:lang w:eastAsia="en-GB"/>
              </w:rPr>
              <w:t>60</w:t>
            </w:r>
            <w:r w:rsidR="00181A4F" w:rsidRPr="00E37FBE">
              <w:rPr>
                <w:rFonts w:ascii="Times New Roman" w:hAnsi="Times New Roman"/>
                <w:szCs w:val="20"/>
                <w:lang w:eastAsia="en-GB"/>
              </w:rPr>
              <w:t xml:space="preserve"> and i</w:t>
            </w:r>
            <w:r w:rsidRPr="00E37FBE">
              <w:rPr>
                <w:rFonts w:ascii="Times New Roman" w:hAnsi="Times New Roman"/>
                <w:szCs w:val="20"/>
                <w:lang w:eastAsia="en-GB"/>
              </w:rPr>
              <w:t>nstitutions shall report carrying amounts</w:t>
            </w:r>
            <w:r w:rsidR="00181A4F" w:rsidRPr="00E37FBE">
              <w:rPr>
                <w:rFonts w:ascii="Times New Roman" w:hAnsi="Times New Roman"/>
                <w:szCs w:val="20"/>
                <w:lang w:eastAsia="en-GB"/>
              </w:rPr>
              <w:t xml:space="preserve"> therein</w:t>
            </w:r>
            <w:r w:rsidRPr="00E37FBE">
              <w:rPr>
                <w:rFonts w:ascii="Times New Roman" w:hAnsi="Times New Roman"/>
                <w:szCs w:val="20"/>
                <w:lang w:eastAsia="en-GB"/>
              </w:rPr>
              <w:t xml:space="preserve">. </w:t>
            </w:r>
          </w:p>
          <w:p w14:paraId="380CD660" w14:textId="77777777" w:rsidR="00A344AA" w:rsidRPr="00E37FBE" w:rsidRDefault="00A344AA" w:rsidP="00831507">
            <w:pPr>
              <w:spacing w:before="0" w:after="0"/>
              <w:jc w:val="center"/>
              <w:rPr>
                <w:rFonts w:ascii="Times New Roman" w:hAnsi="Times New Roman"/>
                <w:b/>
                <w:szCs w:val="20"/>
                <w:u w:val="single"/>
                <w:lang w:eastAsia="en-GB"/>
              </w:rPr>
            </w:pPr>
          </w:p>
        </w:tc>
      </w:tr>
      <w:tr w:rsidR="00A344AA" w:rsidRPr="00E37FBE" w14:paraId="12BAF631" w14:textId="77777777" w:rsidTr="005B086D">
        <w:trPr>
          <w:trHeight w:val="2537"/>
        </w:trPr>
        <w:tc>
          <w:tcPr>
            <w:tcW w:w="729" w:type="pct"/>
            <w:shd w:val="clear" w:color="auto" w:fill="auto"/>
            <w:noWrap/>
          </w:tcPr>
          <w:p w14:paraId="24187AE3" w14:textId="56CE1847" w:rsidR="00A344AA" w:rsidRPr="00E37FBE" w:rsidRDefault="00A344AA" w:rsidP="000B288B">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lastRenderedPageBreak/>
              <w:t>0</w:t>
            </w:r>
            <w:r w:rsidR="00C90DF5" w:rsidRPr="00E37FBE">
              <w:rPr>
                <w:rFonts w:ascii="Times New Roman" w:hAnsi="Times New Roman"/>
                <w:color w:val="000000"/>
                <w:szCs w:val="20"/>
                <w:lang w:eastAsia="en-GB"/>
              </w:rPr>
              <w:t>0</w:t>
            </w:r>
            <w:r w:rsidRPr="00E37FBE">
              <w:rPr>
                <w:rFonts w:ascii="Times New Roman" w:hAnsi="Times New Roman"/>
                <w:color w:val="000000"/>
                <w:szCs w:val="20"/>
                <w:lang w:eastAsia="en-GB"/>
              </w:rPr>
              <w:t>70</w:t>
            </w:r>
          </w:p>
        </w:tc>
        <w:tc>
          <w:tcPr>
            <w:tcW w:w="4271" w:type="pct"/>
            <w:gridSpan w:val="2"/>
            <w:shd w:val="clear" w:color="auto" w:fill="auto"/>
          </w:tcPr>
          <w:p w14:paraId="5A2F2CA2" w14:textId="7DA0BFAE" w:rsidR="00A344AA" w:rsidRPr="00E37FBE" w:rsidRDefault="00A344AA" w:rsidP="003A2647">
            <w:pPr>
              <w:spacing w:before="0" w:after="0"/>
              <w:rPr>
                <w:rFonts w:ascii="Times New Roman" w:hAnsi="Times New Roman"/>
                <w:b/>
                <w:szCs w:val="20"/>
                <w:u w:val="single"/>
                <w:lang w:eastAsia="en-GB"/>
              </w:rPr>
            </w:pPr>
            <w:r w:rsidRPr="00E37FBE">
              <w:rPr>
                <w:rFonts w:ascii="Times New Roman" w:hAnsi="Times New Roman"/>
                <w:b/>
                <w:szCs w:val="20"/>
                <w:u w:val="single"/>
                <w:lang w:eastAsia="en-GB"/>
              </w:rPr>
              <w:t xml:space="preserve">Weighted average </w:t>
            </w:r>
            <w:r w:rsidR="008509FB" w:rsidRPr="00E37FBE">
              <w:rPr>
                <w:rFonts w:ascii="Times New Roman" w:hAnsi="Times New Roman"/>
                <w:b/>
                <w:szCs w:val="20"/>
                <w:u w:val="single"/>
                <w:lang w:eastAsia="en-GB"/>
              </w:rPr>
              <w:t xml:space="preserve">original </w:t>
            </w:r>
            <w:r w:rsidRPr="00E37FBE">
              <w:rPr>
                <w:rFonts w:ascii="Times New Roman" w:hAnsi="Times New Roman"/>
                <w:b/>
                <w:szCs w:val="20"/>
                <w:u w:val="single"/>
                <w:lang w:eastAsia="en-GB"/>
              </w:rPr>
              <w:t>maturity</w:t>
            </w:r>
          </w:p>
          <w:p w14:paraId="5ED01858" w14:textId="77777777" w:rsidR="00A344AA" w:rsidRPr="00E37FBE" w:rsidRDefault="00A344AA" w:rsidP="003A2647">
            <w:pPr>
              <w:spacing w:before="0" w:after="0"/>
              <w:rPr>
                <w:rFonts w:ascii="Times New Roman" w:hAnsi="Times New Roman"/>
                <w:b/>
                <w:szCs w:val="20"/>
                <w:u w:val="single"/>
                <w:lang w:eastAsia="en-GB"/>
              </w:rPr>
            </w:pPr>
          </w:p>
          <w:p w14:paraId="7042CB79" w14:textId="55006F03" w:rsidR="00A344AA" w:rsidRPr="00E37FBE" w:rsidRDefault="00A344AA" w:rsidP="003A2647">
            <w:pPr>
              <w:spacing w:before="0" w:after="0"/>
              <w:rPr>
                <w:rFonts w:ascii="Times New Roman" w:hAnsi="Times New Roman"/>
                <w:szCs w:val="20"/>
                <w:lang w:eastAsia="en-GB"/>
              </w:rPr>
            </w:pPr>
            <w:r w:rsidRPr="00E37FBE">
              <w:rPr>
                <w:rFonts w:ascii="Times New Roman" w:hAnsi="Times New Roman"/>
                <w:szCs w:val="20"/>
                <w:lang w:eastAsia="en-GB"/>
              </w:rPr>
              <w:t>For the amount of funding received reported in column 0</w:t>
            </w:r>
            <w:r w:rsidR="00C90DF5" w:rsidRPr="00E37FBE">
              <w:rPr>
                <w:rFonts w:ascii="Times New Roman" w:hAnsi="Times New Roman"/>
                <w:szCs w:val="20"/>
                <w:lang w:eastAsia="en-GB"/>
              </w:rPr>
              <w:t>0</w:t>
            </w:r>
            <w:r w:rsidRPr="00E37FBE">
              <w:rPr>
                <w:rFonts w:ascii="Times New Roman" w:hAnsi="Times New Roman"/>
                <w:szCs w:val="20"/>
                <w:lang w:eastAsia="en-GB"/>
              </w:rPr>
              <w:t>60, from the counterparty reported in column 0</w:t>
            </w:r>
            <w:r w:rsidR="00C90DF5" w:rsidRPr="00E37FBE">
              <w:rPr>
                <w:rFonts w:ascii="Times New Roman" w:hAnsi="Times New Roman"/>
                <w:szCs w:val="20"/>
                <w:lang w:eastAsia="en-GB"/>
              </w:rPr>
              <w:t>0</w:t>
            </w:r>
            <w:r w:rsidRPr="00E37FBE">
              <w:rPr>
                <w:rFonts w:ascii="Times New Roman" w:hAnsi="Times New Roman"/>
                <w:szCs w:val="20"/>
                <w:lang w:eastAsia="en-GB"/>
              </w:rPr>
              <w:t xml:space="preserve">10, a weighted average </w:t>
            </w:r>
            <w:r w:rsidR="00AE0498" w:rsidRPr="00E37FBE">
              <w:rPr>
                <w:rFonts w:ascii="Times New Roman" w:hAnsi="Times New Roman"/>
                <w:szCs w:val="20"/>
                <w:lang w:eastAsia="en-GB"/>
              </w:rPr>
              <w:t>original</w:t>
            </w:r>
            <w:r w:rsidRPr="00E37FBE">
              <w:rPr>
                <w:rFonts w:ascii="Times New Roman" w:hAnsi="Times New Roman"/>
                <w:szCs w:val="20"/>
                <w:lang w:eastAsia="en-GB"/>
              </w:rPr>
              <w:t xml:space="preserve"> maturity (in days) for that funding shall be recorded in column 0</w:t>
            </w:r>
            <w:r w:rsidR="00C90DF5" w:rsidRPr="00E37FBE">
              <w:rPr>
                <w:rFonts w:ascii="Times New Roman" w:hAnsi="Times New Roman"/>
                <w:szCs w:val="20"/>
                <w:lang w:eastAsia="en-GB"/>
              </w:rPr>
              <w:t>0</w:t>
            </w:r>
            <w:r w:rsidRPr="00E37FBE">
              <w:rPr>
                <w:rFonts w:ascii="Times New Roman" w:hAnsi="Times New Roman"/>
                <w:szCs w:val="20"/>
                <w:lang w:eastAsia="en-GB"/>
              </w:rPr>
              <w:t>70.</w:t>
            </w:r>
          </w:p>
          <w:p w14:paraId="4D84C330" w14:textId="77777777" w:rsidR="00A344AA" w:rsidRPr="00E37FBE" w:rsidRDefault="00A344AA" w:rsidP="003A2647">
            <w:pPr>
              <w:spacing w:before="0" w:after="0"/>
              <w:rPr>
                <w:rFonts w:ascii="Times New Roman" w:hAnsi="Times New Roman"/>
                <w:szCs w:val="20"/>
                <w:lang w:eastAsia="en-GB"/>
              </w:rPr>
            </w:pPr>
          </w:p>
          <w:p w14:paraId="61704F47" w14:textId="77777777" w:rsidR="005B086D" w:rsidRPr="00E37FBE" w:rsidRDefault="008563C0" w:rsidP="005B086D">
            <w:pPr>
              <w:spacing w:before="0" w:after="0"/>
              <w:rPr>
                <w:rFonts w:ascii="Times New Roman" w:hAnsi="Times New Roman"/>
                <w:szCs w:val="20"/>
                <w:lang w:eastAsia="en-GB"/>
              </w:rPr>
            </w:pPr>
            <w:r w:rsidRPr="00E37FBE">
              <w:rPr>
                <w:rFonts w:ascii="Times New Roman" w:hAnsi="Times New Roman"/>
                <w:szCs w:val="20"/>
                <w:lang w:eastAsia="en-GB"/>
              </w:rPr>
              <w:t>The w</w:t>
            </w:r>
            <w:r w:rsidR="00A344AA" w:rsidRPr="00E37FBE">
              <w:rPr>
                <w:rFonts w:ascii="Times New Roman" w:hAnsi="Times New Roman"/>
                <w:szCs w:val="20"/>
                <w:lang w:eastAsia="en-GB"/>
              </w:rPr>
              <w:t xml:space="preserve">eighted average </w:t>
            </w:r>
            <w:r w:rsidR="008509FB" w:rsidRPr="00E37FBE">
              <w:rPr>
                <w:rFonts w:ascii="Times New Roman" w:hAnsi="Times New Roman"/>
                <w:szCs w:val="20"/>
                <w:lang w:eastAsia="en-GB"/>
              </w:rPr>
              <w:t>original</w:t>
            </w:r>
            <w:r w:rsidR="00A344AA" w:rsidRPr="00E37FBE">
              <w:rPr>
                <w:rFonts w:ascii="Times New Roman" w:hAnsi="Times New Roman"/>
                <w:szCs w:val="20"/>
                <w:lang w:eastAsia="en-GB"/>
              </w:rPr>
              <w:t xml:space="preserve"> maturity </w:t>
            </w:r>
            <w:r w:rsidRPr="00E37FBE">
              <w:rPr>
                <w:rFonts w:ascii="Times New Roman" w:hAnsi="Times New Roman"/>
                <w:szCs w:val="20"/>
                <w:lang w:eastAsia="en-GB"/>
              </w:rPr>
              <w:t>shall be calculated as</w:t>
            </w:r>
            <w:r w:rsidR="00A344AA" w:rsidRPr="00E37FBE">
              <w:rPr>
                <w:rFonts w:ascii="Times New Roman" w:hAnsi="Times New Roman"/>
                <w:szCs w:val="20"/>
                <w:lang w:eastAsia="en-GB"/>
              </w:rPr>
              <w:t xml:space="preserve"> the average </w:t>
            </w:r>
            <w:r w:rsidR="008509FB" w:rsidRPr="00E37FBE">
              <w:rPr>
                <w:rFonts w:ascii="Times New Roman" w:hAnsi="Times New Roman"/>
                <w:szCs w:val="20"/>
                <w:lang w:eastAsia="en-GB"/>
              </w:rPr>
              <w:t>original</w:t>
            </w:r>
            <w:r w:rsidR="00A344AA" w:rsidRPr="00E37FBE">
              <w:rPr>
                <w:rFonts w:ascii="Times New Roman" w:hAnsi="Times New Roman"/>
                <w:szCs w:val="20"/>
                <w:lang w:eastAsia="en-GB"/>
              </w:rPr>
              <w:t xml:space="preserve"> maturity (in days) of the funding received from that counterparty</w:t>
            </w:r>
            <w:r w:rsidR="009C059B" w:rsidRPr="00E37FBE">
              <w:rPr>
                <w:rFonts w:ascii="Times New Roman" w:hAnsi="Times New Roman"/>
                <w:szCs w:val="20"/>
                <w:lang w:eastAsia="en-GB"/>
              </w:rPr>
              <w:t>. The average shall be size weighted</w:t>
            </w:r>
            <w:r w:rsidR="00314E4D" w:rsidRPr="00E37FBE">
              <w:rPr>
                <w:rFonts w:ascii="Times New Roman" w:hAnsi="Times New Roman"/>
                <w:szCs w:val="20"/>
                <w:lang w:eastAsia="en-GB"/>
              </w:rPr>
              <w:t xml:space="preserve">, </w:t>
            </w:r>
            <w:r w:rsidR="00A344AA" w:rsidRPr="00E37FBE">
              <w:rPr>
                <w:rFonts w:ascii="Times New Roman" w:hAnsi="Times New Roman"/>
                <w:szCs w:val="20"/>
                <w:lang w:eastAsia="en-GB"/>
              </w:rPr>
              <w:t>based on the size of different amounts of funding received</w:t>
            </w:r>
            <w:r w:rsidR="00314E4D" w:rsidRPr="00E37FBE">
              <w:rPr>
                <w:rFonts w:ascii="Times New Roman" w:hAnsi="Times New Roman"/>
                <w:szCs w:val="20"/>
                <w:lang w:eastAsia="en-GB"/>
              </w:rPr>
              <w:t xml:space="preserve"> in proportion </w:t>
            </w:r>
            <w:r w:rsidR="00A344AA" w:rsidRPr="00E37FBE">
              <w:rPr>
                <w:rFonts w:ascii="Times New Roman" w:hAnsi="Times New Roman"/>
                <w:szCs w:val="20"/>
                <w:lang w:eastAsia="en-GB"/>
              </w:rPr>
              <w:t>to</w:t>
            </w:r>
            <w:r w:rsidR="001F6D35" w:rsidRPr="00E37FBE">
              <w:rPr>
                <w:rFonts w:ascii="Times New Roman" w:hAnsi="Times New Roman"/>
                <w:szCs w:val="20"/>
                <w:lang w:eastAsia="en-GB"/>
              </w:rPr>
              <w:t xml:space="preserve"> the</w:t>
            </w:r>
            <w:r w:rsidR="00A344AA" w:rsidRPr="00E37FBE">
              <w:rPr>
                <w:rFonts w:ascii="Times New Roman" w:hAnsi="Times New Roman"/>
                <w:szCs w:val="20"/>
                <w:lang w:eastAsia="en-GB"/>
              </w:rPr>
              <w:t xml:space="preserve"> total funding received</w:t>
            </w:r>
            <w:r w:rsidR="00314E4D" w:rsidRPr="00E37FBE">
              <w:rPr>
                <w:rFonts w:ascii="Times New Roman" w:hAnsi="Times New Roman"/>
                <w:szCs w:val="20"/>
                <w:lang w:eastAsia="en-GB"/>
              </w:rPr>
              <w:t xml:space="preserve"> from that counterparty</w:t>
            </w:r>
            <w:r w:rsidR="00A344AA" w:rsidRPr="00E37FBE">
              <w:rPr>
                <w:rFonts w:ascii="Times New Roman" w:hAnsi="Times New Roman"/>
                <w:szCs w:val="20"/>
                <w:lang w:eastAsia="en-GB"/>
              </w:rPr>
              <w:t>.</w:t>
            </w:r>
          </w:p>
          <w:p w14:paraId="1DDE8E57" w14:textId="77777777" w:rsidR="00381AA0" w:rsidRPr="00E37FBE" w:rsidRDefault="00381AA0" w:rsidP="005B086D">
            <w:pPr>
              <w:spacing w:before="0" w:after="0"/>
              <w:rPr>
                <w:rFonts w:ascii="Times New Roman" w:hAnsi="Times New Roman"/>
                <w:szCs w:val="20"/>
                <w:lang w:eastAsia="en-GB"/>
              </w:rPr>
            </w:pPr>
          </w:p>
          <w:p w14:paraId="33D52360" w14:textId="6179C5E4" w:rsidR="00381AA0" w:rsidRPr="00E37FBE" w:rsidRDefault="00381AA0" w:rsidP="009C2EFD">
            <w:pPr>
              <w:spacing w:before="0" w:after="0"/>
              <w:rPr>
                <w:rFonts w:ascii="Times New Roman" w:hAnsi="Times New Roman"/>
                <w:szCs w:val="20"/>
                <w:lang w:eastAsia="en-GB"/>
              </w:rPr>
            </w:pPr>
            <w:r w:rsidRPr="00E37FBE">
              <w:rPr>
                <w:rFonts w:ascii="Times New Roman" w:hAnsi="Times New Roman"/>
                <w:szCs w:val="20"/>
                <w:lang w:eastAsia="en-GB"/>
              </w:rPr>
              <w:t>For perpetual liabilities institutions shall consider a fixed 20 years maturity and a 1 day maturity for on-demand deposits.</w:t>
            </w:r>
          </w:p>
        </w:tc>
      </w:tr>
      <w:tr w:rsidR="00A344AA" w:rsidRPr="00E37FBE" w14:paraId="3227884A" w14:textId="77777777" w:rsidTr="005B086D">
        <w:trPr>
          <w:trHeight w:val="460"/>
        </w:trPr>
        <w:tc>
          <w:tcPr>
            <w:tcW w:w="729" w:type="pct"/>
            <w:tcBorders>
              <w:bottom w:val="single" w:sz="4" w:space="0" w:color="auto"/>
            </w:tcBorders>
            <w:shd w:val="clear" w:color="auto" w:fill="auto"/>
            <w:noWrap/>
          </w:tcPr>
          <w:p w14:paraId="298360E3" w14:textId="16A27D44" w:rsidR="00A344AA" w:rsidRPr="00E37FBE" w:rsidRDefault="00A344AA" w:rsidP="000B288B">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C90DF5" w:rsidRPr="00E37FBE">
              <w:rPr>
                <w:rFonts w:ascii="Times New Roman" w:hAnsi="Times New Roman"/>
                <w:color w:val="000000"/>
                <w:szCs w:val="20"/>
                <w:lang w:eastAsia="en-GB"/>
              </w:rPr>
              <w:t>0</w:t>
            </w:r>
            <w:r w:rsidRPr="00E37FBE">
              <w:rPr>
                <w:rFonts w:ascii="Times New Roman" w:hAnsi="Times New Roman"/>
                <w:color w:val="000000"/>
                <w:szCs w:val="20"/>
                <w:lang w:eastAsia="en-GB"/>
              </w:rPr>
              <w:t>80</w:t>
            </w:r>
          </w:p>
        </w:tc>
        <w:tc>
          <w:tcPr>
            <w:tcW w:w="4271" w:type="pct"/>
            <w:gridSpan w:val="2"/>
            <w:tcBorders>
              <w:bottom w:val="single" w:sz="4" w:space="0" w:color="auto"/>
            </w:tcBorders>
            <w:shd w:val="clear" w:color="auto" w:fill="auto"/>
          </w:tcPr>
          <w:p w14:paraId="3028A8F3" w14:textId="77777777" w:rsidR="00A344AA" w:rsidRPr="00E37FBE" w:rsidRDefault="00A344AA" w:rsidP="003A2647">
            <w:pPr>
              <w:spacing w:before="0" w:after="0"/>
              <w:rPr>
                <w:rFonts w:ascii="Times New Roman" w:hAnsi="Times New Roman"/>
                <w:b/>
                <w:szCs w:val="20"/>
                <w:u w:val="single"/>
                <w:lang w:eastAsia="en-GB"/>
              </w:rPr>
            </w:pPr>
            <w:r w:rsidRPr="00E37FBE">
              <w:rPr>
                <w:rFonts w:ascii="Times New Roman" w:hAnsi="Times New Roman"/>
                <w:b/>
                <w:szCs w:val="20"/>
                <w:u w:val="single"/>
                <w:lang w:eastAsia="en-GB"/>
              </w:rPr>
              <w:t>Weighted average residual maturity</w:t>
            </w:r>
          </w:p>
          <w:p w14:paraId="22E64CDE" w14:textId="77777777" w:rsidR="00A344AA" w:rsidRPr="00E37FBE" w:rsidRDefault="00A344AA" w:rsidP="003A2647">
            <w:pPr>
              <w:spacing w:before="0" w:after="0"/>
              <w:rPr>
                <w:rFonts w:ascii="Times New Roman" w:hAnsi="Times New Roman"/>
                <w:b/>
                <w:szCs w:val="20"/>
                <w:u w:val="single"/>
                <w:lang w:eastAsia="en-GB"/>
              </w:rPr>
            </w:pPr>
          </w:p>
          <w:p w14:paraId="781FAB46" w14:textId="0F662298" w:rsidR="00A344AA" w:rsidRPr="00E37FBE" w:rsidRDefault="00A344AA" w:rsidP="003A2647">
            <w:pPr>
              <w:spacing w:before="0" w:after="0"/>
              <w:rPr>
                <w:rFonts w:ascii="Times New Roman" w:hAnsi="Times New Roman"/>
                <w:szCs w:val="20"/>
                <w:lang w:eastAsia="en-GB"/>
              </w:rPr>
            </w:pPr>
            <w:r w:rsidRPr="00E37FBE">
              <w:rPr>
                <w:rFonts w:ascii="Times New Roman" w:hAnsi="Times New Roman"/>
                <w:szCs w:val="20"/>
                <w:lang w:eastAsia="en-GB"/>
              </w:rPr>
              <w:t>For the amount of funding received reported in column 0</w:t>
            </w:r>
            <w:r w:rsidR="00C90DF5" w:rsidRPr="00E37FBE">
              <w:rPr>
                <w:rFonts w:ascii="Times New Roman" w:hAnsi="Times New Roman"/>
                <w:szCs w:val="20"/>
                <w:lang w:eastAsia="en-GB"/>
              </w:rPr>
              <w:t>0</w:t>
            </w:r>
            <w:r w:rsidRPr="00E37FBE">
              <w:rPr>
                <w:rFonts w:ascii="Times New Roman" w:hAnsi="Times New Roman"/>
                <w:szCs w:val="20"/>
                <w:lang w:eastAsia="en-GB"/>
              </w:rPr>
              <w:t>60, from the counterparty reported in column 0</w:t>
            </w:r>
            <w:r w:rsidR="00C90DF5" w:rsidRPr="00E37FBE">
              <w:rPr>
                <w:rFonts w:ascii="Times New Roman" w:hAnsi="Times New Roman"/>
                <w:szCs w:val="20"/>
                <w:lang w:eastAsia="en-GB"/>
              </w:rPr>
              <w:t>0</w:t>
            </w:r>
            <w:r w:rsidRPr="00E37FBE">
              <w:rPr>
                <w:rFonts w:ascii="Times New Roman" w:hAnsi="Times New Roman"/>
                <w:szCs w:val="20"/>
                <w:lang w:eastAsia="en-GB"/>
              </w:rPr>
              <w:t>10, a weighted average residual maturity</w:t>
            </w:r>
            <w:r w:rsidR="00181A4F" w:rsidRPr="00E37FBE">
              <w:rPr>
                <w:rFonts w:ascii="Times New Roman" w:hAnsi="Times New Roman"/>
                <w:szCs w:val="20"/>
                <w:lang w:eastAsia="en-GB"/>
              </w:rPr>
              <w:t>,</w:t>
            </w:r>
            <w:r w:rsidRPr="00E37FBE">
              <w:rPr>
                <w:rFonts w:ascii="Times New Roman" w:hAnsi="Times New Roman"/>
                <w:szCs w:val="20"/>
                <w:lang w:eastAsia="en-GB"/>
              </w:rPr>
              <w:t xml:space="preserve"> in days</w:t>
            </w:r>
            <w:r w:rsidR="00181A4F" w:rsidRPr="00E37FBE">
              <w:rPr>
                <w:rFonts w:ascii="Times New Roman" w:hAnsi="Times New Roman"/>
                <w:szCs w:val="20"/>
                <w:lang w:eastAsia="en-GB"/>
              </w:rPr>
              <w:t>,</w:t>
            </w:r>
            <w:r w:rsidRPr="00E37FBE">
              <w:rPr>
                <w:rFonts w:ascii="Times New Roman" w:hAnsi="Times New Roman"/>
                <w:szCs w:val="20"/>
                <w:lang w:eastAsia="en-GB"/>
              </w:rPr>
              <w:t xml:space="preserve"> for that funding shall be recorded in column 0</w:t>
            </w:r>
            <w:r w:rsidR="00C90DF5" w:rsidRPr="00E37FBE">
              <w:rPr>
                <w:rFonts w:ascii="Times New Roman" w:hAnsi="Times New Roman"/>
                <w:szCs w:val="20"/>
                <w:lang w:eastAsia="en-GB"/>
              </w:rPr>
              <w:t>0</w:t>
            </w:r>
            <w:r w:rsidRPr="00E37FBE">
              <w:rPr>
                <w:rFonts w:ascii="Times New Roman" w:hAnsi="Times New Roman"/>
                <w:szCs w:val="20"/>
                <w:lang w:eastAsia="en-GB"/>
              </w:rPr>
              <w:t>80.</w:t>
            </w:r>
          </w:p>
          <w:p w14:paraId="71FA9955" w14:textId="77777777" w:rsidR="00A344AA" w:rsidRPr="00E37FBE" w:rsidRDefault="00A344AA" w:rsidP="003A2647">
            <w:pPr>
              <w:spacing w:before="0" w:after="0"/>
              <w:rPr>
                <w:rFonts w:ascii="Times New Roman" w:hAnsi="Times New Roman"/>
                <w:szCs w:val="20"/>
                <w:lang w:eastAsia="en-GB"/>
              </w:rPr>
            </w:pPr>
          </w:p>
          <w:p w14:paraId="5C2654B2" w14:textId="77777777" w:rsidR="00A344AA" w:rsidRPr="00E37FBE" w:rsidRDefault="009C059B" w:rsidP="003A2647">
            <w:pPr>
              <w:spacing w:before="0" w:after="0"/>
              <w:rPr>
                <w:rFonts w:ascii="Times New Roman" w:hAnsi="Times New Roman"/>
                <w:szCs w:val="20"/>
                <w:lang w:eastAsia="en-GB"/>
              </w:rPr>
            </w:pPr>
            <w:r w:rsidRPr="00E37FBE">
              <w:rPr>
                <w:rFonts w:ascii="Times New Roman" w:hAnsi="Times New Roman"/>
                <w:szCs w:val="20"/>
                <w:lang w:eastAsia="en-GB"/>
              </w:rPr>
              <w:t>The w</w:t>
            </w:r>
            <w:r w:rsidR="00A344AA" w:rsidRPr="00E37FBE">
              <w:rPr>
                <w:rFonts w:ascii="Times New Roman" w:hAnsi="Times New Roman"/>
                <w:szCs w:val="20"/>
                <w:lang w:eastAsia="en-GB"/>
              </w:rPr>
              <w:t>eighted average residual maturity</w:t>
            </w:r>
            <w:r w:rsidRPr="00E37FBE">
              <w:rPr>
                <w:rFonts w:ascii="Times New Roman" w:hAnsi="Times New Roman"/>
                <w:szCs w:val="20"/>
                <w:lang w:eastAsia="en-GB"/>
              </w:rPr>
              <w:t xml:space="preserve"> shall be calculated as</w:t>
            </w:r>
            <w:r w:rsidR="00A344AA" w:rsidRPr="00E37FBE">
              <w:rPr>
                <w:rFonts w:ascii="Times New Roman" w:hAnsi="Times New Roman"/>
                <w:szCs w:val="20"/>
                <w:lang w:eastAsia="en-GB"/>
              </w:rPr>
              <w:t xml:space="preserve"> the average maturity</w:t>
            </w:r>
            <w:r w:rsidR="00181A4F" w:rsidRPr="00E37FBE">
              <w:rPr>
                <w:rFonts w:ascii="Times New Roman" w:hAnsi="Times New Roman"/>
                <w:szCs w:val="20"/>
                <w:lang w:eastAsia="en-GB"/>
              </w:rPr>
              <w:t>,</w:t>
            </w:r>
            <w:r w:rsidR="00A344AA" w:rsidRPr="00E37FBE">
              <w:rPr>
                <w:rFonts w:ascii="Times New Roman" w:hAnsi="Times New Roman"/>
                <w:szCs w:val="20"/>
                <w:lang w:eastAsia="en-GB"/>
              </w:rPr>
              <w:t xml:space="preserve"> in</w:t>
            </w:r>
            <w:r w:rsidR="00314E4D" w:rsidRPr="00E37FBE">
              <w:rPr>
                <w:rFonts w:ascii="Times New Roman" w:hAnsi="Times New Roman"/>
                <w:szCs w:val="20"/>
                <w:lang w:eastAsia="en-GB"/>
              </w:rPr>
              <w:t xml:space="preserve"> remaining</w:t>
            </w:r>
            <w:r w:rsidR="00A344AA" w:rsidRPr="00E37FBE">
              <w:rPr>
                <w:rFonts w:ascii="Times New Roman" w:hAnsi="Times New Roman"/>
                <w:szCs w:val="20"/>
                <w:lang w:eastAsia="en-GB"/>
              </w:rPr>
              <w:t xml:space="preserve"> days</w:t>
            </w:r>
            <w:r w:rsidR="00181A4F" w:rsidRPr="00E37FBE">
              <w:rPr>
                <w:rFonts w:ascii="Times New Roman" w:hAnsi="Times New Roman"/>
                <w:szCs w:val="20"/>
                <w:lang w:eastAsia="en-GB"/>
              </w:rPr>
              <w:t>,</w:t>
            </w:r>
            <w:r w:rsidR="00A344AA" w:rsidRPr="00E37FBE">
              <w:rPr>
                <w:rFonts w:ascii="Times New Roman" w:hAnsi="Times New Roman"/>
                <w:szCs w:val="20"/>
                <w:lang w:eastAsia="en-GB"/>
              </w:rPr>
              <w:t xml:space="preserve"> of the funding received from that counterparty</w:t>
            </w:r>
            <w:r w:rsidR="00314E4D" w:rsidRPr="00E37FBE">
              <w:rPr>
                <w:rFonts w:ascii="Times New Roman" w:hAnsi="Times New Roman"/>
                <w:szCs w:val="20"/>
                <w:lang w:eastAsia="en-GB"/>
              </w:rPr>
              <w:t>. The average shall be size weighted,</w:t>
            </w:r>
            <w:r w:rsidR="00A344AA" w:rsidRPr="00E37FBE">
              <w:rPr>
                <w:rFonts w:ascii="Times New Roman" w:hAnsi="Times New Roman"/>
                <w:szCs w:val="20"/>
                <w:lang w:eastAsia="en-GB"/>
              </w:rPr>
              <w:t xml:space="preserve"> based on the size of different amounts of funding received </w:t>
            </w:r>
            <w:r w:rsidR="00314E4D" w:rsidRPr="00E37FBE">
              <w:rPr>
                <w:rFonts w:ascii="Times New Roman" w:hAnsi="Times New Roman"/>
                <w:szCs w:val="20"/>
                <w:lang w:eastAsia="en-GB"/>
              </w:rPr>
              <w:t xml:space="preserve">in proportion </w:t>
            </w:r>
            <w:r w:rsidR="00A344AA" w:rsidRPr="00E37FBE">
              <w:rPr>
                <w:rFonts w:ascii="Times New Roman" w:hAnsi="Times New Roman"/>
                <w:szCs w:val="20"/>
                <w:lang w:eastAsia="en-GB"/>
              </w:rPr>
              <w:t>to</w:t>
            </w:r>
            <w:r w:rsidR="001F6D35" w:rsidRPr="00E37FBE">
              <w:rPr>
                <w:rFonts w:ascii="Times New Roman" w:hAnsi="Times New Roman"/>
                <w:szCs w:val="20"/>
                <w:lang w:eastAsia="en-GB"/>
              </w:rPr>
              <w:t xml:space="preserve"> the</w:t>
            </w:r>
            <w:r w:rsidR="00A344AA" w:rsidRPr="00E37FBE">
              <w:rPr>
                <w:rFonts w:ascii="Times New Roman" w:hAnsi="Times New Roman"/>
                <w:szCs w:val="20"/>
                <w:lang w:eastAsia="en-GB"/>
              </w:rPr>
              <w:t xml:space="preserve"> total funding received</w:t>
            </w:r>
            <w:r w:rsidR="00314E4D" w:rsidRPr="00E37FBE">
              <w:rPr>
                <w:rFonts w:ascii="Times New Roman" w:hAnsi="Times New Roman"/>
                <w:szCs w:val="20"/>
                <w:lang w:eastAsia="en-GB"/>
              </w:rPr>
              <w:t xml:space="preserve"> from that counterparty</w:t>
            </w:r>
            <w:r w:rsidR="00A344AA" w:rsidRPr="00E37FBE">
              <w:rPr>
                <w:rFonts w:ascii="Times New Roman" w:hAnsi="Times New Roman"/>
                <w:szCs w:val="20"/>
                <w:lang w:eastAsia="en-GB"/>
              </w:rPr>
              <w:t>.</w:t>
            </w:r>
          </w:p>
          <w:p w14:paraId="0A2CCAEF" w14:textId="77777777" w:rsidR="00381AA0" w:rsidRPr="00E37FBE" w:rsidRDefault="00381AA0" w:rsidP="003A2647">
            <w:pPr>
              <w:spacing w:before="0" w:after="0"/>
              <w:rPr>
                <w:rFonts w:ascii="Times New Roman" w:hAnsi="Times New Roman"/>
                <w:szCs w:val="20"/>
                <w:lang w:eastAsia="en-GB"/>
              </w:rPr>
            </w:pPr>
          </w:p>
          <w:p w14:paraId="4CB0B549" w14:textId="17A9B058" w:rsidR="00381AA0" w:rsidRPr="00E37FBE" w:rsidRDefault="00381AA0" w:rsidP="009C2EFD">
            <w:pPr>
              <w:spacing w:before="0" w:after="0"/>
              <w:rPr>
                <w:rFonts w:ascii="Times New Roman" w:hAnsi="Times New Roman"/>
                <w:szCs w:val="20"/>
                <w:lang w:eastAsia="en-GB"/>
              </w:rPr>
            </w:pPr>
            <w:r w:rsidRPr="00E37FBE">
              <w:rPr>
                <w:rFonts w:ascii="Times New Roman" w:hAnsi="Times New Roman"/>
                <w:szCs w:val="20"/>
                <w:lang w:eastAsia="en-GB"/>
              </w:rPr>
              <w:t>For perpetual liabilities institutions shall consider a fixed 20 years maturity and a 1 day maturity for on-demand deposits.</w:t>
            </w:r>
          </w:p>
        </w:tc>
      </w:tr>
    </w:tbl>
    <w:p w14:paraId="0520EE98" w14:textId="77777777" w:rsidR="00A344AA" w:rsidRPr="00E37FBE" w:rsidRDefault="00A344AA" w:rsidP="00A344AA">
      <w:pPr>
        <w:pStyle w:val="Instructionsberschrift2"/>
        <w:numPr>
          <w:ilvl w:val="1"/>
          <w:numId w:val="2"/>
        </w:numPr>
        <w:spacing w:before="0"/>
        <w:rPr>
          <w:rFonts w:ascii="Times New Roman" w:hAnsi="Times New Roman" w:cs="Times New Roman"/>
          <w:szCs w:val="20"/>
        </w:rPr>
      </w:pPr>
      <w:r w:rsidRPr="00E37FBE">
        <w:rPr>
          <w:rFonts w:ascii="Times New Roman" w:hAnsi="Times New Roman" w:cs="Times New Roman"/>
          <w:szCs w:val="20"/>
        </w:rPr>
        <w:t>Concentration of funding by product type (C 68.00)</w:t>
      </w:r>
    </w:p>
    <w:p w14:paraId="5B6DFC15" w14:textId="3E2FC327" w:rsidR="00A344AA" w:rsidRPr="00E37FBE" w:rsidRDefault="00A344AA" w:rsidP="00CC3091">
      <w:pPr>
        <w:pStyle w:val="InstructionsText2"/>
        <w:numPr>
          <w:ilvl w:val="0"/>
          <w:numId w:val="13"/>
        </w:numPr>
        <w:rPr>
          <w:u w:val="none"/>
        </w:rPr>
      </w:pPr>
      <w:r w:rsidRPr="00E37FBE">
        <w:rPr>
          <w:u w:val="none"/>
        </w:rPr>
        <w:t>This template collect</w:t>
      </w:r>
      <w:r w:rsidR="00E87718" w:rsidRPr="00E37FBE">
        <w:rPr>
          <w:u w:val="none"/>
        </w:rPr>
        <w:t>s</w:t>
      </w:r>
      <w:r w:rsidRPr="00E37FBE">
        <w:rPr>
          <w:u w:val="none"/>
        </w:rPr>
        <w:t xml:space="preserve"> information about the reporting institutions’ concentration of funding by product type, broken down into the funding types</w:t>
      </w:r>
      <w:r w:rsidR="003439C5" w:rsidRPr="00E37FBE">
        <w:rPr>
          <w:u w:val="none"/>
        </w:rPr>
        <w:t xml:space="preserve"> as specified in the following instructions regarding rows</w:t>
      </w:r>
      <w:r w:rsidRPr="00E37FBE">
        <w:rPr>
          <w:u w:val="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7086"/>
      </w:tblGrid>
      <w:tr w:rsidR="003439C5" w:rsidRPr="00E37FBE" w14:paraId="4806820B" w14:textId="77777777" w:rsidTr="00D75947">
        <w:trPr>
          <w:trHeight w:val="428"/>
        </w:trPr>
        <w:tc>
          <w:tcPr>
            <w:tcW w:w="729" w:type="pct"/>
            <w:tcBorders>
              <w:top w:val="single" w:sz="4" w:space="0" w:color="auto"/>
              <w:left w:val="single" w:sz="4" w:space="0" w:color="auto"/>
              <w:bottom w:val="single" w:sz="4" w:space="0" w:color="auto"/>
              <w:right w:val="single" w:sz="4" w:space="0" w:color="auto"/>
            </w:tcBorders>
            <w:shd w:val="clear" w:color="auto" w:fill="E6E6E6"/>
            <w:noWrap/>
          </w:tcPr>
          <w:p w14:paraId="60B78C9D" w14:textId="2D8C2365" w:rsidR="003439C5" w:rsidRPr="00E37FBE" w:rsidRDefault="003439C5" w:rsidP="00D75947">
            <w:pPr>
              <w:spacing w:before="0" w:after="0"/>
              <w:jc w:val="left"/>
              <w:rPr>
                <w:rStyle w:val="InstructionsTabelleText"/>
                <w:rFonts w:ascii="Times New Roman" w:hAnsi="Times New Roman"/>
                <w:szCs w:val="20"/>
              </w:rPr>
            </w:pPr>
            <w:r w:rsidRPr="00E37FBE">
              <w:rPr>
                <w:rStyle w:val="InstructionsTabelleText"/>
                <w:rFonts w:ascii="Times New Roman" w:hAnsi="Times New Roman"/>
                <w:szCs w:val="20"/>
                <w:lang w:eastAsia="en-GB"/>
              </w:rPr>
              <w:t>Row</w:t>
            </w:r>
          </w:p>
        </w:tc>
        <w:tc>
          <w:tcPr>
            <w:tcW w:w="4271" w:type="pct"/>
            <w:tcBorders>
              <w:top w:val="single" w:sz="4" w:space="0" w:color="auto"/>
              <w:left w:val="single" w:sz="4" w:space="0" w:color="auto"/>
              <w:bottom w:val="single" w:sz="4" w:space="0" w:color="auto"/>
              <w:right w:val="single" w:sz="4" w:space="0" w:color="auto"/>
            </w:tcBorders>
            <w:shd w:val="clear" w:color="auto" w:fill="E6E6E6"/>
          </w:tcPr>
          <w:p w14:paraId="7C9A56F2" w14:textId="77777777" w:rsidR="003439C5" w:rsidRPr="00E37FBE" w:rsidRDefault="003439C5" w:rsidP="00D75947">
            <w:pPr>
              <w:spacing w:before="0" w:after="0"/>
              <w:jc w:val="left"/>
              <w:rPr>
                <w:rStyle w:val="InstructionsTabelleText"/>
                <w:rFonts w:ascii="Times New Roman" w:hAnsi="Times New Roman"/>
                <w:szCs w:val="20"/>
              </w:rPr>
            </w:pPr>
            <w:r w:rsidRPr="00E37FBE">
              <w:rPr>
                <w:rStyle w:val="InstructionsTabelleText"/>
                <w:rFonts w:ascii="Times New Roman" w:hAnsi="Times New Roman"/>
                <w:szCs w:val="20"/>
                <w:lang w:eastAsia="en-GB"/>
              </w:rPr>
              <w:t>Legal references and instructions</w:t>
            </w:r>
          </w:p>
        </w:tc>
      </w:tr>
      <w:tr w:rsidR="003439C5" w:rsidRPr="00E37FBE" w14:paraId="72F8A6C8" w14:textId="77777777" w:rsidTr="00D75947">
        <w:trPr>
          <w:trHeight w:val="1020"/>
        </w:trPr>
        <w:tc>
          <w:tcPr>
            <w:tcW w:w="729" w:type="pct"/>
            <w:tcBorders>
              <w:top w:val="single" w:sz="4" w:space="0" w:color="auto"/>
              <w:left w:val="single" w:sz="4" w:space="0" w:color="auto"/>
              <w:bottom w:val="single" w:sz="4" w:space="0" w:color="auto"/>
              <w:right w:val="single" w:sz="4" w:space="0" w:color="auto"/>
            </w:tcBorders>
            <w:shd w:val="clear" w:color="auto" w:fill="auto"/>
            <w:noWrap/>
          </w:tcPr>
          <w:p w14:paraId="3CB7AAB3" w14:textId="74EF2990" w:rsidR="003439C5" w:rsidRPr="00E37FBE" w:rsidRDefault="003439C5" w:rsidP="00D75947">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C90DF5" w:rsidRPr="00E37FBE">
              <w:rPr>
                <w:rFonts w:ascii="Times New Roman" w:hAnsi="Times New Roman"/>
                <w:color w:val="000000"/>
                <w:szCs w:val="20"/>
                <w:lang w:eastAsia="en-GB"/>
              </w:rPr>
              <w:t>0</w:t>
            </w:r>
            <w:r w:rsidRPr="00E37FBE">
              <w:rPr>
                <w:rFonts w:ascii="Times New Roman" w:hAnsi="Times New Roman"/>
                <w:color w:val="000000"/>
                <w:szCs w:val="20"/>
                <w:lang w:eastAsia="en-GB"/>
              </w:rPr>
              <w:t>10</w:t>
            </w:r>
          </w:p>
        </w:tc>
        <w:tc>
          <w:tcPr>
            <w:tcW w:w="4271" w:type="pct"/>
            <w:tcBorders>
              <w:top w:val="single" w:sz="4" w:space="0" w:color="auto"/>
              <w:left w:val="single" w:sz="4" w:space="0" w:color="auto"/>
              <w:bottom w:val="single" w:sz="4" w:space="0" w:color="auto"/>
              <w:right w:val="single" w:sz="4" w:space="0" w:color="auto"/>
            </w:tcBorders>
            <w:shd w:val="clear" w:color="auto" w:fill="auto"/>
          </w:tcPr>
          <w:p w14:paraId="6D1C7289" w14:textId="3BF13311" w:rsidR="003439C5" w:rsidRPr="00E37FBE" w:rsidRDefault="003439C5" w:rsidP="00D75947">
            <w:pPr>
              <w:spacing w:before="0" w:after="0"/>
              <w:rPr>
                <w:rFonts w:ascii="Times New Roman" w:hAnsi="Times New Roman"/>
                <w:b/>
                <w:szCs w:val="20"/>
                <w:u w:val="single"/>
                <w:lang w:eastAsia="en-GB"/>
              </w:rPr>
            </w:pPr>
            <w:r w:rsidRPr="00E37FBE">
              <w:rPr>
                <w:rFonts w:ascii="Times New Roman" w:hAnsi="Times New Roman"/>
                <w:b/>
                <w:szCs w:val="20"/>
                <w:u w:val="single"/>
                <w:lang w:eastAsia="en-GB"/>
              </w:rPr>
              <w:t>1.</w:t>
            </w:r>
            <w:r w:rsidRPr="00E37FBE">
              <w:rPr>
                <w:rFonts w:ascii="Times New Roman" w:hAnsi="Times New Roman"/>
                <w:b/>
                <w:szCs w:val="20"/>
                <w:u w:val="single"/>
                <w:lang w:eastAsia="en-GB"/>
              </w:rPr>
              <w:tab/>
              <w:t>Retail funding</w:t>
            </w:r>
          </w:p>
          <w:p w14:paraId="7762E5FB" w14:textId="77777777" w:rsidR="003439C5" w:rsidRPr="00E37FBE" w:rsidRDefault="003439C5" w:rsidP="00D75947">
            <w:pPr>
              <w:spacing w:before="0" w:after="0"/>
              <w:rPr>
                <w:rFonts w:ascii="Times New Roman" w:hAnsi="Times New Roman"/>
                <w:b/>
                <w:szCs w:val="20"/>
                <w:u w:val="single"/>
                <w:lang w:eastAsia="en-GB"/>
              </w:rPr>
            </w:pPr>
          </w:p>
          <w:p w14:paraId="281DC3E6" w14:textId="495E77FF" w:rsidR="003439C5" w:rsidRPr="00E37FBE" w:rsidRDefault="00E87A50" w:rsidP="00D75947">
            <w:pPr>
              <w:spacing w:before="0" w:after="0"/>
              <w:rPr>
                <w:szCs w:val="20"/>
              </w:rPr>
            </w:pPr>
            <w:r w:rsidRPr="00E37FBE">
              <w:rPr>
                <w:rFonts w:ascii="Times New Roman" w:hAnsi="Times New Roman"/>
                <w:szCs w:val="20"/>
                <w:lang w:eastAsia="en-GB"/>
              </w:rPr>
              <w:t xml:space="preserve">Retail </w:t>
            </w:r>
            <w:r w:rsidR="006624FA" w:rsidRPr="00E37FBE">
              <w:rPr>
                <w:rFonts w:ascii="Times New Roman" w:hAnsi="Times New Roman"/>
                <w:szCs w:val="20"/>
                <w:lang w:eastAsia="en-GB"/>
              </w:rPr>
              <w:t>deposits</w:t>
            </w:r>
            <w:r w:rsidRPr="00E37FBE">
              <w:rPr>
                <w:rFonts w:ascii="Times New Roman" w:hAnsi="Times New Roman"/>
                <w:szCs w:val="20"/>
                <w:lang w:eastAsia="en-GB"/>
              </w:rPr>
              <w:t xml:space="preserve"> as defined in </w:t>
            </w:r>
            <w:r w:rsidR="00980392" w:rsidRPr="00E37FBE">
              <w:rPr>
                <w:rFonts w:ascii="Times New Roman" w:hAnsi="Times New Roman"/>
                <w:szCs w:val="20"/>
                <w:lang w:eastAsia="en-GB"/>
              </w:rPr>
              <w:t>Article 411</w:t>
            </w:r>
            <w:r w:rsidR="00B91AC8" w:rsidRPr="00E37FBE">
              <w:rPr>
                <w:rFonts w:ascii="Times New Roman" w:hAnsi="Times New Roman"/>
                <w:szCs w:val="20"/>
                <w:lang w:eastAsia="en-GB"/>
              </w:rPr>
              <w:t xml:space="preserve">, point </w:t>
            </w:r>
            <w:r w:rsidR="00980392" w:rsidRPr="00E37FBE">
              <w:rPr>
                <w:rFonts w:ascii="Times New Roman" w:hAnsi="Times New Roman"/>
                <w:szCs w:val="20"/>
                <w:lang w:eastAsia="en-GB"/>
              </w:rPr>
              <w:t>(2)</w:t>
            </w:r>
            <w:r w:rsidR="00B91AC8" w:rsidRPr="00E37FBE">
              <w:rPr>
                <w:rFonts w:ascii="Times New Roman" w:hAnsi="Times New Roman"/>
                <w:szCs w:val="20"/>
                <w:lang w:eastAsia="en-GB"/>
              </w:rPr>
              <w:t>,</w:t>
            </w:r>
            <w:r w:rsidR="00980392" w:rsidRPr="00E37FBE">
              <w:rPr>
                <w:rFonts w:ascii="Times New Roman" w:hAnsi="Times New Roman"/>
                <w:szCs w:val="20"/>
                <w:lang w:eastAsia="en-GB"/>
              </w:rPr>
              <w:t xml:space="preserve"> of Regulation (EU) No 575/2013</w:t>
            </w:r>
            <w:r w:rsidR="00F9747D" w:rsidRPr="00E37FBE">
              <w:rPr>
                <w:rFonts w:ascii="Times New Roman" w:hAnsi="Times New Roman"/>
                <w:szCs w:val="20"/>
                <w:lang w:eastAsia="en-GB"/>
              </w:rPr>
              <w:t>,</w:t>
            </w:r>
            <w:r w:rsidR="008E720B" w:rsidRPr="00E37FBE">
              <w:rPr>
                <w:rFonts w:ascii="Times New Roman" w:hAnsi="Times New Roman"/>
                <w:szCs w:val="20"/>
                <w:lang w:eastAsia="en-GB"/>
              </w:rPr>
              <w:t xml:space="preserve"> and retail bonds as </w:t>
            </w:r>
            <w:r w:rsidR="00E87718" w:rsidRPr="00E37FBE">
              <w:rPr>
                <w:rFonts w:ascii="Times New Roman" w:hAnsi="Times New Roman"/>
                <w:szCs w:val="20"/>
                <w:lang w:eastAsia="en-GB"/>
              </w:rPr>
              <w:t>referred to in</w:t>
            </w:r>
            <w:r w:rsidR="008E720B" w:rsidRPr="00E37FBE">
              <w:rPr>
                <w:rFonts w:ascii="Times New Roman" w:hAnsi="Times New Roman"/>
                <w:szCs w:val="20"/>
                <w:lang w:eastAsia="en-GB"/>
              </w:rPr>
              <w:t xml:space="preserve"> Article 28(6)</w:t>
            </w:r>
            <w:r w:rsidR="00F9747D" w:rsidRPr="00E37FBE">
              <w:rPr>
                <w:rFonts w:ascii="Times New Roman" w:hAnsi="Times New Roman"/>
                <w:szCs w:val="20"/>
                <w:lang w:eastAsia="en-GB"/>
              </w:rPr>
              <w:t>,</w:t>
            </w:r>
            <w:r w:rsidR="008E720B" w:rsidRPr="00E37FBE">
              <w:rPr>
                <w:rFonts w:ascii="Times New Roman" w:hAnsi="Times New Roman"/>
                <w:szCs w:val="20"/>
                <w:lang w:eastAsia="en-GB"/>
              </w:rPr>
              <w:t xml:space="preserve"> of Commission Delegated Regulation (EU) 2015/61.</w:t>
            </w:r>
          </w:p>
          <w:p w14:paraId="18F10FD2" w14:textId="77777777" w:rsidR="003439C5" w:rsidRPr="00E37FBE" w:rsidRDefault="003439C5" w:rsidP="00D75947">
            <w:pPr>
              <w:spacing w:before="0" w:after="0"/>
              <w:rPr>
                <w:rFonts w:ascii="Times New Roman" w:hAnsi="Times New Roman"/>
                <w:b/>
                <w:szCs w:val="20"/>
                <w:u w:val="single"/>
                <w:lang w:eastAsia="en-GB"/>
              </w:rPr>
            </w:pPr>
          </w:p>
        </w:tc>
      </w:tr>
      <w:tr w:rsidR="003439C5" w:rsidRPr="00E37FBE" w14:paraId="1A68CA37" w14:textId="77777777" w:rsidTr="00D75947">
        <w:trPr>
          <w:trHeight w:val="1020"/>
        </w:trPr>
        <w:tc>
          <w:tcPr>
            <w:tcW w:w="729" w:type="pct"/>
            <w:tcBorders>
              <w:top w:val="single" w:sz="4" w:space="0" w:color="auto"/>
              <w:left w:val="single" w:sz="4" w:space="0" w:color="auto"/>
              <w:bottom w:val="single" w:sz="4" w:space="0" w:color="auto"/>
              <w:right w:val="single" w:sz="4" w:space="0" w:color="auto"/>
            </w:tcBorders>
            <w:shd w:val="clear" w:color="auto" w:fill="auto"/>
            <w:noWrap/>
          </w:tcPr>
          <w:p w14:paraId="48232909" w14:textId="4372E3C7" w:rsidR="003439C5" w:rsidRPr="00E37FBE" w:rsidRDefault="003439C5" w:rsidP="00D75947">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C90DF5" w:rsidRPr="00E37FBE">
              <w:rPr>
                <w:rFonts w:ascii="Times New Roman" w:hAnsi="Times New Roman"/>
                <w:color w:val="000000"/>
                <w:szCs w:val="20"/>
                <w:lang w:eastAsia="en-GB"/>
              </w:rPr>
              <w:t>0</w:t>
            </w:r>
            <w:r w:rsidRPr="00E37FBE">
              <w:rPr>
                <w:rFonts w:ascii="Times New Roman" w:hAnsi="Times New Roman"/>
                <w:color w:val="000000"/>
                <w:szCs w:val="20"/>
                <w:lang w:eastAsia="en-GB"/>
              </w:rPr>
              <w:t>20</w:t>
            </w:r>
          </w:p>
        </w:tc>
        <w:tc>
          <w:tcPr>
            <w:tcW w:w="4271" w:type="pct"/>
            <w:tcBorders>
              <w:top w:val="single" w:sz="4" w:space="0" w:color="auto"/>
              <w:left w:val="single" w:sz="4" w:space="0" w:color="auto"/>
              <w:bottom w:val="single" w:sz="4" w:space="0" w:color="auto"/>
              <w:right w:val="single" w:sz="4" w:space="0" w:color="auto"/>
            </w:tcBorders>
            <w:shd w:val="clear" w:color="auto" w:fill="auto"/>
          </w:tcPr>
          <w:p w14:paraId="17236458" w14:textId="74C17FCD" w:rsidR="003439C5" w:rsidRPr="00E37FBE" w:rsidRDefault="00F40FD4" w:rsidP="003439C5">
            <w:pPr>
              <w:spacing w:before="0" w:after="0"/>
              <w:rPr>
                <w:rFonts w:ascii="Times New Roman" w:hAnsi="Times New Roman"/>
                <w:b/>
                <w:szCs w:val="20"/>
                <w:u w:val="single"/>
                <w:lang w:eastAsia="en-GB"/>
              </w:rPr>
            </w:pPr>
            <w:r w:rsidRPr="00E37FBE">
              <w:rPr>
                <w:rFonts w:ascii="Times New Roman" w:hAnsi="Times New Roman"/>
                <w:b/>
                <w:szCs w:val="20"/>
                <w:u w:val="single"/>
                <w:lang w:eastAsia="en-GB"/>
              </w:rPr>
              <w:t>1.1</w:t>
            </w:r>
            <w:r w:rsidR="003439C5" w:rsidRPr="00E37FBE">
              <w:rPr>
                <w:rFonts w:ascii="Times New Roman" w:hAnsi="Times New Roman"/>
                <w:b/>
                <w:szCs w:val="20"/>
                <w:u w:val="single"/>
                <w:lang w:eastAsia="en-GB"/>
              </w:rPr>
              <w:tab/>
              <w:t>of which sight deposits;</w:t>
            </w:r>
          </w:p>
          <w:p w14:paraId="3D85DAFF" w14:textId="77777777" w:rsidR="003439C5" w:rsidRPr="00E37FBE" w:rsidRDefault="003439C5" w:rsidP="00D75947">
            <w:pPr>
              <w:spacing w:before="0" w:after="0"/>
              <w:rPr>
                <w:rFonts w:ascii="Times New Roman" w:hAnsi="Times New Roman"/>
                <w:b/>
                <w:szCs w:val="20"/>
                <w:u w:val="single"/>
                <w:lang w:eastAsia="en-GB"/>
              </w:rPr>
            </w:pPr>
          </w:p>
          <w:p w14:paraId="6F473929" w14:textId="3F7D9220" w:rsidR="003439C5" w:rsidRPr="00E37FBE" w:rsidRDefault="003439C5" w:rsidP="00E87A50">
            <w:pPr>
              <w:spacing w:before="0" w:after="0"/>
              <w:rPr>
                <w:rFonts w:ascii="Times New Roman" w:hAnsi="Times New Roman"/>
                <w:b/>
                <w:szCs w:val="20"/>
                <w:u w:val="single"/>
                <w:lang w:eastAsia="en-GB"/>
              </w:rPr>
            </w:pPr>
            <w:r w:rsidRPr="00E37FBE">
              <w:rPr>
                <w:rFonts w:ascii="Times New Roman" w:hAnsi="Times New Roman"/>
                <w:szCs w:val="20"/>
                <w:lang w:eastAsia="en-GB"/>
              </w:rPr>
              <w:t xml:space="preserve">Of </w:t>
            </w:r>
            <w:r w:rsidR="00F40FD4" w:rsidRPr="00E37FBE">
              <w:rPr>
                <w:rFonts w:ascii="Times New Roman" w:hAnsi="Times New Roman"/>
                <w:szCs w:val="20"/>
                <w:lang w:eastAsia="en-GB"/>
              </w:rPr>
              <w:t>the retail funding of row 0</w:t>
            </w:r>
            <w:r w:rsidR="00C90DF5" w:rsidRPr="00E37FBE">
              <w:rPr>
                <w:rFonts w:ascii="Times New Roman" w:hAnsi="Times New Roman"/>
                <w:szCs w:val="20"/>
                <w:lang w:eastAsia="en-GB"/>
              </w:rPr>
              <w:t>0</w:t>
            </w:r>
            <w:r w:rsidR="00F40FD4" w:rsidRPr="00E37FBE">
              <w:rPr>
                <w:rFonts w:ascii="Times New Roman" w:hAnsi="Times New Roman"/>
                <w:szCs w:val="20"/>
                <w:lang w:eastAsia="en-GB"/>
              </w:rPr>
              <w:t>10 those that are sight deposits.</w:t>
            </w:r>
          </w:p>
        </w:tc>
      </w:tr>
      <w:tr w:rsidR="003439C5" w:rsidRPr="00E37FBE" w14:paraId="79D365ED" w14:textId="77777777" w:rsidTr="00D75947">
        <w:trPr>
          <w:trHeight w:val="1020"/>
        </w:trPr>
        <w:tc>
          <w:tcPr>
            <w:tcW w:w="729" w:type="pct"/>
            <w:tcBorders>
              <w:top w:val="single" w:sz="4" w:space="0" w:color="auto"/>
              <w:left w:val="single" w:sz="4" w:space="0" w:color="auto"/>
              <w:bottom w:val="single" w:sz="4" w:space="0" w:color="auto"/>
              <w:right w:val="single" w:sz="4" w:space="0" w:color="auto"/>
            </w:tcBorders>
            <w:shd w:val="clear" w:color="auto" w:fill="auto"/>
            <w:noWrap/>
          </w:tcPr>
          <w:p w14:paraId="41225E3F" w14:textId="7E175E40" w:rsidR="003439C5" w:rsidRPr="00E37FBE" w:rsidRDefault="003439C5" w:rsidP="00D75947">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C90DF5" w:rsidRPr="00E37FBE">
              <w:rPr>
                <w:rFonts w:ascii="Times New Roman" w:hAnsi="Times New Roman"/>
                <w:color w:val="000000"/>
                <w:szCs w:val="20"/>
                <w:lang w:eastAsia="en-GB"/>
              </w:rPr>
              <w:t>0</w:t>
            </w:r>
            <w:r w:rsidRPr="00E37FBE">
              <w:rPr>
                <w:rFonts w:ascii="Times New Roman" w:hAnsi="Times New Roman"/>
                <w:color w:val="000000"/>
                <w:szCs w:val="20"/>
                <w:lang w:eastAsia="en-GB"/>
              </w:rPr>
              <w:t>3</w:t>
            </w:r>
            <w:r w:rsidR="00DD136C" w:rsidRPr="00E37FBE">
              <w:rPr>
                <w:rFonts w:ascii="Times New Roman" w:hAnsi="Times New Roman"/>
                <w:color w:val="000000"/>
                <w:szCs w:val="20"/>
                <w:lang w:eastAsia="en-GB"/>
              </w:rPr>
              <w:t>1</w:t>
            </w:r>
          </w:p>
        </w:tc>
        <w:tc>
          <w:tcPr>
            <w:tcW w:w="4271" w:type="pct"/>
            <w:tcBorders>
              <w:top w:val="single" w:sz="4" w:space="0" w:color="auto"/>
              <w:left w:val="single" w:sz="4" w:space="0" w:color="auto"/>
              <w:bottom w:val="single" w:sz="4" w:space="0" w:color="auto"/>
              <w:right w:val="single" w:sz="4" w:space="0" w:color="auto"/>
            </w:tcBorders>
            <w:shd w:val="clear" w:color="auto" w:fill="auto"/>
          </w:tcPr>
          <w:p w14:paraId="179FFD85" w14:textId="2A296146" w:rsidR="003439C5" w:rsidRPr="00E37FBE" w:rsidRDefault="00F40FD4" w:rsidP="003439C5">
            <w:pPr>
              <w:spacing w:before="0" w:after="0"/>
              <w:rPr>
                <w:rFonts w:ascii="Times New Roman" w:hAnsi="Times New Roman"/>
                <w:b/>
                <w:szCs w:val="20"/>
                <w:u w:val="single"/>
                <w:lang w:eastAsia="en-GB"/>
              </w:rPr>
            </w:pPr>
            <w:r w:rsidRPr="00E37FBE">
              <w:rPr>
                <w:rFonts w:ascii="Times New Roman" w:hAnsi="Times New Roman"/>
                <w:b/>
                <w:szCs w:val="20"/>
                <w:u w:val="single"/>
                <w:lang w:eastAsia="en-GB"/>
              </w:rPr>
              <w:t>1.2</w:t>
            </w:r>
            <w:r w:rsidR="003439C5" w:rsidRPr="00E37FBE">
              <w:rPr>
                <w:rFonts w:ascii="Times New Roman" w:hAnsi="Times New Roman"/>
                <w:b/>
                <w:szCs w:val="20"/>
                <w:u w:val="single"/>
                <w:lang w:eastAsia="en-GB"/>
              </w:rPr>
              <w:tab/>
              <w:t>of which term deposits not withdrawable within the following 30 days;</w:t>
            </w:r>
          </w:p>
          <w:p w14:paraId="664C04FE" w14:textId="77777777" w:rsidR="003439C5" w:rsidRPr="00E37FBE" w:rsidRDefault="003439C5" w:rsidP="00D75947">
            <w:pPr>
              <w:spacing w:before="0" w:after="0"/>
              <w:rPr>
                <w:rFonts w:ascii="Times New Roman" w:hAnsi="Times New Roman"/>
                <w:b/>
                <w:szCs w:val="20"/>
                <w:u w:val="single"/>
                <w:lang w:eastAsia="en-GB"/>
              </w:rPr>
            </w:pPr>
          </w:p>
          <w:p w14:paraId="3F7154EA" w14:textId="0EDEDAA3" w:rsidR="003439C5" w:rsidRPr="00E37FBE" w:rsidRDefault="003439C5" w:rsidP="00F40FD4">
            <w:pPr>
              <w:spacing w:before="0" w:after="0"/>
              <w:rPr>
                <w:rFonts w:ascii="Times New Roman" w:hAnsi="Times New Roman"/>
                <w:b/>
                <w:szCs w:val="20"/>
                <w:u w:val="single"/>
                <w:lang w:eastAsia="en-GB"/>
              </w:rPr>
            </w:pPr>
            <w:r w:rsidRPr="00E37FBE">
              <w:rPr>
                <w:rFonts w:ascii="Times New Roman" w:hAnsi="Times New Roman"/>
                <w:szCs w:val="20"/>
                <w:lang w:eastAsia="en-GB"/>
              </w:rPr>
              <w:t xml:space="preserve">Of </w:t>
            </w:r>
            <w:r w:rsidR="00F40FD4" w:rsidRPr="00E37FBE">
              <w:rPr>
                <w:rFonts w:ascii="Times New Roman" w:hAnsi="Times New Roman"/>
                <w:szCs w:val="20"/>
                <w:lang w:eastAsia="en-GB"/>
              </w:rPr>
              <w:t xml:space="preserve">the retail funding of row </w:t>
            </w:r>
            <w:r w:rsidR="00633C7F" w:rsidRPr="00E37FBE">
              <w:rPr>
                <w:rFonts w:ascii="Times New Roman" w:hAnsi="Times New Roman"/>
                <w:szCs w:val="20"/>
                <w:lang w:eastAsia="en-GB"/>
              </w:rPr>
              <w:t>0</w:t>
            </w:r>
            <w:r w:rsidR="00F40FD4" w:rsidRPr="00E37FBE">
              <w:rPr>
                <w:rFonts w:ascii="Times New Roman" w:hAnsi="Times New Roman"/>
                <w:szCs w:val="20"/>
                <w:lang w:eastAsia="en-GB"/>
              </w:rPr>
              <w:t>010 those that are term deposits not withdrawable within the following 30 days</w:t>
            </w:r>
            <w:r w:rsidR="00B91AC8" w:rsidRPr="00E37FBE">
              <w:rPr>
                <w:rFonts w:ascii="Times New Roman" w:hAnsi="Times New Roman"/>
                <w:szCs w:val="20"/>
                <w:lang w:eastAsia="en-GB"/>
              </w:rPr>
              <w:t>.</w:t>
            </w:r>
          </w:p>
        </w:tc>
      </w:tr>
      <w:tr w:rsidR="003439C5" w:rsidRPr="00E37FBE" w14:paraId="69E1811C" w14:textId="77777777" w:rsidTr="00D75947">
        <w:trPr>
          <w:trHeight w:val="1020"/>
        </w:trPr>
        <w:tc>
          <w:tcPr>
            <w:tcW w:w="729" w:type="pct"/>
            <w:shd w:val="clear" w:color="auto" w:fill="auto"/>
            <w:noWrap/>
          </w:tcPr>
          <w:p w14:paraId="3DFA3BE5" w14:textId="66C47E24" w:rsidR="003439C5" w:rsidRPr="00E37FBE" w:rsidRDefault="003439C5" w:rsidP="00D75947">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C90DF5" w:rsidRPr="00E37FBE">
              <w:rPr>
                <w:rFonts w:ascii="Times New Roman" w:hAnsi="Times New Roman"/>
                <w:color w:val="000000"/>
                <w:szCs w:val="20"/>
                <w:lang w:eastAsia="en-GB"/>
              </w:rPr>
              <w:t>0</w:t>
            </w:r>
            <w:r w:rsidRPr="00E37FBE">
              <w:rPr>
                <w:rFonts w:ascii="Times New Roman" w:hAnsi="Times New Roman"/>
                <w:color w:val="000000"/>
                <w:szCs w:val="20"/>
                <w:lang w:eastAsia="en-GB"/>
              </w:rPr>
              <w:t>4</w:t>
            </w:r>
            <w:r w:rsidR="00DD136C" w:rsidRPr="00E37FBE">
              <w:rPr>
                <w:rFonts w:ascii="Times New Roman" w:hAnsi="Times New Roman"/>
                <w:color w:val="000000"/>
                <w:szCs w:val="20"/>
                <w:lang w:eastAsia="en-GB"/>
              </w:rPr>
              <w:t>1</w:t>
            </w:r>
          </w:p>
        </w:tc>
        <w:tc>
          <w:tcPr>
            <w:tcW w:w="4271" w:type="pct"/>
            <w:shd w:val="clear" w:color="auto" w:fill="auto"/>
          </w:tcPr>
          <w:p w14:paraId="155ED8D2" w14:textId="349C1C2A" w:rsidR="003439C5" w:rsidRPr="00E37FBE" w:rsidRDefault="00F40FD4" w:rsidP="003439C5">
            <w:pPr>
              <w:spacing w:before="0" w:after="0"/>
              <w:rPr>
                <w:rFonts w:ascii="Times New Roman" w:hAnsi="Times New Roman"/>
                <w:b/>
                <w:szCs w:val="20"/>
                <w:u w:val="single"/>
                <w:lang w:eastAsia="en-GB"/>
              </w:rPr>
            </w:pPr>
            <w:r w:rsidRPr="00E37FBE">
              <w:rPr>
                <w:rFonts w:ascii="Times New Roman" w:hAnsi="Times New Roman"/>
                <w:b/>
                <w:szCs w:val="20"/>
                <w:u w:val="single"/>
                <w:lang w:eastAsia="en-GB"/>
              </w:rPr>
              <w:t>1.3</w:t>
            </w:r>
            <w:r w:rsidR="003439C5" w:rsidRPr="00E37FBE">
              <w:rPr>
                <w:rFonts w:ascii="Times New Roman" w:hAnsi="Times New Roman"/>
                <w:b/>
                <w:szCs w:val="20"/>
                <w:u w:val="single"/>
                <w:lang w:eastAsia="en-GB"/>
              </w:rPr>
              <w:tab/>
              <w:t>of which term deposits withdrawable within the following 30 days;</w:t>
            </w:r>
          </w:p>
          <w:p w14:paraId="16BCACF7" w14:textId="77777777" w:rsidR="003439C5" w:rsidRPr="00E37FBE" w:rsidRDefault="003439C5" w:rsidP="003439C5">
            <w:pPr>
              <w:spacing w:before="0" w:after="0"/>
              <w:rPr>
                <w:rFonts w:ascii="Times New Roman" w:hAnsi="Times New Roman"/>
                <w:b/>
                <w:szCs w:val="20"/>
                <w:u w:val="single"/>
                <w:lang w:eastAsia="en-GB"/>
              </w:rPr>
            </w:pPr>
          </w:p>
          <w:p w14:paraId="291A1D44" w14:textId="1026C40C" w:rsidR="003439C5" w:rsidRPr="00E37FBE" w:rsidRDefault="00F40FD4" w:rsidP="00F40FD4">
            <w:pPr>
              <w:spacing w:before="0" w:after="0"/>
              <w:rPr>
                <w:rFonts w:ascii="Times New Roman" w:hAnsi="Times New Roman"/>
                <w:szCs w:val="20"/>
                <w:lang w:eastAsia="en-GB"/>
              </w:rPr>
            </w:pPr>
            <w:r w:rsidRPr="00E37FBE">
              <w:rPr>
                <w:rFonts w:ascii="Times New Roman" w:hAnsi="Times New Roman"/>
                <w:szCs w:val="20"/>
                <w:lang w:eastAsia="en-GB"/>
              </w:rPr>
              <w:t>Of the retail funding of row 0</w:t>
            </w:r>
            <w:r w:rsidR="00C90DF5" w:rsidRPr="00E37FBE">
              <w:rPr>
                <w:rFonts w:ascii="Times New Roman" w:hAnsi="Times New Roman"/>
                <w:szCs w:val="20"/>
                <w:lang w:eastAsia="en-GB"/>
              </w:rPr>
              <w:t>0</w:t>
            </w:r>
            <w:r w:rsidRPr="00E37FBE">
              <w:rPr>
                <w:rFonts w:ascii="Times New Roman" w:hAnsi="Times New Roman"/>
                <w:szCs w:val="20"/>
                <w:lang w:eastAsia="en-GB"/>
              </w:rPr>
              <w:t>10 those that are term deposits withdrawable within the following 30 days</w:t>
            </w:r>
            <w:r w:rsidR="00B91AC8" w:rsidRPr="00E37FBE">
              <w:rPr>
                <w:rFonts w:ascii="Times New Roman" w:hAnsi="Times New Roman"/>
                <w:szCs w:val="20"/>
                <w:lang w:eastAsia="en-GB"/>
              </w:rPr>
              <w:t>.</w:t>
            </w:r>
          </w:p>
        </w:tc>
      </w:tr>
      <w:tr w:rsidR="003439C5" w:rsidRPr="00E37FBE" w14:paraId="10740494" w14:textId="77777777" w:rsidTr="00D75947">
        <w:trPr>
          <w:trHeight w:val="1020"/>
        </w:trPr>
        <w:tc>
          <w:tcPr>
            <w:tcW w:w="729" w:type="pct"/>
            <w:shd w:val="clear" w:color="auto" w:fill="auto"/>
            <w:noWrap/>
          </w:tcPr>
          <w:p w14:paraId="0B22ECFC" w14:textId="2FEC79EB" w:rsidR="003439C5" w:rsidRPr="00E37FBE" w:rsidRDefault="003439C5" w:rsidP="00DD136C">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C90DF5" w:rsidRPr="00E37FBE">
              <w:rPr>
                <w:rFonts w:ascii="Times New Roman" w:hAnsi="Times New Roman"/>
                <w:color w:val="000000"/>
                <w:szCs w:val="20"/>
                <w:lang w:eastAsia="en-GB"/>
              </w:rPr>
              <w:t>0</w:t>
            </w:r>
            <w:r w:rsidR="00DD136C" w:rsidRPr="00E37FBE">
              <w:rPr>
                <w:rFonts w:ascii="Times New Roman" w:hAnsi="Times New Roman"/>
                <w:color w:val="000000"/>
                <w:szCs w:val="20"/>
                <w:lang w:eastAsia="en-GB"/>
              </w:rPr>
              <w:t>7</w:t>
            </w:r>
            <w:r w:rsidRPr="00E37FBE">
              <w:rPr>
                <w:rFonts w:ascii="Times New Roman" w:hAnsi="Times New Roman"/>
                <w:color w:val="000000"/>
                <w:szCs w:val="20"/>
                <w:lang w:eastAsia="en-GB"/>
              </w:rPr>
              <w:t>0</w:t>
            </w:r>
          </w:p>
        </w:tc>
        <w:tc>
          <w:tcPr>
            <w:tcW w:w="4271" w:type="pct"/>
            <w:shd w:val="clear" w:color="auto" w:fill="auto"/>
          </w:tcPr>
          <w:p w14:paraId="7A9B7AD4" w14:textId="22B42302" w:rsidR="003439C5" w:rsidRPr="00E37FBE" w:rsidRDefault="00F40FD4" w:rsidP="003439C5">
            <w:pPr>
              <w:spacing w:before="0" w:after="0"/>
              <w:rPr>
                <w:rFonts w:ascii="Times New Roman" w:hAnsi="Times New Roman"/>
                <w:b/>
                <w:szCs w:val="20"/>
                <w:u w:val="single"/>
                <w:lang w:eastAsia="en-GB"/>
              </w:rPr>
            </w:pPr>
            <w:r w:rsidRPr="00E37FBE">
              <w:rPr>
                <w:rFonts w:ascii="Times New Roman" w:hAnsi="Times New Roman"/>
                <w:b/>
                <w:szCs w:val="20"/>
                <w:u w:val="single"/>
                <w:lang w:eastAsia="en-GB"/>
              </w:rPr>
              <w:t>1.4</w:t>
            </w:r>
            <w:r w:rsidR="003439C5" w:rsidRPr="00E37FBE">
              <w:rPr>
                <w:rFonts w:ascii="Times New Roman" w:hAnsi="Times New Roman"/>
                <w:b/>
                <w:szCs w:val="20"/>
                <w:u w:val="single"/>
                <w:lang w:eastAsia="en-GB"/>
              </w:rPr>
              <w:tab/>
            </w:r>
            <w:r w:rsidR="00F900C8" w:rsidRPr="00E37FBE">
              <w:rPr>
                <w:rFonts w:ascii="Times New Roman" w:hAnsi="Times New Roman"/>
                <w:b/>
                <w:szCs w:val="20"/>
                <w:u w:val="single"/>
                <w:lang w:eastAsia="en-GB"/>
              </w:rPr>
              <w:t>S</w:t>
            </w:r>
            <w:r w:rsidR="003439C5" w:rsidRPr="00E37FBE">
              <w:rPr>
                <w:rFonts w:ascii="Times New Roman" w:hAnsi="Times New Roman"/>
                <w:b/>
                <w:szCs w:val="20"/>
                <w:u w:val="single"/>
                <w:lang w:eastAsia="en-GB"/>
              </w:rPr>
              <w:t>avings accounts</w:t>
            </w:r>
          </w:p>
          <w:p w14:paraId="1715A370" w14:textId="77777777" w:rsidR="003439C5" w:rsidRPr="00E37FBE" w:rsidRDefault="003439C5" w:rsidP="00D75947">
            <w:pPr>
              <w:spacing w:before="0" w:after="0"/>
              <w:rPr>
                <w:rFonts w:ascii="Times New Roman" w:hAnsi="Times New Roman"/>
                <w:b/>
                <w:szCs w:val="20"/>
                <w:u w:val="single"/>
                <w:lang w:eastAsia="en-GB"/>
              </w:rPr>
            </w:pPr>
          </w:p>
          <w:p w14:paraId="1F5A77EE" w14:textId="0967C6DB" w:rsidR="00F40FD4" w:rsidRPr="00E37FBE" w:rsidRDefault="00F40FD4" w:rsidP="00E87A50">
            <w:pPr>
              <w:spacing w:before="0" w:after="0"/>
              <w:rPr>
                <w:rFonts w:ascii="Times New Roman" w:hAnsi="Times New Roman"/>
                <w:szCs w:val="20"/>
                <w:lang w:eastAsia="en-GB"/>
              </w:rPr>
            </w:pPr>
            <w:r w:rsidRPr="00E37FBE">
              <w:rPr>
                <w:rFonts w:ascii="Times New Roman" w:hAnsi="Times New Roman"/>
                <w:szCs w:val="20"/>
                <w:lang w:eastAsia="en-GB"/>
              </w:rPr>
              <w:t xml:space="preserve">Of the retail funding of row </w:t>
            </w:r>
            <w:r w:rsidR="00C90DF5" w:rsidRPr="00E37FBE">
              <w:rPr>
                <w:rFonts w:ascii="Times New Roman" w:hAnsi="Times New Roman"/>
                <w:szCs w:val="20"/>
                <w:lang w:eastAsia="en-GB"/>
              </w:rPr>
              <w:t>0</w:t>
            </w:r>
            <w:r w:rsidRPr="00E37FBE">
              <w:rPr>
                <w:rFonts w:ascii="Times New Roman" w:hAnsi="Times New Roman"/>
                <w:szCs w:val="20"/>
                <w:lang w:eastAsia="en-GB"/>
              </w:rPr>
              <w:t>010 those that are savings accounts with either of the following characteristics:</w:t>
            </w:r>
          </w:p>
          <w:p w14:paraId="7001BAD2" w14:textId="2A97E8F3" w:rsidR="003439C5" w:rsidRPr="00E37FBE" w:rsidRDefault="00F40FD4" w:rsidP="00E87A50">
            <w:pPr>
              <w:spacing w:before="0" w:after="0"/>
              <w:rPr>
                <w:rFonts w:ascii="Times New Roman" w:hAnsi="Times New Roman"/>
                <w:szCs w:val="20"/>
                <w:lang w:eastAsia="en-GB"/>
              </w:rPr>
            </w:pPr>
            <w:r w:rsidRPr="00E37FBE">
              <w:rPr>
                <w:rFonts w:ascii="Times New Roman" w:hAnsi="Times New Roman"/>
                <w:szCs w:val="20"/>
                <w:lang w:eastAsia="en-GB"/>
              </w:rPr>
              <w:t>- with a notice period for withdrawal greater than 30 days</w:t>
            </w:r>
          </w:p>
          <w:p w14:paraId="471376E8" w14:textId="6B5CE87D" w:rsidR="00F40FD4" w:rsidRPr="00E37FBE" w:rsidRDefault="00F40FD4" w:rsidP="00E87A50">
            <w:pPr>
              <w:spacing w:before="0" w:after="0"/>
              <w:rPr>
                <w:rFonts w:ascii="Times New Roman" w:hAnsi="Times New Roman"/>
                <w:szCs w:val="20"/>
                <w:lang w:eastAsia="en-GB"/>
              </w:rPr>
            </w:pPr>
            <w:r w:rsidRPr="00E37FBE">
              <w:rPr>
                <w:rFonts w:ascii="Times New Roman" w:hAnsi="Times New Roman"/>
                <w:szCs w:val="20"/>
                <w:lang w:eastAsia="en-GB"/>
              </w:rPr>
              <w:t>- without a notice period for withdrawal which is greater than 30 days</w:t>
            </w:r>
            <w:r w:rsidR="00C663BC" w:rsidRPr="00E37FBE">
              <w:rPr>
                <w:rFonts w:ascii="Times New Roman" w:hAnsi="Times New Roman"/>
                <w:szCs w:val="20"/>
                <w:lang w:eastAsia="en-GB"/>
              </w:rPr>
              <w:t>.</w:t>
            </w:r>
            <w:r w:rsidR="003F5D4F" w:rsidRPr="00E37FBE">
              <w:rPr>
                <w:rFonts w:ascii="Times New Roman" w:hAnsi="Times New Roman"/>
                <w:szCs w:val="20"/>
                <w:lang w:eastAsia="en-GB"/>
              </w:rPr>
              <w:t xml:space="preserve"> </w:t>
            </w:r>
          </w:p>
          <w:p w14:paraId="73B00647" w14:textId="77777777" w:rsidR="00B96DDB" w:rsidRPr="00E37FBE" w:rsidRDefault="00B96DDB" w:rsidP="00E87A50">
            <w:pPr>
              <w:spacing w:before="0" w:after="0"/>
              <w:rPr>
                <w:rFonts w:ascii="Times New Roman" w:hAnsi="Times New Roman"/>
                <w:szCs w:val="20"/>
                <w:lang w:eastAsia="en-GB"/>
              </w:rPr>
            </w:pPr>
          </w:p>
          <w:p w14:paraId="393C0E32" w14:textId="77777777" w:rsidR="00B96DDB" w:rsidRPr="00E37FBE" w:rsidRDefault="00B96DDB" w:rsidP="00B96DDB">
            <w:pPr>
              <w:spacing w:before="0" w:after="0"/>
              <w:rPr>
                <w:szCs w:val="20"/>
              </w:rPr>
            </w:pPr>
            <w:r w:rsidRPr="00E37FBE">
              <w:rPr>
                <w:rFonts w:ascii="Times New Roman" w:hAnsi="Times New Roman"/>
                <w:szCs w:val="20"/>
                <w:lang w:eastAsia="en-GB"/>
              </w:rPr>
              <w:lastRenderedPageBreak/>
              <w:t>This row shall not be reported.</w:t>
            </w:r>
          </w:p>
          <w:p w14:paraId="0D6901BA" w14:textId="77777777" w:rsidR="003439C5" w:rsidRPr="00E37FBE" w:rsidRDefault="003439C5" w:rsidP="00D75947">
            <w:pPr>
              <w:spacing w:before="0" w:after="0"/>
              <w:rPr>
                <w:rFonts w:ascii="Times New Roman" w:hAnsi="Times New Roman"/>
                <w:b/>
                <w:szCs w:val="20"/>
                <w:u w:val="single"/>
                <w:lang w:eastAsia="en-GB"/>
              </w:rPr>
            </w:pPr>
          </w:p>
        </w:tc>
      </w:tr>
      <w:tr w:rsidR="003439C5" w:rsidRPr="00E37FBE" w14:paraId="36C0FB22" w14:textId="77777777" w:rsidTr="00D75947">
        <w:trPr>
          <w:trHeight w:val="1020"/>
        </w:trPr>
        <w:tc>
          <w:tcPr>
            <w:tcW w:w="729" w:type="pct"/>
            <w:shd w:val="clear" w:color="auto" w:fill="auto"/>
            <w:noWrap/>
          </w:tcPr>
          <w:p w14:paraId="167C152B" w14:textId="69E87A8C" w:rsidR="003439C5" w:rsidRPr="00E37FBE" w:rsidRDefault="003439C5" w:rsidP="00DD136C">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lastRenderedPageBreak/>
              <w:t>0</w:t>
            </w:r>
            <w:r w:rsidR="00C90DF5" w:rsidRPr="00E37FBE">
              <w:rPr>
                <w:rFonts w:ascii="Times New Roman" w:hAnsi="Times New Roman"/>
                <w:color w:val="000000"/>
                <w:szCs w:val="20"/>
                <w:lang w:eastAsia="en-GB"/>
              </w:rPr>
              <w:t>0</w:t>
            </w:r>
            <w:r w:rsidR="00DD136C" w:rsidRPr="00E37FBE">
              <w:rPr>
                <w:rFonts w:ascii="Times New Roman" w:hAnsi="Times New Roman"/>
                <w:color w:val="000000"/>
                <w:szCs w:val="20"/>
                <w:lang w:eastAsia="en-GB"/>
              </w:rPr>
              <w:t>8</w:t>
            </w:r>
            <w:r w:rsidRPr="00E37FBE">
              <w:rPr>
                <w:rFonts w:ascii="Times New Roman" w:hAnsi="Times New Roman"/>
                <w:color w:val="000000"/>
                <w:szCs w:val="20"/>
                <w:lang w:eastAsia="en-GB"/>
              </w:rPr>
              <w:t>0</w:t>
            </w:r>
          </w:p>
        </w:tc>
        <w:tc>
          <w:tcPr>
            <w:tcW w:w="4271" w:type="pct"/>
            <w:shd w:val="clear" w:color="auto" w:fill="auto"/>
          </w:tcPr>
          <w:p w14:paraId="208924A1" w14:textId="4E469B33" w:rsidR="003439C5" w:rsidRPr="00E37FBE" w:rsidRDefault="00F40FD4" w:rsidP="003439C5">
            <w:pPr>
              <w:spacing w:before="0" w:after="0"/>
              <w:rPr>
                <w:rFonts w:ascii="Times New Roman" w:hAnsi="Times New Roman"/>
                <w:b/>
                <w:szCs w:val="20"/>
                <w:u w:val="single"/>
                <w:lang w:eastAsia="en-GB"/>
              </w:rPr>
            </w:pPr>
            <w:r w:rsidRPr="00E37FBE">
              <w:rPr>
                <w:rFonts w:ascii="Times New Roman" w:hAnsi="Times New Roman"/>
                <w:b/>
                <w:szCs w:val="20"/>
                <w:u w:val="single"/>
                <w:lang w:eastAsia="en-GB"/>
              </w:rPr>
              <w:t>1.4.1</w:t>
            </w:r>
            <w:r w:rsidR="003439C5" w:rsidRPr="00E37FBE">
              <w:rPr>
                <w:rFonts w:ascii="Times New Roman" w:hAnsi="Times New Roman"/>
                <w:b/>
                <w:szCs w:val="20"/>
                <w:u w:val="single"/>
                <w:lang w:eastAsia="en-GB"/>
              </w:rPr>
              <w:t xml:space="preserve"> </w:t>
            </w:r>
            <w:r w:rsidR="003439C5" w:rsidRPr="00E37FBE">
              <w:rPr>
                <w:rFonts w:ascii="Times New Roman" w:hAnsi="Times New Roman"/>
                <w:b/>
                <w:szCs w:val="20"/>
                <w:u w:val="single"/>
                <w:lang w:eastAsia="en-GB"/>
              </w:rPr>
              <w:tab/>
              <w:t>with a notice period for withdrawal greater than 30 days;</w:t>
            </w:r>
          </w:p>
          <w:p w14:paraId="2CB5668A" w14:textId="5D7B919C" w:rsidR="00F40FD4" w:rsidRPr="00E37FBE" w:rsidRDefault="00F40FD4" w:rsidP="00F40FD4">
            <w:pPr>
              <w:spacing w:before="0" w:after="0"/>
              <w:rPr>
                <w:rFonts w:ascii="Times New Roman" w:hAnsi="Times New Roman"/>
                <w:szCs w:val="20"/>
                <w:lang w:eastAsia="en-GB"/>
              </w:rPr>
            </w:pPr>
            <w:r w:rsidRPr="00E37FBE">
              <w:rPr>
                <w:rFonts w:ascii="Times New Roman" w:hAnsi="Times New Roman"/>
                <w:szCs w:val="20"/>
                <w:lang w:eastAsia="en-GB"/>
              </w:rPr>
              <w:t xml:space="preserve">Of the retail funding of row </w:t>
            </w:r>
            <w:r w:rsidR="00C90DF5" w:rsidRPr="00E37FBE">
              <w:rPr>
                <w:rFonts w:ascii="Times New Roman" w:hAnsi="Times New Roman"/>
                <w:szCs w:val="20"/>
                <w:lang w:eastAsia="en-GB"/>
              </w:rPr>
              <w:t>0</w:t>
            </w:r>
            <w:r w:rsidRPr="00E37FBE">
              <w:rPr>
                <w:rFonts w:ascii="Times New Roman" w:hAnsi="Times New Roman"/>
                <w:szCs w:val="20"/>
                <w:lang w:eastAsia="en-GB"/>
              </w:rPr>
              <w:t>010 those that are savings accounts with a notice period for withdrawal greater than 30 days</w:t>
            </w:r>
          </w:p>
          <w:p w14:paraId="3144C832" w14:textId="3416971B" w:rsidR="003439C5" w:rsidRPr="00E37FBE" w:rsidRDefault="003439C5" w:rsidP="00E87A50">
            <w:pPr>
              <w:spacing w:before="0" w:after="0"/>
              <w:rPr>
                <w:rFonts w:ascii="Times New Roman" w:hAnsi="Times New Roman"/>
                <w:b/>
                <w:szCs w:val="20"/>
                <w:u w:val="single"/>
                <w:lang w:eastAsia="en-GB"/>
              </w:rPr>
            </w:pPr>
          </w:p>
        </w:tc>
      </w:tr>
      <w:tr w:rsidR="003439C5" w:rsidRPr="00E37FBE" w14:paraId="29C0B503" w14:textId="77777777" w:rsidTr="00D75947">
        <w:trPr>
          <w:trHeight w:val="1020"/>
        </w:trPr>
        <w:tc>
          <w:tcPr>
            <w:tcW w:w="729" w:type="pct"/>
            <w:shd w:val="clear" w:color="auto" w:fill="auto"/>
            <w:noWrap/>
          </w:tcPr>
          <w:p w14:paraId="6665A670" w14:textId="25FC6790" w:rsidR="003439C5" w:rsidRPr="00E37FBE" w:rsidRDefault="003439C5" w:rsidP="00DD136C">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C90DF5" w:rsidRPr="00E37FBE">
              <w:rPr>
                <w:rFonts w:ascii="Times New Roman" w:hAnsi="Times New Roman"/>
                <w:color w:val="000000"/>
                <w:szCs w:val="20"/>
                <w:lang w:eastAsia="en-GB"/>
              </w:rPr>
              <w:t>0</w:t>
            </w:r>
            <w:r w:rsidR="00DD136C" w:rsidRPr="00E37FBE">
              <w:rPr>
                <w:rFonts w:ascii="Times New Roman" w:hAnsi="Times New Roman"/>
                <w:color w:val="000000"/>
                <w:szCs w:val="20"/>
                <w:lang w:eastAsia="en-GB"/>
              </w:rPr>
              <w:t>9</w:t>
            </w:r>
            <w:r w:rsidRPr="00E37FBE">
              <w:rPr>
                <w:rFonts w:ascii="Times New Roman" w:hAnsi="Times New Roman"/>
                <w:color w:val="000000"/>
                <w:szCs w:val="20"/>
                <w:lang w:eastAsia="en-GB"/>
              </w:rPr>
              <w:t>0</w:t>
            </w:r>
          </w:p>
        </w:tc>
        <w:tc>
          <w:tcPr>
            <w:tcW w:w="4271" w:type="pct"/>
            <w:shd w:val="clear" w:color="auto" w:fill="auto"/>
          </w:tcPr>
          <w:p w14:paraId="41FDDED5" w14:textId="0D19B3DF" w:rsidR="003439C5" w:rsidRPr="00E37FBE" w:rsidRDefault="00F40FD4" w:rsidP="003439C5">
            <w:pPr>
              <w:spacing w:before="0" w:after="0"/>
              <w:rPr>
                <w:rFonts w:ascii="Times New Roman" w:hAnsi="Times New Roman"/>
                <w:b/>
                <w:szCs w:val="20"/>
                <w:u w:val="single"/>
                <w:lang w:eastAsia="en-GB"/>
              </w:rPr>
            </w:pPr>
            <w:r w:rsidRPr="00E37FBE">
              <w:rPr>
                <w:rFonts w:ascii="Times New Roman" w:hAnsi="Times New Roman"/>
                <w:b/>
                <w:szCs w:val="20"/>
                <w:u w:val="single"/>
                <w:lang w:eastAsia="en-GB"/>
              </w:rPr>
              <w:t>1.4.2</w:t>
            </w:r>
            <w:r w:rsidR="003439C5" w:rsidRPr="00E37FBE">
              <w:rPr>
                <w:rFonts w:ascii="Times New Roman" w:hAnsi="Times New Roman"/>
                <w:b/>
                <w:szCs w:val="20"/>
                <w:u w:val="single"/>
                <w:lang w:eastAsia="en-GB"/>
              </w:rPr>
              <w:t xml:space="preserve"> </w:t>
            </w:r>
            <w:r w:rsidR="003439C5" w:rsidRPr="00E37FBE">
              <w:rPr>
                <w:rFonts w:ascii="Times New Roman" w:hAnsi="Times New Roman"/>
                <w:b/>
                <w:szCs w:val="20"/>
                <w:u w:val="single"/>
                <w:lang w:eastAsia="en-GB"/>
              </w:rPr>
              <w:tab/>
              <w:t>without a notice period for withdrawal which is greater than 30 days</w:t>
            </w:r>
          </w:p>
          <w:p w14:paraId="435A673F" w14:textId="77777777" w:rsidR="003439C5" w:rsidRPr="00E37FBE" w:rsidRDefault="003439C5" w:rsidP="003439C5">
            <w:pPr>
              <w:spacing w:before="0" w:after="0"/>
              <w:rPr>
                <w:rFonts w:ascii="Times New Roman" w:hAnsi="Times New Roman"/>
                <w:b/>
                <w:szCs w:val="20"/>
                <w:u w:val="single"/>
                <w:lang w:eastAsia="en-GB"/>
              </w:rPr>
            </w:pPr>
          </w:p>
          <w:p w14:paraId="1B1078F3" w14:textId="5329E65F" w:rsidR="003439C5" w:rsidRPr="00E37FBE" w:rsidRDefault="00F40FD4" w:rsidP="00E87A50">
            <w:pPr>
              <w:spacing w:before="0" w:after="0"/>
              <w:rPr>
                <w:rFonts w:ascii="Times New Roman" w:hAnsi="Times New Roman"/>
                <w:szCs w:val="20"/>
                <w:lang w:eastAsia="en-GB"/>
              </w:rPr>
            </w:pPr>
            <w:r w:rsidRPr="00E37FBE">
              <w:rPr>
                <w:rFonts w:ascii="Times New Roman" w:hAnsi="Times New Roman"/>
                <w:szCs w:val="20"/>
                <w:lang w:eastAsia="en-GB"/>
              </w:rPr>
              <w:t xml:space="preserve">Of the retail funding of row </w:t>
            </w:r>
            <w:r w:rsidR="00C90DF5" w:rsidRPr="00E37FBE">
              <w:rPr>
                <w:rFonts w:ascii="Times New Roman" w:hAnsi="Times New Roman"/>
                <w:szCs w:val="20"/>
                <w:lang w:eastAsia="en-GB"/>
              </w:rPr>
              <w:t>0</w:t>
            </w:r>
            <w:r w:rsidRPr="00E37FBE">
              <w:rPr>
                <w:rFonts w:ascii="Times New Roman" w:hAnsi="Times New Roman"/>
                <w:szCs w:val="20"/>
                <w:lang w:eastAsia="en-GB"/>
              </w:rPr>
              <w:t>010 those that are savings accounts without a notice period for withdrawal which is greater than 30 days</w:t>
            </w:r>
            <w:r w:rsidR="003439C5" w:rsidRPr="00E37FBE">
              <w:rPr>
                <w:rFonts w:ascii="Times New Roman" w:hAnsi="Times New Roman"/>
                <w:szCs w:val="20"/>
                <w:lang w:eastAsia="en-GB"/>
              </w:rPr>
              <w:t>.</w:t>
            </w:r>
          </w:p>
          <w:p w14:paraId="64AF0787" w14:textId="77777777" w:rsidR="003439C5" w:rsidRPr="00E37FBE" w:rsidRDefault="003439C5" w:rsidP="003439C5">
            <w:pPr>
              <w:spacing w:before="0" w:after="0"/>
              <w:rPr>
                <w:rFonts w:ascii="Times New Roman" w:hAnsi="Times New Roman"/>
                <w:b/>
                <w:szCs w:val="20"/>
                <w:u w:val="single"/>
                <w:lang w:eastAsia="en-GB"/>
              </w:rPr>
            </w:pPr>
          </w:p>
        </w:tc>
      </w:tr>
      <w:tr w:rsidR="003439C5" w:rsidRPr="00E37FBE" w14:paraId="3EAE3ABC" w14:textId="77777777" w:rsidTr="00D75947">
        <w:trPr>
          <w:trHeight w:val="1020"/>
        </w:trPr>
        <w:tc>
          <w:tcPr>
            <w:tcW w:w="729" w:type="pct"/>
            <w:shd w:val="clear" w:color="auto" w:fill="auto"/>
            <w:noWrap/>
          </w:tcPr>
          <w:p w14:paraId="45013687" w14:textId="492AA72C" w:rsidR="003439C5" w:rsidRPr="00E37FBE" w:rsidRDefault="00C90DF5" w:rsidP="003439C5">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DD136C" w:rsidRPr="00E37FBE">
              <w:rPr>
                <w:rFonts w:ascii="Times New Roman" w:hAnsi="Times New Roman"/>
                <w:color w:val="000000"/>
                <w:szCs w:val="20"/>
                <w:lang w:eastAsia="en-GB"/>
              </w:rPr>
              <w:t>10</w:t>
            </w:r>
            <w:r w:rsidR="003439C5" w:rsidRPr="00E37FBE">
              <w:rPr>
                <w:rFonts w:ascii="Times New Roman" w:hAnsi="Times New Roman"/>
                <w:color w:val="000000"/>
                <w:szCs w:val="20"/>
                <w:lang w:eastAsia="en-GB"/>
              </w:rPr>
              <w:t>0</w:t>
            </w:r>
          </w:p>
        </w:tc>
        <w:tc>
          <w:tcPr>
            <w:tcW w:w="4271" w:type="pct"/>
            <w:shd w:val="clear" w:color="auto" w:fill="auto"/>
          </w:tcPr>
          <w:p w14:paraId="25CD6A22" w14:textId="3A5B71CD" w:rsidR="00F900C8" w:rsidRPr="00E37FBE" w:rsidRDefault="00E87A50" w:rsidP="00F900C8">
            <w:pPr>
              <w:pStyle w:val="ListParagraph"/>
              <w:numPr>
                <w:ilvl w:val="0"/>
                <w:numId w:val="13"/>
              </w:numPr>
              <w:spacing w:before="0" w:after="0"/>
              <w:rPr>
                <w:rFonts w:ascii="Times New Roman" w:hAnsi="Times New Roman"/>
                <w:b/>
                <w:szCs w:val="20"/>
                <w:u w:val="single"/>
                <w:lang w:eastAsia="en-GB"/>
              </w:rPr>
            </w:pPr>
            <w:r w:rsidRPr="00E37FBE">
              <w:rPr>
                <w:rFonts w:ascii="Times New Roman" w:hAnsi="Times New Roman"/>
                <w:b/>
                <w:szCs w:val="20"/>
                <w:u w:val="single"/>
                <w:lang w:eastAsia="en-GB"/>
              </w:rPr>
              <w:t xml:space="preserve">Wholesale funding </w:t>
            </w:r>
          </w:p>
          <w:p w14:paraId="2A1113B0" w14:textId="18165B15" w:rsidR="006624FA" w:rsidRPr="00E37FBE" w:rsidRDefault="006624FA" w:rsidP="006624FA">
            <w:pPr>
              <w:spacing w:before="0" w:after="0"/>
              <w:rPr>
                <w:rFonts w:ascii="Times New Roman" w:hAnsi="Times New Roman"/>
                <w:szCs w:val="20"/>
                <w:lang w:eastAsia="en-GB"/>
              </w:rPr>
            </w:pPr>
            <w:r w:rsidRPr="00E37FBE">
              <w:rPr>
                <w:rFonts w:ascii="Times New Roman" w:hAnsi="Times New Roman"/>
                <w:szCs w:val="20"/>
                <w:lang w:eastAsia="en-GB"/>
              </w:rPr>
              <w:t xml:space="preserve">All counterparties other than </w:t>
            </w:r>
            <w:r w:rsidR="002C0F1A" w:rsidRPr="00E37FBE">
              <w:rPr>
                <w:rFonts w:ascii="Times New Roman" w:hAnsi="Times New Roman"/>
                <w:szCs w:val="20"/>
                <w:lang w:eastAsia="en-GB"/>
              </w:rPr>
              <w:t xml:space="preserve">those of </w:t>
            </w:r>
            <w:r w:rsidRPr="00E37FBE">
              <w:rPr>
                <w:rFonts w:ascii="Times New Roman" w:hAnsi="Times New Roman"/>
                <w:szCs w:val="20"/>
                <w:lang w:eastAsia="en-GB"/>
              </w:rPr>
              <w:t xml:space="preserve">retail deposits as defined in </w:t>
            </w:r>
            <w:r w:rsidR="00980392" w:rsidRPr="00E37FBE">
              <w:rPr>
                <w:rFonts w:ascii="Times New Roman" w:hAnsi="Times New Roman"/>
                <w:szCs w:val="20"/>
                <w:lang w:eastAsia="en-GB"/>
              </w:rPr>
              <w:t>Article 411</w:t>
            </w:r>
            <w:r w:rsidR="00B91AC8" w:rsidRPr="00E37FBE">
              <w:rPr>
                <w:rFonts w:ascii="Times New Roman" w:hAnsi="Times New Roman"/>
                <w:szCs w:val="20"/>
                <w:lang w:eastAsia="en-GB"/>
              </w:rPr>
              <w:t xml:space="preserve">, point </w:t>
            </w:r>
            <w:r w:rsidR="00980392" w:rsidRPr="00E37FBE">
              <w:rPr>
                <w:rFonts w:ascii="Times New Roman" w:hAnsi="Times New Roman"/>
                <w:szCs w:val="20"/>
                <w:lang w:eastAsia="en-GB"/>
              </w:rPr>
              <w:t>(2)</w:t>
            </w:r>
            <w:r w:rsidR="00B91AC8" w:rsidRPr="00E37FBE">
              <w:rPr>
                <w:rFonts w:ascii="Times New Roman" w:hAnsi="Times New Roman"/>
                <w:szCs w:val="20"/>
                <w:lang w:eastAsia="en-GB"/>
              </w:rPr>
              <w:t>,</w:t>
            </w:r>
            <w:r w:rsidR="00980392" w:rsidRPr="00E37FBE">
              <w:rPr>
                <w:rFonts w:ascii="Times New Roman" w:hAnsi="Times New Roman"/>
                <w:szCs w:val="20"/>
                <w:lang w:eastAsia="en-GB"/>
              </w:rPr>
              <w:t xml:space="preserve"> of Regulation (EU) No 575/2013</w:t>
            </w:r>
            <w:r w:rsidR="00B96DDB" w:rsidRPr="00E37FBE">
              <w:rPr>
                <w:rFonts w:ascii="Times New Roman" w:hAnsi="Times New Roman"/>
                <w:szCs w:val="20"/>
                <w:lang w:eastAsia="en-GB"/>
              </w:rPr>
              <w:t>.</w:t>
            </w:r>
            <w:r w:rsidR="00AE6CE2">
              <w:rPr>
                <w:rFonts w:ascii="Times New Roman" w:hAnsi="Times New Roman"/>
                <w:szCs w:val="20"/>
                <w:lang w:eastAsia="en-GB"/>
              </w:rPr>
              <w:t xml:space="preserve"> </w:t>
            </w:r>
          </w:p>
          <w:p w14:paraId="70E19694" w14:textId="77777777" w:rsidR="00D75947" w:rsidRPr="00E37FBE" w:rsidRDefault="00D75947" w:rsidP="006624FA">
            <w:pPr>
              <w:spacing w:before="0" w:after="0"/>
              <w:rPr>
                <w:rFonts w:ascii="Times New Roman" w:hAnsi="Times New Roman"/>
                <w:szCs w:val="20"/>
                <w:lang w:eastAsia="en-GB"/>
              </w:rPr>
            </w:pPr>
          </w:p>
          <w:p w14:paraId="195A99EA" w14:textId="4C20BC3D" w:rsidR="00D75947" w:rsidRPr="00E37FBE" w:rsidRDefault="00D75947" w:rsidP="006624FA">
            <w:pPr>
              <w:spacing w:before="0" w:after="0"/>
              <w:rPr>
                <w:szCs w:val="20"/>
              </w:rPr>
            </w:pPr>
            <w:r w:rsidRPr="00E37FBE">
              <w:rPr>
                <w:rFonts w:ascii="Times New Roman" w:hAnsi="Times New Roman"/>
                <w:szCs w:val="20"/>
                <w:lang w:eastAsia="en-GB"/>
              </w:rPr>
              <w:t>This row shall not be reported</w:t>
            </w:r>
            <w:r w:rsidR="00B96DDB" w:rsidRPr="00E37FBE">
              <w:rPr>
                <w:rFonts w:ascii="Times New Roman" w:hAnsi="Times New Roman"/>
                <w:szCs w:val="20"/>
                <w:lang w:eastAsia="en-GB"/>
              </w:rPr>
              <w:t>.</w:t>
            </w:r>
          </w:p>
          <w:p w14:paraId="5A95C4DD" w14:textId="50C842AE" w:rsidR="003439C5" w:rsidRPr="00E37FBE" w:rsidRDefault="003439C5" w:rsidP="003439C5">
            <w:pPr>
              <w:spacing w:before="0" w:after="0"/>
              <w:rPr>
                <w:rFonts w:ascii="Times New Roman" w:hAnsi="Times New Roman"/>
                <w:b/>
                <w:szCs w:val="20"/>
                <w:u w:val="single"/>
                <w:lang w:eastAsia="en-GB"/>
              </w:rPr>
            </w:pPr>
          </w:p>
        </w:tc>
      </w:tr>
      <w:tr w:rsidR="003439C5" w:rsidRPr="00E37FBE" w14:paraId="0F613C49" w14:textId="77777777" w:rsidTr="00D75947">
        <w:trPr>
          <w:trHeight w:val="1020"/>
        </w:trPr>
        <w:tc>
          <w:tcPr>
            <w:tcW w:w="729" w:type="pct"/>
            <w:shd w:val="clear" w:color="auto" w:fill="auto"/>
            <w:noWrap/>
          </w:tcPr>
          <w:p w14:paraId="4517EFDE" w14:textId="2E66E8FE" w:rsidR="003439C5" w:rsidRPr="00E37FBE" w:rsidRDefault="00C90DF5" w:rsidP="003439C5">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DD136C" w:rsidRPr="00E37FBE">
              <w:rPr>
                <w:rFonts w:ascii="Times New Roman" w:hAnsi="Times New Roman"/>
                <w:color w:val="000000"/>
                <w:szCs w:val="20"/>
                <w:lang w:eastAsia="en-GB"/>
              </w:rPr>
              <w:t>11</w:t>
            </w:r>
            <w:r w:rsidR="003439C5" w:rsidRPr="00E37FBE">
              <w:rPr>
                <w:rFonts w:ascii="Times New Roman" w:hAnsi="Times New Roman"/>
                <w:color w:val="000000"/>
                <w:szCs w:val="20"/>
                <w:lang w:eastAsia="en-GB"/>
              </w:rPr>
              <w:t>0</w:t>
            </w:r>
          </w:p>
        </w:tc>
        <w:tc>
          <w:tcPr>
            <w:tcW w:w="4271" w:type="pct"/>
            <w:shd w:val="clear" w:color="auto" w:fill="auto"/>
          </w:tcPr>
          <w:p w14:paraId="123E76B1" w14:textId="5627B13B" w:rsidR="003439C5" w:rsidRPr="00E37FBE" w:rsidRDefault="00F40FD4" w:rsidP="00D75947">
            <w:pPr>
              <w:spacing w:before="0" w:after="0"/>
              <w:rPr>
                <w:rFonts w:ascii="Times New Roman" w:hAnsi="Times New Roman"/>
                <w:b/>
                <w:szCs w:val="20"/>
                <w:u w:val="single"/>
                <w:lang w:eastAsia="en-GB"/>
              </w:rPr>
            </w:pPr>
            <w:r w:rsidRPr="00E37FBE">
              <w:rPr>
                <w:rFonts w:ascii="Times New Roman" w:hAnsi="Times New Roman"/>
                <w:b/>
                <w:szCs w:val="20"/>
                <w:u w:val="single"/>
                <w:lang w:eastAsia="en-GB"/>
              </w:rPr>
              <w:t>2.1</w:t>
            </w:r>
            <w:r w:rsidR="00E87A50" w:rsidRPr="00E37FBE">
              <w:rPr>
                <w:rFonts w:ascii="Times New Roman" w:hAnsi="Times New Roman"/>
                <w:b/>
                <w:szCs w:val="20"/>
                <w:u w:val="single"/>
                <w:lang w:eastAsia="en-GB"/>
              </w:rPr>
              <w:tab/>
            </w:r>
            <w:r w:rsidR="00F900C8" w:rsidRPr="00E37FBE">
              <w:rPr>
                <w:rFonts w:ascii="Times New Roman" w:hAnsi="Times New Roman"/>
                <w:b/>
                <w:szCs w:val="20"/>
                <w:u w:val="single"/>
                <w:lang w:eastAsia="en-GB"/>
              </w:rPr>
              <w:t>U</w:t>
            </w:r>
            <w:r w:rsidR="00E87A50" w:rsidRPr="00E37FBE">
              <w:rPr>
                <w:rFonts w:ascii="Times New Roman" w:hAnsi="Times New Roman"/>
                <w:b/>
                <w:szCs w:val="20"/>
                <w:u w:val="single"/>
                <w:lang w:eastAsia="en-GB"/>
              </w:rPr>
              <w:t>nsecured wholesale funding;</w:t>
            </w:r>
          </w:p>
          <w:p w14:paraId="08EF0039" w14:textId="77777777" w:rsidR="00E87A50" w:rsidRPr="00E37FBE" w:rsidRDefault="00E87A50" w:rsidP="00D75947">
            <w:pPr>
              <w:spacing w:before="0" w:after="0"/>
              <w:rPr>
                <w:rFonts w:ascii="Times New Roman" w:hAnsi="Times New Roman"/>
                <w:b/>
                <w:szCs w:val="20"/>
                <w:u w:val="single"/>
                <w:lang w:eastAsia="en-GB"/>
              </w:rPr>
            </w:pPr>
          </w:p>
          <w:p w14:paraId="765487C0" w14:textId="3279BC8A" w:rsidR="00AD3ACF" w:rsidRPr="00E37FBE" w:rsidRDefault="00AD3ACF" w:rsidP="00AD3ACF">
            <w:pPr>
              <w:spacing w:before="0" w:after="0"/>
              <w:rPr>
                <w:szCs w:val="20"/>
              </w:rPr>
            </w:pPr>
            <w:r w:rsidRPr="00E37FBE">
              <w:rPr>
                <w:rFonts w:ascii="Times New Roman" w:hAnsi="Times New Roman"/>
                <w:szCs w:val="20"/>
                <w:lang w:eastAsia="en-GB"/>
              </w:rPr>
              <w:t xml:space="preserve">All counterparties other than </w:t>
            </w:r>
            <w:r w:rsidR="00636713" w:rsidRPr="00E37FBE">
              <w:rPr>
                <w:rFonts w:ascii="Times New Roman" w:hAnsi="Times New Roman"/>
                <w:szCs w:val="20"/>
                <w:lang w:eastAsia="en-GB"/>
              </w:rPr>
              <w:t xml:space="preserve">those of </w:t>
            </w:r>
            <w:r w:rsidRPr="00E37FBE">
              <w:rPr>
                <w:rFonts w:ascii="Times New Roman" w:hAnsi="Times New Roman"/>
                <w:szCs w:val="20"/>
                <w:lang w:eastAsia="en-GB"/>
              </w:rPr>
              <w:t xml:space="preserve">retail deposits as defined in </w:t>
            </w:r>
            <w:r w:rsidR="00980392" w:rsidRPr="00E37FBE">
              <w:rPr>
                <w:rFonts w:ascii="Times New Roman" w:hAnsi="Times New Roman"/>
                <w:szCs w:val="20"/>
                <w:lang w:eastAsia="en-GB"/>
              </w:rPr>
              <w:t>Article 411</w:t>
            </w:r>
            <w:r w:rsidR="00B91AC8" w:rsidRPr="00E37FBE">
              <w:rPr>
                <w:rFonts w:ascii="Times New Roman" w:hAnsi="Times New Roman"/>
                <w:szCs w:val="20"/>
                <w:lang w:eastAsia="en-GB"/>
              </w:rPr>
              <w:t xml:space="preserve">, point </w:t>
            </w:r>
            <w:r w:rsidR="00980392" w:rsidRPr="00E37FBE">
              <w:rPr>
                <w:rFonts w:ascii="Times New Roman" w:hAnsi="Times New Roman"/>
                <w:szCs w:val="20"/>
                <w:lang w:eastAsia="en-GB"/>
              </w:rPr>
              <w:t>(2)</w:t>
            </w:r>
            <w:r w:rsidR="00B91AC8" w:rsidRPr="00E37FBE">
              <w:rPr>
                <w:rFonts w:ascii="Times New Roman" w:hAnsi="Times New Roman"/>
                <w:szCs w:val="20"/>
                <w:lang w:eastAsia="en-GB"/>
              </w:rPr>
              <w:t>,</w:t>
            </w:r>
            <w:r w:rsidR="00980392" w:rsidRPr="00E37FBE">
              <w:rPr>
                <w:rFonts w:ascii="Times New Roman" w:hAnsi="Times New Roman"/>
                <w:szCs w:val="20"/>
                <w:lang w:eastAsia="en-GB"/>
              </w:rPr>
              <w:t xml:space="preserve"> of Regulation (EU) No 575/2013</w:t>
            </w:r>
            <w:r w:rsidR="00F9747D" w:rsidRPr="00E37FBE">
              <w:rPr>
                <w:rFonts w:ascii="Times New Roman" w:hAnsi="Times New Roman"/>
                <w:szCs w:val="20"/>
                <w:lang w:eastAsia="en-GB"/>
              </w:rPr>
              <w:t>,</w:t>
            </w:r>
            <w:r w:rsidRPr="00E37FBE">
              <w:rPr>
                <w:rFonts w:ascii="Times New Roman" w:hAnsi="Times New Roman"/>
                <w:szCs w:val="20"/>
                <w:lang w:eastAsia="en-GB"/>
              </w:rPr>
              <w:t xml:space="preserve"> where the funding is unsecured.</w:t>
            </w:r>
          </w:p>
          <w:p w14:paraId="4259F037" w14:textId="77777777" w:rsidR="003439C5" w:rsidRPr="00E37FBE" w:rsidRDefault="003439C5" w:rsidP="003439C5">
            <w:pPr>
              <w:spacing w:before="0" w:after="0"/>
              <w:rPr>
                <w:rFonts w:ascii="Times New Roman" w:hAnsi="Times New Roman"/>
                <w:b/>
                <w:szCs w:val="20"/>
                <w:u w:val="single"/>
                <w:lang w:eastAsia="en-GB"/>
              </w:rPr>
            </w:pPr>
          </w:p>
        </w:tc>
      </w:tr>
      <w:tr w:rsidR="003439C5" w:rsidRPr="00E37FBE" w14:paraId="53E051F8" w14:textId="77777777" w:rsidTr="00D75947">
        <w:trPr>
          <w:trHeight w:val="1020"/>
        </w:trPr>
        <w:tc>
          <w:tcPr>
            <w:tcW w:w="729" w:type="pct"/>
            <w:shd w:val="clear" w:color="auto" w:fill="auto"/>
            <w:noWrap/>
          </w:tcPr>
          <w:p w14:paraId="6B94D89A" w14:textId="260867F6" w:rsidR="003439C5" w:rsidRPr="00E37FBE" w:rsidRDefault="00C90DF5" w:rsidP="003439C5">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DD136C" w:rsidRPr="00E37FBE">
              <w:rPr>
                <w:rFonts w:ascii="Times New Roman" w:hAnsi="Times New Roman"/>
                <w:color w:val="000000"/>
                <w:szCs w:val="20"/>
                <w:lang w:eastAsia="en-GB"/>
              </w:rPr>
              <w:t>12</w:t>
            </w:r>
            <w:r w:rsidR="003439C5" w:rsidRPr="00E37FBE">
              <w:rPr>
                <w:rFonts w:ascii="Times New Roman" w:hAnsi="Times New Roman"/>
                <w:color w:val="000000"/>
                <w:szCs w:val="20"/>
                <w:lang w:eastAsia="en-GB"/>
              </w:rPr>
              <w:t>0</w:t>
            </w:r>
          </w:p>
        </w:tc>
        <w:tc>
          <w:tcPr>
            <w:tcW w:w="4271" w:type="pct"/>
            <w:shd w:val="clear" w:color="auto" w:fill="auto"/>
          </w:tcPr>
          <w:p w14:paraId="6C6FDC97" w14:textId="596DF847" w:rsidR="003439C5" w:rsidRPr="00E37FBE" w:rsidRDefault="00F40FD4" w:rsidP="00D75947">
            <w:pPr>
              <w:spacing w:before="0" w:after="0"/>
              <w:rPr>
                <w:rFonts w:ascii="Times New Roman" w:hAnsi="Times New Roman"/>
                <w:b/>
                <w:szCs w:val="20"/>
                <w:u w:val="single"/>
                <w:lang w:eastAsia="en-GB"/>
              </w:rPr>
            </w:pPr>
            <w:r w:rsidRPr="00E37FBE">
              <w:rPr>
                <w:rFonts w:ascii="Times New Roman" w:hAnsi="Times New Roman"/>
                <w:b/>
                <w:szCs w:val="20"/>
                <w:u w:val="single"/>
                <w:lang w:eastAsia="en-GB"/>
              </w:rPr>
              <w:t>2.1.1</w:t>
            </w:r>
            <w:r w:rsidR="003439C5" w:rsidRPr="00E37FBE">
              <w:rPr>
                <w:rFonts w:ascii="Times New Roman" w:hAnsi="Times New Roman"/>
                <w:b/>
                <w:szCs w:val="20"/>
                <w:u w:val="single"/>
                <w:lang w:eastAsia="en-GB"/>
              </w:rPr>
              <w:tab/>
              <w:t>of which loans and deposits from financial customers;</w:t>
            </w:r>
          </w:p>
          <w:p w14:paraId="3BB695C9" w14:textId="77777777" w:rsidR="003439C5" w:rsidRPr="00E37FBE" w:rsidRDefault="003439C5" w:rsidP="00D75947">
            <w:pPr>
              <w:spacing w:before="0" w:after="0"/>
              <w:rPr>
                <w:rFonts w:ascii="Times New Roman" w:hAnsi="Times New Roman"/>
                <w:b/>
                <w:szCs w:val="20"/>
                <w:u w:val="single"/>
                <w:lang w:eastAsia="en-GB"/>
              </w:rPr>
            </w:pPr>
          </w:p>
          <w:p w14:paraId="0788F5FB" w14:textId="69FDCBBC" w:rsidR="00AD3ACF" w:rsidRPr="00E37FBE" w:rsidRDefault="00AD3ACF" w:rsidP="00AD3ACF">
            <w:pPr>
              <w:spacing w:before="0" w:after="0"/>
              <w:rPr>
                <w:rFonts w:ascii="Times New Roman" w:hAnsi="Times New Roman"/>
                <w:szCs w:val="20"/>
                <w:lang w:eastAsia="en-GB"/>
              </w:rPr>
            </w:pPr>
            <w:r w:rsidRPr="00E37FBE">
              <w:rPr>
                <w:rFonts w:ascii="Times New Roman" w:hAnsi="Times New Roman"/>
                <w:szCs w:val="20"/>
                <w:lang w:eastAsia="en-GB"/>
              </w:rPr>
              <w:t xml:space="preserve">Of </w:t>
            </w:r>
            <w:r w:rsidR="00274EE9" w:rsidRPr="00E37FBE">
              <w:rPr>
                <w:rFonts w:ascii="Times New Roman" w:hAnsi="Times New Roman"/>
                <w:szCs w:val="20"/>
                <w:lang w:eastAsia="en-GB"/>
              </w:rPr>
              <w:t xml:space="preserve">the </w:t>
            </w:r>
            <w:r w:rsidRPr="00E37FBE">
              <w:rPr>
                <w:rFonts w:ascii="Times New Roman" w:hAnsi="Times New Roman"/>
                <w:szCs w:val="20"/>
                <w:lang w:eastAsia="en-GB"/>
              </w:rPr>
              <w:t xml:space="preserve">funding in row </w:t>
            </w:r>
            <w:r w:rsidR="00C90DF5" w:rsidRPr="00E37FBE">
              <w:rPr>
                <w:rFonts w:ascii="Times New Roman" w:hAnsi="Times New Roman"/>
                <w:szCs w:val="20"/>
                <w:lang w:eastAsia="en-GB"/>
              </w:rPr>
              <w:t>0</w:t>
            </w:r>
            <w:r w:rsidR="00A84FD7" w:rsidRPr="00E37FBE">
              <w:rPr>
                <w:rFonts w:ascii="Times New Roman" w:hAnsi="Times New Roman"/>
                <w:szCs w:val="20"/>
                <w:lang w:eastAsia="en-GB"/>
              </w:rPr>
              <w:t>11</w:t>
            </w:r>
            <w:r w:rsidRPr="00E37FBE">
              <w:rPr>
                <w:rFonts w:ascii="Times New Roman" w:hAnsi="Times New Roman"/>
                <w:szCs w:val="20"/>
                <w:lang w:eastAsia="en-GB"/>
              </w:rPr>
              <w:t>0, those that consist of loans and deposits from financial customers.</w:t>
            </w:r>
          </w:p>
          <w:p w14:paraId="1EBF28E1" w14:textId="77777777" w:rsidR="00D75947" w:rsidRPr="00E37FBE" w:rsidRDefault="00D75947" w:rsidP="00AD3ACF">
            <w:pPr>
              <w:spacing w:before="0" w:after="0"/>
              <w:rPr>
                <w:rFonts w:ascii="Times New Roman" w:hAnsi="Times New Roman"/>
                <w:szCs w:val="20"/>
                <w:lang w:eastAsia="en-GB"/>
              </w:rPr>
            </w:pPr>
          </w:p>
          <w:p w14:paraId="268FF204" w14:textId="60AA5C50" w:rsidR="00D75947" w:rsidRPr="00E37FBE" w:rsidRDefault="00D75947" w:rsidP="00AD3ACF">
            <w:pPr>
              <w:spacing w:before="0" w:after="0"/>
              <w:rPr>
                <w:rFonts w:ascii="Times New Roman" w:hAnsi="Times New Roman"/>
                <w:szCs w:val="20"/>
                <w:lang w:eastAsia="en-GB"/>
              </w:rPr>
            </w:pPr>
            <w:r w:rsidRPr="00E37FBE">
              <w:rPr>
                <w:rFonts w:ascii="Times New Roman" w:hAnsi="Times New Roman"/>
                <w:szCs w:val="20"/>
                <w:lang w:eastAsia="en-GB"/>
              </w:rPr>
              <w:t xml:space="preserve">Funding from central banks shall be excluded from this row. </w:t>
            </w:r>
          </w:p>
          <w:p w14:paraId="4846816F" w14:textId="4CB99B55" w:rsidR="003439C5" w:rsidRPr="00E37FBE" w:rsidRDefault="003439C5" w:rsidP="003439C5">
            <w:pPr>
              <w:spacing w:before="0" w:after="0"/>
              <w:rPr>
                <w:rFonts w:ascii="Times New Roman" w:hAnsi="Times New Roman"/>
                <w:b/>
                <w:szCs w:val="20"/>
                <w:u w:val="single"/>
                <w:lang w:eastAsia="en-GB"/>
              </w:rPr>
            </w:pPr>
          </w:p>
        </w:tc>
      </w:tr>
      <w:tr w:rsidR="003439C5" w:rsidRPr="00E37FBE" w14:paraId="63BC41F1" w14:textId="77777777" w:rsidTr="00D75947">
        <w:trPr>
          <w:trHeight w:val="1020"/>
        </w:trPr>
        <w:tc>
          <w:tcPr>
            <w:tcW w:w="729" w:type="pct"/>
            <w:shd w:val="clear" w:color="auto" w:fill="auto"/>
            <w:noWrap/>
          </w:tcPr>
          <w:p w14:paraId="7837B5F4" w14:textId="14167C7E" w:rsidR="003439C5" w:rsidRPr="00E37FBE" w:rsidRDefault="00C90DF5" w:rsidP="00DD136C">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3439C5" w:rsidRPr="00E37FBE">
              <w:rPr>
                <w:rFonts w:ascii="Times New Roman" w:hAnsi="Times New Roman"/>
                <w:color w:val="000000"/>
                <w:szCs w:val="20"/>
                <w:lang w:eastAsia="en-GB"/>
              </w:rPr>
              <w:t>1</w:t>
            </w:r>
            <w:r w:rsidR="00DD136C" w:rsidRPr="00E37FBE">
              <w:rPr>
                <w:rFonts w:ascii="Times New Roman" w:hAnsi="Times New Roman"/>
                <w:color w:val="000000"/>
                <w:szCs w:val="20"/>
                <w:lang w:eastAsia="en-GB"/>
              </w:rPr>
              <w:t>3</w:t>
            </w:r>
            <w:r w:rsidR="003439C5" w:rsidRPr="00E37FBE">
              <w:rPr>
                <w:rFonts w:ascii="Times New Roman" w:hAnsi="Times New Roman"/>
                <w:color w:val="000000"/>
                <w:szCs w:val="20"/>
                <w:lang w:eastAsia="en-GB"/>
              </w:rPr>
              <w:t>0</w:t>
            </w:r>
          </w:p>
        </w:tc>
        <w:tc>
          <w:tcPr>
            <w:tcW w:w="4271" w:type="pct"/>
            <w:shd w:val="clear" w:color="auto" w:fill="auto"/>
          </w:tcPr>
          <w:p w14:paraId="06A755FB" w14:textId="502C771C" w:rsidR="003439C5" w:rsidRPr="00E37FBE" w:rsidRDefault="00F40FD4" w:rsidP="00D75947">
            <w:pPr>
              <w:spacing w:before="0" w:after="0"/>
              <w:rPr>
                <w:rFonts w:ascii="Times New Roman" w:hAnsi="Times New Roman"/>
                <w:b/>
                <w:szCs w:val="20"/>
                <w:u w:val="single"/>
                <w:lang w:eastAsia="en-GB"/>
              </w:rPr>
            </w:pPr>
            <w:r w:rsidRPr="00E37FBE">
              <w:rPr>
                <w:rFonts w:ascii="Times New Roman" w:hAnsi="Times New Roman"/>
                <w:b/>
                <w:szCs w:val="20"/>
                <w:u w:val="single"/>
                <w:lang w:eastAsia="en-GB"/>
              </w:rPr>
              <w:t>2.1.2</w:t>
            </w:r>
            <w:r w:rsidR="003439C5" w:rsidRPr="00E37FBE">
              <w:rPr>
                <w:rFonts w:ascii="Times New Roman" w:hAnsi="Times New Roman"/>
                <w:b/>
                <w:szCs w:val="20"/>
                <w:u w:val="single"/>
                <w:lang w:eastAsia="en-GB"/>
              </w:rPr>
              <w:tab/>
              <w:t>of which loans and deposits from non-financial customers;</w:t>
            </w:r>
          </w:p>
          <w:p w14:paraId="02E65316" w14:textId="77777777" w:rsidR="003439C5" w:rsidRPr="00E37FBE" w:rsidRDefault="003439C5" w:rsidP="00D75947">
            <w:pPr>
              <w:spacing w:before="0" w:after="0"/>
              <w:rPr>
                <w:rFonts w:ascii="Times New Roman" w:hAnsi="Times New Roman"/>
                <w:b/>
                <w:szCs w:val="20"/>
                <w:u w:val="single"/>
                <w:lang w:eastAsia="en-GB"/>
              </w:rPr>
            </w:pPr>
          </w:p>
          <w:p w14:paraId="6E637B97" w14:textId="5E5B493F" w:rsidR="00AD3ACF" w:rsidRPr="00E37FBE" w:rsidRDefault="00AD3ACF" w:rsidP="00AD3ACF">
            <w:pPr>
              <w:spacing w:before="0" w:after="0"/>
              <w:rPr>
                <w:rFonts w:ascii="Times New Roman" w:hAnsi="Times New Roman"/>
                <w:szCs w:val="20"/>
                <w:lang w:eastAsia="en-GB"/>
              </w:rPr>
            </w:pPr>
            <w:r w:rsidRPr="00E37FBE">
              <w:rPr>
                <w:rFonts w:ascii="Times New Roman" w:hAnsi="Times New Roman"/>
                <w:szCs w:val="20"/>
                <w:lang w:eastAsia="en-GB"/>
              </w:rPr>
              <w:t xml:space="preserve">Of </w:t>
            </w:r>
            <w:r w:rsidR="00274EE9" w:rsidRPr="00E37FBE">
              <w:rPr>
                <w:rFonts w:ascii="Times New Roman" w:hAnsi="Times New Roman"/>
                <w:szCs w:val="20"/>
                <w:lang w:eastAsia="en-GB"/>
              </w:rPr>
              <w:t xml:space="preserve">the </w:t>
            </w:r>
            <w:r w:rsidR="00A84FD7" w:rsidRPr="00E37FBE">
              <w:rPr>
                <w:rFonts w:ascii="Times New Roman" w:hAnsi="Times New Roman"/>
                <w:szCs w:val="20"/>
                <w:lang w:eastAsia="en-GB"/>
              </w:rPr>
              <w:t xml:space="preserve">funding in row </w:t>
            </w:r>
            <w:r w:rsidR="00C90DF5" w:rsidRPr="00E37FBE">
              <w:rPr>
                <w:rFonts w:ascii="Times New Roman" w:hAnsi="Times New Roman"/>
                <w:szCs w:val="20"/>
                <w:lang w:eastAsia="en-GB"/>
              </w:rPr>
              <w:t>0</w:t>
            </w:r>
            <w:r w:rsidR="00A84FD7" w:rsidRPr="00E37FBE">
              <w:rPr>
                <w:rFonts w:ascii="Times New Roman" w:hAnsi="Times New Roman"/>
                <w:szCs w:val="20"/>
                <w:lang w:eastAsia="en-GB"/>
              </w:rPr>
              <w:t>11</w:t>
            </w:r>
            <w:r w:rsidRPr="00E37FBE">
              <w:rPr>
                <w:rFonts w:ascii="Times New Roman" w:hAnsi="Times New Roman"/>
                <w:szCs w:val="20"/>
                <w:lang w:eastAsia="en-GB"/>
              </w:rPr>
              <w:t>0, those that consist of loans and deposits from non-financial customers.</w:t>
            </w:r>
          </w:p>
          <w:p w14:paraId="4A6E9ABD" w14:textId="77777777" w:rsidR="00D75947" w:rsidRPr="00E37FBE" w:rsidRDefault="00D75947" w:rsidP="00AD3ACF">
            <w:pPr>
              <w:spacing w:before="0" w:after="0"/>
              <w:rPr>
                <w:rFonts w:ascii="Times New Roman" w:hAnsi="Times New Roman"/>
                <w:szCs w:val="20"/>
                <w:lang w:eastAsia="en-GB"/>
              </w:rPr>
            </w:pPr>
          </w:p>
          <w:p w14:paraId="1033118A" w14:textId="655EE402" w:rsidR="00D75947" w:rsidRPr="00E37FBE" w:rsidRDefault="00D75947" w:rsidP="00AD3ACF">
            <w:pPr>
              <w:spacing w:before="0" w:after="0"/>
              <w:rPr>
                <w:rFonts w:ascii="Times New Roman" w:hAnsi="Times New Roman"/>
                <w:szCs w:val="20"/>
                <w:lang w:eastAsia="en-GB"/>
              </w:rPr>
            </w:pPr>
            <w:r w:rsidRPr="00E37FBE">
              <w:rPr>
                <w:rFonts w:ascii="Times New Roman" w:hAnsi="Times New Roman"/>
                <w:szCs w:val="20"/>
                <w:lang w:eastAsia="en-GB"/>
              </w:rPr>
              <w:t>Funding from central banks shall be excluded from this row.</w:t>
            </w:r>
          </w:p>
          <w:p w14:paraId="0C4C3C91" w14:textId="4533C6EE" w:rsidR="003439C5" w:rsidRPr="00E37FBE" w:rsidRDefault="003439C5" w:rsidP="003439C5">
            <w:pPr>
              <w:spacing w:before="0" w:after="0"/>
              <w:rPr>
                <w:rFonts w:ascii="Times New Roman" w:hAnsi="Times New Roman"/>
                <w:b/>
                <w:szCs w:val="20"/>
                <w:u w:val="single"/>
                <w:lang w:eastAsia="en-GB"/>
              </w:rPr>
            </w:pPr>
          </w:p>
        </w:tc>
      </w:tr>
      <w:tr w:rsidR="003439C5" w:rsidRPr="00E37FBE" w14:paraId="445F9D74" w14:textId="77777777" w:rsidTr="00D75947">
        <w:trPr>
          <w:trHeight w:val="1020"/>
        </w:trPr>
        <w:tc>
          <w:tcPr>
            <w:tcW w:w="729" w:type="pct"/>
            <w:shd w:val="clear" w:color="auto" w:fill="auto"/>
            <w:noWrap/>
          </w:tcPr>
          <w:p w14:paraId="6F6E6B72" w14:textId="4656ED36" w:rsidR="003439C5" w:rsidRPr="00E37FBE" w:rsidRDefault="00C90DF5" w:rsidP="003439C5">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DD136C" w:rsidRPr="00E37FBE">
              <w:rPr>
                <w:rFonts w:ascii="Times New Roman" w:hAnsi="Times New Roman"/>
                <w:color w:val="000000"/>
                <w:szCs w:val="20"/>
                <w:lang w:eastAsia="en-GB"/>
              </w:rPr>
              <w:t>14</w:t>
            </w:r>
            <w:r w:rsidR="003439C5" w:rsidRPr="00E37FBE">
              <w:rPr>
                <w:rFonts w:ascii="Times New Roman" w:hAnsi="Times New Roman"/>
                <w:color w:val="000000"/>
                <w:szCs w:val="20"/>
                <w:lang w:eastAsia="en-GB"/>
              </w:rPr>
              <w:t>0</w:t>
            </w:r>
          </w:p>
        </w:tc>
        <w:tc>
          <w:tcPr>
            <w:tcW w:w="4271" w:type="pct"/>
            <w:shd w:val="clear" w:color="auto" w:fill="auto"/>
          </w:tcPr>
          <w:p w14:paraId="08468F41" w14:textId="34A0F0BB" w:rsidR="003439C5" w:rsidRPr="00E37FBE" w:rsidRDefault="00F40FD4" w:rsidP="00D75947">
            <w:pPr>
              <w:spacing w:before="0" w:after="0"/>
              <w:rPr>
                <w:rFonts w:ascii="Times New Roman" w:hAnsi="Times New Roman"/>
                <w:b/>
                <w:szCs w:val="20"/>
                <w:u w:val="single"/>
                <w:lang w:eastAsia="en-GB"/>
              </w:rPr>
            </w:pPr>
            <w:r w:rsidRPr="00E37FBE">
              <w:rPr>
                <w:rFonts w:ascii="Times New Roman" w:hAnsi="Times New Roman"/>
                <w:b/>
                <w:szCs w:val="20"/>
                <w:u w:val="single"/>
                <w:lang w:eastAsia="en-GB"/>
              </w:rPr>
              <w:t>2.1.3</w:t>
            </w:r>
            <w:r w:rsidR="003439C5" w:rsidRPr="00E37FBE">
              <w:rPr>
                <w:rFonts w:ascii="Times New Roman" w:hAnsi="Times New Roman"/>
                <w:b/>
                <w:szCs w:val="20"/>
                <w:u w:val="single"/>
                <w:lang w:eastAsia="en-GB"/>
              </w:rPr>
              <w:tab/>
              <w:t>of which loans and deposits from intra-group entities;</w:t>
            </w:r>
          </w:p>
          <w:p w14:paraId="19D87853" w14:textId="77777777" w:rsidR="00AD3ACF" w:rsidRPr="00E37FBE" w:rsidRDefault="00AD3ACF" w:rsidP="00AD3ACF">
            <w:pPr>
              <w:spacing w:before="0" w:after="0"/>
              <w:rPr>
                <w:rFonts w:ascii="Times New Roman" w:hAnsi="Times New Roman"/>
                <w:szCs w:val="20"/>
                <w:lang w:eastAsia="en-GB"/>
              </w:rPr>
            </w:pPr>
          </w:p>
          <w:p w14:paraId="1FDA6EC6" w14:textId="7B0E2912" w:rsidR="00AD3ACF" w:rsidRPr="00E37FBE" w:rsidRDefault="00AD3ACF" w:rsidP="008E720B">
            <w:pPr>
              <w:spacing w:before="0" w:after="0"/>
              <w:rPr>
                <w:rFonts w:ascii="Times New Roman" w:hAnsi="Times New Roman"/>
                <w:szCs w:val="20"/>
                <w:lang w:eastAsia="en-GB"/>
              </w:rPr>
            </w:pPr>
            <w:r w:rsidRPr="00E37FBE">
              <w:rPr>
                <w:rFonts w:ascii="Times New Roman" w:hAnsi="Times New Roman"/>
                <w:szCs w:val="20"/>
                <w:lang w:eastAsia="en-GB"/>
              </w:rPr>
              <w:t xml:space="preserve">Of </w:t>
            </w:r>
            <w:r w:rsidR="00274EE9" w:rsidRPr="00E37FBE">
              <w:rPr>
                <w:rFonts w:ascii="Times New Roman" w:hAnsi="Times New Roman"/>
                <w:szCs w:val="20"/>
                <w:lang w:eastAsia="en-GB"/>
              </w:rPr>
              <w:t xml:space="preserve">the </w:t>
            </w:r>
            <w:r w:rsidRPr="00E37FBE">
              <w:rPr>
                <w:rFonts w:ascii="Times New Roman" w:hAnsi="Times New Roman"/>
                <w:szCs w:val="20"/>
                <w:lang w:eastAsia="en-GB"/>
              </w:rPr>
              <w:t xml:space="preserve">funding in row </w:t>
            </w:r>
            <w:r w:rsidR="00C90DF5" w:rsidRPr="00E37FBE">
              <w:rPr>
                <w:rFonts w:ascii="Times New Roman" w:hAnsi="Times New Roman"/>
                <w:szCs w:val="20"/>
                <w:lang w:eastAsia="en-GB"/>
              </w:rPr>
              <w:t>0</w:t>
            </w:r>
            <w:r w:rsidR="00A84FD7" w:rsidRPr="00E37FBE">
              <w:rPr>
                <w:rFonts w:ascii="Times New Roman" w:hAnsi="Times New Roman"/>
                <w:szCs w:val="20"/>
                <w:lang w:eastAsia="en-GB"/>
              </w:rPr>
              <w:t>11</w:t>
            </w:r>
            <w:r w:rsidRPr="00E37FBE">
              <w:rPr>
                <w:rFonts w:ascii="Times New Roman" w:hAnsi="Times New Roman"/>
                <w:szCs w:val="20"/>
                <w:lang w:eastAsia="en-GB"/>
              </w:rPr>
              <w:t>0, those that consist of loans and deposits from intra-group entities</w:t>
            </w:r>
            <w:r w:rsidR="008E720B" w:rsidRPr="00E37FBE">
              <w:rPr>
                <w:rFonts w:ascii="Times New Roman" w:hAnsi="Times New Roman"/>
                <w:szCs w:val="20"/>
                <w:lang w:eastAsia="en-GB"/>
              </w:rPr>
              <w:t xml:space="preserve">, where the counterparty is a parent or a subsidiary of the institution or another subsidiary of the same parent or linked to the credit institution by a relationship within the meaning of </w:t>
            </w:r>
            <w:r w:rsidR="007E5FBD" w:rsidRPr="00E37FBE">
              <w:rPr>
                <w:rFonts w:ascii="Times New Roman" w:hAnsi="Times New Roman"/>
                <w:szCs w:val="20"/>
                <w:lang w:eastAsia="en-GB"/>
              </w:rPr>
              <w:t>Article 22(7) of Directive 2013/34/EU</w:t>
            </w:r>
            <w:r w:rsidR="008E720B" w:rsidRPr="00E37FBE">
              <w:rPr>
                <w:rFonts w:ascii="Times New Roman" w:hAnsi="Times New Roman"/>
                <w:szCs w:val="20"/>
                <w:lang w:eastAsia="en-GB"/>
              </w:rPr>
              <w:t>.</w:t>
            </w:r>
          </w:p>
          <w:p w14:paraId="2FC0AC9F" w14:textId="77777777" w:rsidR="00274EE9" w:rsidRPr="00E37FBE" w:rsidRDefault="00274EE9" w:rsidP="00AD3ACF">
            <w:pPr>
              <w:spacing w:before="0" w:after="0"/>
              <w:rPr>
                <w:rFonts w:ascii="Times New Roman" w:hAnsi="Times New Roman"/>
                <w:szCs w:val="20"/>
                <w:lang w:eastAsia="en-GB"/>
              </w:rPr>
            </w:pPr>
          </w:p>
          <w:p w14:paraId="7A1CF7E9" w14:textId="13D494D6" w:rsidR="003439C5" w:rsidRPr="00E37FBE" w:rsidRDefault="00274EE9" w:rsidP="00274EE9">
            <w:pPr>
              <w:spacing w:before="0" w:after="0"/>
              <w:rPr>
                <w:rFonts w:ascii="Times New Roman" w:hAnsi="Times New Roman"/>
                <w:b/>
                <w:szCs w:val="20"/>
                <w:u w:val="single"/>
                <w:lang w:eastAsia="en-GB"/>
              </w:rPr>
            </w:pPr>
            <w:r w:rsidRPr="00E37FBE">
              <w:rPr>
                <w:rFonts w:ascii="Times New Roman" w:hAnsi="Times New Roman"/>
                <w:szCs w:val="20"/>
                <w:lang w:eastAsia="en-GB"/>
              </w:rPr>
              <w:t>Wholesale funding from intra-group entities shall only be reported on a solo or subconsolidated basis.</w:t>
            </w:r>
          </w:p>
        </w:tc>
      </w:tr>
      <w:tr w:rsidR="003439C5" w:rsidRPr="00E37FBE" w14:paraId="658E2622" w14:textId="77777777" w:rsidTr="00D75947">
        <w:trPr>
          <w:trHeight w:val="1020"/>
        </w:trPr>
        <w:tc>
          <w:tcPr>
            <w:tcW w:w="729" w:type="pct"/>
            <w:shd w:val="clear" w:color="auto" w:fill="auto"/>
            <w:noWrap/>
          </w:tcPr>
          <w:p w14:paraId="1089A569" w14:textId="0B1D3526" w:rsidR="003439C5" w:rsidRPr="00E37FBE" w:rsidRDefault="00C90DF5" w:rsidP="003439C5">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DD136C" w:rsidRPr="00E37FBE">
              <w:rPr>
                <w:rFonts w:ascii="Times New Roman" w:hAnsi="Times New Roman"/>
                <w:color w:val="000000"/>
                <w:szCs w:val="20"/>
                <w:lang w:eastAsia="en-GB"/>
              </w:rPr>
              <w:t>15</w:t>
            </w:r>
            <w:r w:rsidR="003439C5" w:rsidRPr="00E37FBE">
              <w:rPr>
                <w:rFonts w:ascii="Times New Roman" w:hAnsi="Times New Roman"/>
                <w:color w:val="000000"/>
                <w:szCs w:val="20"/>
                <w:lang w:eastAsia="en-GB"/>
              </w:rPr>
              <w:t>0</w:t>
            </w:r>
          </w:p>
        </w:tc>
        <w:tc>
          <w:tcPr>
            <w:tcW w:w="4271" w:type="pct"/>
            <w:shd w:val="clear" w:color="auto" w:fill="auto"/>
          </w:tcPr>
          <w:p w14:paraId="46EF8EC5" w14:textId="56C23DBB" w:rsidR="003439C5" w:rsidRPr="00E37FBE" w:rsidRDefault="00F40FD4" w:rsidP="003439C5">
            <w:pPr>
              <w:spacing w:before="0" w:after="0"/>
              <w:rPr>
                <w:rFonts w:ascii="Times New Roman" w:hAnsi="Times New Roman"/>
                <w:b/>
                <w:szCs w:val="20"/>
                <w:u w:val="single"/>
                <w:lang w:eastAsia="en-GB"/>
              </w:rPr>
            </w:pPr>
            <w:r w:rsidRPr="00E37FBE">
              <w:rPr>
                <w:rFonts w:ascii="Times New Roman" w:hAnsi="Times New Roman"/>
                <w:b/>
                <w:szCs w:val="20"/>
                <w:u w:val="single"/>
                <w:lang w:eastAsia="en-GB"/>
              </w:rPr>
              <w:t>2.2</w:t>
            </w:r>
            <w:r w:rsidR="003439C5" w:rsidRPr="00E37FBE">
              <w:rPr>
                <w:rFonts w:ascii="Times New Roman" w:hAnsi="Times New Roman"/>
                <w:b/>
                <w:szCs w:val="20"/>
                <w:u w:val="single"/>
                <w:lang w:eastAsia="en-GB"/>
              </w:rPr>
              <w:tab/>
            </w:r>
            <w:r w:rsidR="00F900C8" w:rsidRPr="00E37FBE">
              <w:rPr>
                <w:rFonts w:ascii="Times New Roman" w:hAnsi="Times New Roman"/>
                <w:b/>
                <w:szCs w:val="20"/>
                <w:u w:val="single"/>
                <w:lang w:eastAsia="en-GB"/>
              </w:rPr>
              <w:t>S</w:t>
            </w:r>
            <w:r w:rsidR="003439C5" w:rsidRPr="00E37FBE">
              <w:rPr>
                <w:rFonts w:ascii="Times New Roman" w:hAnsi="Times New Roman"/>
                <w:b/>
                <w:szCs w:val="20"/>
                <w:u w:val="single"/>
                <w:lang w:eastAsia="en-GB"/>
              </w:rPr>
              <w:t xml:space="preserve">ecured wholesale funding; </w:t>
            </w:r>
          </w:p>
          <w:p w14:paraId="4AE66107" w14:textId="77777777" w:rsidR="00274EE9" w:rsidRPr="00E37FBE" w:rsidRDefault="00274EE9" w:rsidP="00274EE9">
            <w:pPr>
              <w:spacing w:before="0" w:after="0"/>
              <w:rPr>
                <w:rFonts w:ascii="Times New Roman" w:hAnsi="Times New Roman"/>
                <w:szCs w:val="20"/>
                <w:lang w:eastAsia="en-GB"/>
              </w:rPr>
            </w:pPr>
          </w:p>
          <w:p w14:paraId="235C9947" w14:textId="0342D746" w:rsidR="00274EE9" w:rsidRPr="00E37FBE" w:rsidRDefault="00274EE9" w:rsidP="00274EE9">
            <w:pPr>
              <w:spacing w:before="0" w:after="0"/>
              <w:rPr>
                <w:szCs w:val="20"/>
              </w:rPr>
            </w:pPr>
            <w:r w:rsidRPr="00E37FBE">
              <w:rPr>
                <w:rFonts w:ascii="Times New Roman" w:hAnsi="Times New Roman"/>
                <w:szCs w:val="20"/>
                <w:lang w:eastAsia="en-GB"/>
              </w:rPr>
              <w:t>All counterparties other than</w:t>
            </w:r>
            <w:r w:rsidR="00636713" w:rsidRPr="00E37FBE">
              <w:rPr>
                <w:rFonts w:ascii="Times New Roman" w:hAnsi="Times New Roman"/>
                <w:szCs w:val="20"/>
                <w:lang w:eastAsia="en-GB"/>
              </w:rPr>
              <w:t xml:space="preserve"> those of</w:t>
            </w:r>
            <w:r w:rsidRPr="00E37FBE">
              <w:rPr>
                <w:rFonts w:ascii="Times New Roman" w:hAnsi="Times New Roman"/>
                <w:szCs w:val="20"/>
                <w:lang w:eastAsia="en-GB"/>
              </w:rPr>
              <w:t xml:space="preserve"> retail deposits as defined in </w:t>
            </w:r>
            <w:r w:rsidR="00980392" w:rsidRPr="00E37FBE">
              <w:rPr>
                <w:rFonts w:ascii="Times New Roman" w:hAnsi="Times New Roman"/>
                <w:szCs w:val="20"/>
                <w:lang w:eastAsia="en-GB"/>
              </w:rPr>
              <w:t>Article 411</w:t>
            </w:r>
            <w:r w:rsidR="00B91AC8" w:rsidRPr="00E37FBE">
              <w:rPr>
                <w:rFonts w:ascii="Times New Roman" w:hAnsi="Times New Roman"/>
                <w:szCs w:val="20"/>
                <w:lang w:eastAsia="en-GB"/>
              </w:rPr>
              <w:t xml:space="preserve">, point </w:t>
            </w:r>
            <w:r w:rsidR="00980392" w:rsidRPr="00E37FBE">
              <w:rPr>
                <w:rFonts w:ascii="Times New Roman" w:hAnsi="Times New Roman"/>
                <w:szCs w:val="20"/>
                <w:lang w:eastAsia="en-GB"/>
              </w:rPr>
              <w:t>(2)</w:t>
            </w:r>
            <w:r w:rsidR="00B91AC8" w:rsidRPr="00E37FBE">
              <w:rPr>
                <w:rFonts w:ascii="Times New Roman" w:hAnsi="Times New Roman"/>
                <w:szCs w:val="20"/>
                <w:lang w:eastAsia="en-GB"/>
              </w:rPr>
              <w:t>,</w:t>
            </w:r>
            <w:r w:rsidR="00980392" w:rsidRPr="00E37FBE">
              <w:rPr>
                <w:rFonts w:ascii="Times New Roman" w:hAnsi="Times New Roman"/>
                <w:szCs w:val="20"/>
                <w:lang w:eastAsia="en-GB"/>
              </w:rPr>
              <w:t xml:space="preserve"> of Regulation (EU) No 575/2013</w:t>
            </w:r>
            <w:r w:rsidR="00F9747D" w:rsidRPr="00E37FBE">
              <w:rPr>
                <w:rFonts w:ascii="Times New Roman" w:hAnsi="Times New Roman"/>
                <w:szCs w:val="20"/>
                <w:lang w:eastAsia="en-GB"/>
              </w:rPr>
              <w:t>,</w:t>
            </w:r>
            <w:r w:rsidRPr="00E37FBE">
              <w:rPr>
                <w:rFonts w:ascii="Times New Roman" w:hAnsi="Times New Roman"/>
                <w:szCs w:val="20"/>
                <w:lang w:eastAsia="en-GB"/>
              </w:rPr>
              <w:t xml:space="preserve"> where the funding is secured.</w:t>
            </w:r>
          </w:p>
          <w:p w14:paraId="0B9B72C2" w14:textId="273E7D60" w:rsidR="003439C5" w:rsidRPr="00E37FBE" w:rsidRDefault="003439C5" w:rsidP="003439C5">
            <w:pPr>
              <w:spacing w:before="0" w:after="0"/>
              <w:rPr>
                <w:rFonts w:ascii="Times New Roman" w:hAnsi="Times New Roman"/>
                <w:b/>
                <w:szCs w:val="20"/>
                <w:u w:val="single"/>
                <w:lang w:eastAsia="en-GB"/>
              </w:rPr>
            </w:pPr>
          </w:p>
        </w:tc>
      </w:tr>
      <w:tr w:rsidR="003439C5" w:rsidRPr="00E37FBE" w14:paraId="2EB68234" w14:textId="77777777" w:rsidTr="00D75947">
        <w:trPr>
          <w:trHeight w:val="1020"/>
        </w:trPr>
        <w:tc>
          <w:tcPr>
            <w:tcW w:w="729" w:type="pct"/>
            <w:shd w:val="clear" w:color="auto" w:fill="auto"/>
            <w:noWrap/>
          </w:tcPr>
          <w:p w14:paraId="62D3C328" w14:textId="25E885A9" w:rsidR="003439C5" w:rsidRPr="00E37FBE" w:rsidRDefault="00C90DF5" w:rsidP="003439C5">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DD136C" w:rsidRPr="00E37FBE">
              <w:rPr>
                <w:rFonts w:ascii="Times New Roman" w:hAnsi="Times New Roman"/>
                <w:color w:val="000000"/>
                <w:szCs w:val="20"/>
                <w:lang w:eastAsia="en-GB"/>
              </w:rPr>
              <w:t>16</w:t>
            </w:r>
            <w:r w:rsidR="003439C5" w:rsidRPr="00E37FBE">
              <w:rPr>
                <w:rFonts w:ascii="Times New Roman" w:hAnsi="Times New Roman"/>
                <w:color w:val="000000"/>
                <w:szCs w:val="20"/>
                <w:lang w:eastAsia="en-GB"/>
              </w:rPr>
              <w:t>0</w:t>
            </w:r>
          </w:p>
        </w:tc>
        <w:tc>
          <w:tcPr>
            <w:tcW w:w="4271" w:type="pct"/>
            <w:shd w:val="clear" w:color="auto" w:fill="auto"/>
          </w:tcPr>
          <w:p w14:paraId="26450696" w14:textId="61B5533B" w:rsidR="003439C5" w:rsidRPr="00E37FBE" w:rsidRDefault="00F40FD4" w:rsidP="003439C5">
            <w:pPr>
              <w:spacing w:before="0" w:after="0"/>
              <w:rPr>
                <w:rFonts w:ascii="Times New Roman" w:hAnsi="Times New Roman"/>
                <w:b/>
                <w:szCs w:val="20"/>
                <w:u w:val="single"/>
                <w:lang w:eastAsia="en-GB"/>
              </w:rPr>
            </w:pPr>
            <w:r w:rsidRPr="00E37FBE">
              <w:rPr>
                <w:rFonts w:ascii="Times New Roman" w:hAnsi="Times New Roman"/>
                <w:b/>
                <w:szCs w:val="20"/>
                <w:u w:val="single"/>
                <w:lang w:eastAsia="en-GB"/>
              </w:rPr>
              <w:t>2.2.1</w:t>
            </w:r>
            <w:r w:rsidR="003439C5" w:rsidRPr="00E37FBE">
              <w:rPr>
                <w:rFonts w:ascii="Times New Roman" w:hAnsi="Times New Roman"/>
                <w:b/>
                <w:szCs w:val="20"/>
                <w:u w:val="single"/>
                <w:lang w:eastAsia="en-GB"/>
              </w:rPr>
              <w:tab/>
              <w:t>of which Securities Financing Transactions;</w:t>
            </w:r>
          </w:p>
          <w:p w14:paraId="07691F9D" w14:textId="77777777" w:rsidR="00274EE9" w:rsidRPr="00E37FBE" w:rsidRDefault="00274EE9" w:rsidP="00274EE9">
            <w:pPr>
              <w:spacing w:before="0" w:after="0"/>
              <w:rPr>
                <w:rFonts w:ascii="Times New Roman" w:hAnsi="Times New Roman"/>
                <w:szCs w:val="20"/>
                <w:lang w:eastAsia="en-GB"/>
              </w:rPr>
            </w:pPr>
          </w:p>
          <w:p w14:paraId="56E76DB8" w14:textId="0042FE93" w:rsidR="00274EE9" w:rsidRPr="00E37FBE" w:rsidRDefault="00274EE9" w:rsidP="00274EE9">
            <w:pPr>
              <w:spacing w:before="0" w:after="0"/>
              <w:rPr>
                <w:szCs w:val="20"/>
              </w:rPr>
            </w:pPr>
            <w:r w:rsidRPr="00E37FBE">
              <w:rPr>
                <w:rFonts w:ascii="Times New Roman" w:hAnsi="Times New Roman"/>
                <w:szCs w:val="20"/>
                <w:lang w:eastAsia="en-GB"/>
              </w:rPr>
              <w:t xml:space="preserve">Of the funding in row </w:t>
            </w:r>
            <w:r w:rsidR="00C90DF5" w:rsidRPr="00E37FBE">
              <w:rPr>
                <w:rFonts w:ascii="Times New Roman" w:hAnsi="Times New Roman"/>
                <w:szCs w:val="20"/>
                <w:lang w:eastAsia="en-GB"/>
              </w:rPr>
              <w:t>0</w:t>
            </w:r>
            <w:r w:rsidRPr="00E37FBE">
              <w:rPr>
                <w:rFonts w:ascii="Times New Roman" w:hAnsi="Times New Roman"/>
                <w:szCs w:val="20"/>
                <w:lang w:eastAsia="en-GB"/>
              </w:rPr>
              <w:t>1</w:t>
            </w:r>
            <w:r w:rsidR="00A84FD7" w:rsidRPr="00E37FBE">
              <w:rPr>
                <w:rFonts w:ascii="Times New Roman" w:hAnsi="Times New Roman"/>
                <w:szCs w:val="20"/>
                <w:lang w:eastAsia="en-GB"/>
              </w:rPr>
              <w:t>5</w:t>
            </w:r>
            <w:r w:rsidRPr="00E37FBE">
              <w:rPr>
                <w:rFonts w:ascii="Times New Roman" w:hAnsi="Times New Roman"/>
                <w:szCs w:val="20"/>
                <w:lang w:eastAsia="en-GB"/>
              </w:rPr>
              <w:t xml:space="preserve">0, that which is funding obtained from repurchase agreements as defined in </w:t>
            </w:r>
            <w:r w:rsidR="005C49A7" w:rsidRPr="00E37FBE">
              <w:rPr>
                <w:rFonts w:ascii="Times New Roman" w:hAnsi="Times New Roman"/>
                <w:szCs w:val="20"/>
                <w:lang w:eastAsia="en-GB"/>
              </w:rPr>
              <w:t xml:space="preserve">Article 4(1), </w:t>
            </w:r>
            <w:r w:rsidR="005B086D" w:rsidRPr="00E37FBE">
              <w:rPr>
                <w:rFonts w:ascii="Times New Roman" w:hAnsi="Times New Roman"/>
                <w:szCs w:val="20"/>
                <w:lang w:eastAsia="en-GB"/>
              </w:rPr>
              <w:t>point (82)</w:t>
            </w:r>
            <w:r w:rsidR="005C49A7" w:rsidRPr="00E37FBE">
              <w:rPr>
                <w:rFonts w:ascii="Times New Roman" w:hAnsi="Times New Roman"/>
                <w:szCs w:val="20"/>
                <w:lang w:eastAsia="en-GB"/>
              </w:rPr>
              <w:t>,</w:t>
            </w:r>
            <w:r w:rsidR="005B086D" w:rsidRPr="00E37FBE">
              <w:rPr>
                <w:rFonts w:ascii="Times New Roman" w:hAnsi="Times New Roman"/>
                <w:szCs w:val="20"/>
                <w:lang w:eastAsia="en-GB"/>
              </w:rPr>
              <w:t xml:space="preserve"> </w:t>
            </w:r>
            <w:r w:rsidRPr="00E37FBE">
              <w:rPr>
                <w:rFonts w:ascii="Times New Roman" w:hAnsi="Times New Roman"/>
                <w:szCs w:val="20"/>
                <w:lang w:eastAsia="en-GB"/>
              </w:rPr>
              <w:t>of Regulation (EU) No 575/2013.</w:t>
            </w:r>
          </w:p>
          <w:p w14:paraId="70F2D3DC" w14:textId="6524FC14" w:rsidR="003439C5" w:rsidRPr="00E37FBE" w:rsidRDefault="003439C5" w:rsidP="003439C5">
            <w:pPr>
              <w:spacing w:before="0" w:after="0"/>
              <w:rPr>
                <w:rFonts w:ascii="Times New Roman" w:hAnsi="Times New Roman"/>
                <w:b/>
                <w:szCs w:val="20"/>
                <w:u w:val="single"/>
                <w:lang w:eastAsia="en-GB"/>
              </w:rPr>
            </w:pPr>
          </w:p>
        </w:tc>
      </w:tr>
      <w:tr w:rsidR="003439C5" w:rsidRPr="00E37FBE" w14:paraId="1B268195" w14:textId="77777777" w:rsidTr="00D75947">
        <w:trPr>
          <w:trHeight w:val="1020"/>
        </w:trPr>
        <w:tc>
          <w:tcPr>
            <w:tcW w:w="729" w:type="pct"/>
            <w:shd w:val="clear" w:color="auto" w:fill="auto"/>
            <w:noWrap/>
          </w:tcPr>
          <w:p w14:paraId="636EECA5" w14:textId="6E8B1E7F" w:rsidR="003439C5" w:rsidRPr="00E37FBE" w:rsidRDefault="00C90DF5" w:rsidP="003439C5">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lastRenderedPageBreak/>
              <w:t>0</w:t>
            </w:r>
            <w:r w:rsidR="00DD136C" w:rsidRPr="00E37FBE">
              <w:rPr>
                <w:rFonts w:ascii="Times New Roman" w:hAnsi="Times New Roman"/>
                <w:color w:val="000000"/>
                <w:szCs w:val="20"/>
                <w:lang w:eastAsia="en-GB"/>
              </w:rPr>
              <w:t>17</w:t>
            </w:r>
            <w:r w:rsidR="003439C5" w:rsidRPr="00E37FBE">
              <w:rPr>
                <w:rFonts w:ascii="Times New Roman" w:hAnsi="Times New Roman"/>
                <w:color w:val="000000"/>
                <w:szCs w:val="20"/>
                <w:lang w:eastAsia="en-GB"/>
              </w:rPr>
              <w:t>0</w:t>
            </w:r>
          </w:p>
        </w:tc>
        <w:tc>
          <w:tcPr>
            <w:tcW w:w="4271" w:type="pct"/>
            <w:shd w:val="clear" w:color="auto" w:fill="auto"/>
          </w:tcPr>
          <w:p w14:paraId="3FE9A1CB" w14:textId="355DF6A4" w:rsidR="003439C5" w:rsidRPr="00E37FBE" w:rsidRDefault="00F40FD4" w:rsidP="00D75947">
            <w:pPr>
              <w:spacing w:before="0" w:after="0"/>
              <w:rPr>
                <w:rFonts w:ascii="Times New Roman" w:hAnsi="Times New Roman"/>
                <w:b/>
                <w:szCs w:val="20"/>
                <w:u w:val="single"/>
                <w:lang w:eastAsia="en-GB"/>
              </w:rPr>
            </w:pPr>
            <w:r w:rsidRPr="00E37FBE">
              <w:rPr>
                <w:rFonts w:ascii="Times New Roman" w:hAnsi="Times New Roman"/>
                <w:b/>
                <w:szCs w:val="20"/>
                <w:u w:val="single"/>
                <w:lang w:eastAsia="en-GB"/>
              </w:rPr>
              <w:t>2.2.2</w:t>
            </w:r>
            <w:r w:rsidR="003439C5" w:rsidRPr="00E37FBE">
              <w:rPr>
                <w:rFonts w:ascii="Times New Roman" w:hAnsi="Times New Roman"/>
                <w:b/>
                <w:szCs w:val="20"/>
                <w:u w:val="single"/>
                <w:lang w:eastAsia="en-GB"/>
              </w:rPr>
              <w:tab/>
              <w:t>of which covered bond issuances;</w:t>
            </w:r>
          </w:p>
          <w:p w14:paraId="00F0B9AC" w14:textId="77777777" w:rsidR="003439C5" w:rsidRPr="00E37FBE" w:rsidRDefault="003439C5" w:rsidP="00D75947">
            <w:pPr>
              <w:spacing w:before="0" w:after="0"/>
              <w:rPr>
                <w:rFonts w:ascii="Times New Roman" w:hAnsi="Times New Roman"/>
                <w:b/>
                <w:szCs w:val="20"/>
                <w:u w:val="single"/>
                <w:lang w:eastAsia="en-GB"/>
              </w:rPr>
            </w:pPr>
          </w:p>
          <w:p w14:paraId="31797266" w14:textId="36494370" w:rsidR="003439C5" w:rsidRPr="00E37FBE" w:rsidRDefault="00274EE9">
            <w:pPr>
              <w:spacing w:before="0" w:after="0"/>
              <w:rPr>
                <w:rFonts w:ascii="Times New Roman" w:hAnsi="Times New Roman"/>
                <w:b/>
                <w:szCs w:val="20"/>
                <w:u w:val="single"/>
                <w:lang w:eastAsia="en-GB"/>
              </w:rPr>
            </w:pPr>
            <w:r w:rsidRPr="00E37FBE">
              <w:rPr>
                <w:rFonts w:ascii="Times New Roman" w:hAnsi="Times New Roman"/>
                <w:szCs w:val="20"/>
                <w:lang w:eastAsia="en-GB"/>
              </w:rPr>
              <w:t xml:space="preserve">Of </w:t>
            </w:r>
            <w:r w:rsidR="003439C5" w:rsidRPr="00E37FBE">
              <w:rPr>
                <w:rFonts w:ascii="Times New Roman" w:hAnsi="Times New Roman"/>
                <w:szCs w:val="20"/>
                <w:lang w:eastAsia="en-GB"/>
              </w:rPr>
              <w:t>the</w:t>
            </w:r>
            <w:r w:rsidR="00B96DDB" w:rsidRPr="00E37FBE">
              <w:rPr>
                <w:rFonts w:ascii="Times New Roman" w:hAnsi="Times New Roman"/>
                <w:szCs w:val="20"/>
                <w:lang w:eastAsia="en-GB"/>
              </w:rPr>
              <w:t xml:space="preserve"> funding in row </w:t>
            </w:r>
            <w:r w:rsidR="00C90DF5" w:rsidRPr="00E37FBE">
              <w:rPr>
                <w:rFonts w:ascii="Times New Roman" w:hAnsi="Times New Roman"/>
                <w:szCs w:val="20"/>
                <w:lang w:eastAsia="en-GB"/>
              </w:rPr>
              <w:t>0</w:t>
            </w:r>
            <w:r w:rsidR="00B96DDB" w:rsidRPr="00E37FBE">
              <w:rPr>
                <w:rFonts w:ascii="Times New Roman" w:hAnsi="Times New Roman"/>
                <w:szCs w:val="20"/>
                <w:lang w:eastAsia="en-GB"/>
              </w:rPr>
              <w:t>1</w:t>
            </w:r>
            <w:r w:rsidR="00A84FD7" w:rsidRPr="00E37FBE">
              <w:rPr>
                <w:rFonts w:ascii="Times New Roman" w:hAnsi="Times New Roman"/>
                <w:szCs w:val="20"/>
                <w:lang w:eastAsia="en-GB"/>
              </w:rPr>
              <w:t>5</w:t>
            </w:r>
            <w:r w:rsidR="00B96DDB" w:rsidRPr="00E37FBE">
              <w:rPr>
                <w:rFonts w:ascii="Times New Roman" w:hAnsi="Times New Roman"/>
                <w:szCs w:val="20"/>
                <w:lang w:eastAsia="en-GB"/>
              </w:rPr>
              <w:t>0</w:t>
            </w:r>
            <w:r w:rsidRPr="00E37FBE">
              <w:rPr>
                <w:rFonts w:ascii="Times New Roman" w:hAnsi="Times New Roman"/>
                <w:szCs w:val="20"/>
                <w:lang w:eastAsia="en-GB"/>
              </w:rPr>
              <w:t>, that which is funding obtained from covered bond issuance as defined in Article 129(4) or (5) of Regulation (EU) No 575/2013</w:t>
            </w:r>
            <w:r w:rsidR="00F9747D" w:rsidRPr="00E37FBE">
              <w:rPr>
                <w:rFonts w:ascii="Times New Roman" w:hAnsi="Times New Roman"/>
                <w:szCs w:val="20"/>
                <w:lang w:eastAsia="en-GB"/>
              </w:rPr>
              <w:t>,</w:t>
            </w:r>
            <w:r w:rsidR="008E1DE8" w:rsidRPr="00E37FBE">
              <w:rPr>
                <w:rFonts w:ascii="Times New Roman" w:hAnsi="Times New Roman"/>
                <w:szCs w:val="20"/>
                <w:lang w:eastAsia="en-GB"/>
              </w:rPr>
              <w:t xml:space="preserve"> </w:t>
            </w:r>
            <w:r w:rsidRPr="00E37FBE">
              <w:rPr>
                <w:rFonts w:ascii="Times New Roman" w:hAnsi="Times New Roman"/>
                <w:szCs w:val="20"/>
                <w:lang w:eastAsia="en-GB"/>
              </w:rPr>
              <w:t>or</w:t>
            </w:r>
            <w:r w:rsidR="004963F1" w:rsidRPr="00E37FBE">
              <w:rPr>
                <w:rFonts w:ascii="Times New Roman" w:hAnsi="Times New Roman"/>
                <w:szCs w:val="20"/>
                <w:lang w:eastAsia="en-GB"/>
              </w:rPr>
              <w:t xml:space="preserve"> referred to in</w:t>
            </w:r>
            <w:r w:rsidRPr="00E37FBE">
              <w:rPr>
                <w:rFonts w:ascii="Times New Roman" w:hAnsi="Times New Roman"/>
                <w:szCs w:val="20"/>
                <w:lang w:eastAsia="en-GB"/>
              </w:rPr>
              <w:t xml:space="preserve"> Article 52(4) of Directive 2009/65/EC</w:t>
            </w:r>
            <w:r w:rsidR="008E1DE8" w:rsidRPr="00E37FBE">
              <w:rPr>
                <w:rFonts w:ascii="Times New Roman" w:hAnsi="Times New Roman"/>
                <w:szCs w:val="20"/>
                <w:lang w:eastAsia="en-GB"/>
              </w:rPr>
              <w:t>.</w:t>
            </w:r>
          </w:p>
        </w:tc>
      </w:tr>
      <w:tr w:rsidR="003439C5" w:rsidRPr="00E37FBE" w14:paraId="03D91A24" w14:textId="77777777" w:rsidTr="00D75947">
        <w:trPr>
          <w:trHeight w:val="1020"/>
        </w:trPr>
        <w:tc>
          <w:tcPr>
            <w:tcW w:w="729" w:type="pct"/>
            <w:shd w:val="clear" w:color="auto" w:fill="auto"/>
            <w:noWrap/>
          </w:tcPr>
          <w:p w14:paraId="66BC9574" w14:textId="42D0EA61" w:rsidR="003439C5" w:rsidRPr="00E37FBE" w:rsidRDefault="00C90DF5" w:rsidP="003439C5">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DD136C" w:rsidRPr="00E37FBE">
              <w:rPr>
                <w:rFonts w:ascii="Times New Roman" w:hAnsi="Times New Roman"/>
                <w:color w:val="000000"/>
                <w:szCs w:val="20"/>
                <w:lang w:eastAsia="en-GB"/>
              </w:rPr>
              <w:t>18</w:t>
            </w:r>
            <w:r w:rsidR="003439C5" w:rsidRPr="00E37FBE">
              <w:rPr>
                <w:rFonts w:ascii="Times New Roman" w:hAnsi="Times New Roman"/>
                <w:color w:val="000000"/>
                <w:szCs w:val="20"/>
                <w:lang w:eastAsia="en-GB"/>
              </w:rPr>
              <w:t>0</w:t>
            </w:r>
          </w:p>
        </w:tc>
        <w:tc>
          <w:tcPr>
            <w:tcW w:w="4271" w:type="pct"/>
            <w:shd w:val="clear" w:color="auto" w:fill="auto"/>
          </w:tcPr>
          <w:p w14:paraId="6F3DFEBC" w14:textId="161D0230" w:rsidR="003439C5" w:rsidRPr="00E37FBE" w:rsidRDefault="00F40FD4" w:rsidP="00D75947">
            <w:pPr>
              <w:spacing w:before="0" w:after="0"/>
              <w:rPr>
                <w:rFonts w:ascii="Times New Roman" w:hAnsi="Times New Roman"/>
                <w:b/>
                <w:szCs w:val="20"/>
                <w:u w:val="single"/>
                <w:lang w:eastAsia="en-GB"/>
              </w:rPr>
            </w:pPr>
            <w:r w:rsidRPr="00E37FBE">
              <w:rPr>
                <w:rFonts w:ascii="Times New Roman" w:hAnsi="Times New Roman"/>
                <w:b/>
                <w:szCs w:val="20"/>
                <w:u w:val="single"/>
                <w:lang w:eastAsia="en-GB"/>
              </w:rPr>
              <w:t>2.2.3</w:t>
            </w:r>
            <w:r w:rsidR="003439C5" w:rsidRPr="00E37FBE">
              <w:rPr>
                <w:rFonts w:ascii="Times New Roman" w:hAnsi="Times New Roman"/>
                <w:b/>
                <w:szCs w:val="20"/>
                <w:u w:val="single"/>
                <w:lang w:eastAsia="en-GB"/>
              </w:rPr>
              <w:tab/>
              <w:t>of which asset backed security issuances;</w:t>
            </w:r>
          </w:p>
          <w:p w14:paraId="38626DC8" w14:textId="77777777" w:rsidR="003439C5" w:rsidRPr="00E37FBE" w:rsidRDefault="003439C5" w:rsidP="00D75947">
            <w:pPr>
              <w:spacing w:before="0" w:after="0"/>
              <w:rPr>
                <w:rFonts w:ascii="Times New Roman" w:hAnsi="Times New Roman"/>
                <w:b/>
                <w:szCs w:val="20"/>
                <w:u w:val="single"/>
                <w:lang w:eastAsia="en-GB"/>
              </w:rPr>
            </w:pPr>
          </w:p>
          <w:p w14:paraId="6BBE6FEF" w14:textId="75DEF1CA" w:rsidR="003439C5" w:rsidRPr="00E37FBE" w:rsidRDefault="00274EE9" w:rsidP="00A84FD7">
            <w:pPr>
              <w:spacing w:before="0" w:after="0"/>
              <w:rPr>
                <w:rFonts w:ascii="Times New Roman" w:hAnsi="Times New Roman"/>
                <w:b/>
                <w:szCs w:val="20"/>
                <w:u w:val="single"/>
                <w:lang w:eastAsia="en-GB"/>
              </w:rPr>
            </w:pPr>
            <w:r w:rsidRPr="00E37FBE">
              <w:rPr>
                <w:rFonts w:ascii="Times New Roman" w:hAnsi="Times New Roman"/>
                <w:szCs w:val="20"/>
                <w:lang w:eastAsia="en-GB"/>
              </w:rPr>
              <w:t xml:space="preserve">Of the </w:t>
            </w:r>
            <w:r w:rsidR="00B96DDB" w:rsidRPr="00E37FBE">
              <w:rPr>
                <w:rFonts w:ascii="Times New Roman" w:hAnsi="Times New Roman"/>
                <w:szCs w:val="20"/>
                <w:lang w:eastAsia="en-GB"/>
              </w:rPr>
              <w:t xml:space="preserve">funding in row </w:t>
            </w:r>
            <w:r w:rsidR="00C90DF5" w:rsidRPr="00E37FBE">
              <w:rPr>
                <w:rFonts w:ascii="Times New Roman" w:hAnsi="Times New Roman"/>
                <w:szCs w:val="20"/>
                <w:lang w:eastAsia="en-GB"/>
              </w:rPr>
              <w:t>0</w:t>
            </w:r>
            <w:r w:rsidR="00B96DDB" w:rsidRPr="00E37FBE">
              <w:rPr>
                <w:rFonts w:ascii="Times New Roman" w:hAnsi="Times New Roman"/>
                <w:szCs w:val="20"/>
                <w:lang w:eastAsia="en-GB"/>
              </w:rPr>
              <w:t>1</w:t>
            </w:r>
            <w:r w:rsidR="00A84FD7" w:rsidRPr="00E37FBE">
              <w:rPr>
                <w:rFonts w:ascii="Times New Roman" w:hAnsi="Times New Roman"/>
                <w:szCs w:val="20"/>
                <w:lang w:eastAsia="en-GB"/>
              </w:rPr>
              <w:t>5</w:t>
            </w:r>
            <w:r w:rsidR="00B96DDB" w:rsidRPr="00E37FBE">
              <w:rPr>
                <w:rFonts w:ascii="Times New Roman" w:hAnsi="Times New Roman"/>
                <w:szCs w:val="20"/>
                <w:lang w:eastAsia="en-GB"/>
              </w:rPr>
              <w:t>0</w:t>
            </w:r>
            <w:r w:rsidRPr="00E37FBE">
              <w:rPr>
                <w:rFonts w:ascii="Times New Roman" w:hAnsi="Times New Roman"/>
                <w:szCs w:val="20"/>
                <w:lang w:eastAsia="en-GB"/>
              </w:rPr>
              <w:t>, that which is funding obtained from asset backed security issuance including asset backed commercial paper</w:t>
            </w:r>
            <w:r w:rsidR="008E1DE8" w:rsidRPr="00E37FBE">
              <w:rPr>
                <w:rFonts w:ascii="Times New Roman" w:hAnsi="Times New Roman"/>
                <w:szCs w:val="20"/>
                <w:lang w:eastAsia="en-GB"/>
              </w:rPr>
              <w:t>.</w:t>
            </w:r>
          </w:p>
        </w:tc>
      </w:tr>
      <w:tr w:rsidR="003439C5" w:rsidRPr="00E37FBE" w14:paraId="597FCB34" w14:textId="77777777" w:rsidTr="00D75947">
        <w:trPr>
          <w:trHeight w:val="1020"/>
        </w:trPr>
        <w:tc>
          <w:tcPr>
            <w:tcW w:w="729" w:type="pct"/>
            <w:shd w:val="clear" w:color="auto" w:fill="auto"/>
            <w:noWrap/>
          </w:tcPr>
          <w:p w14:paraId="4E4276DD" w14:textId="58DC3FC3" w:rsidR="003439C5" w:rsidRPr="00E37FBE" w:rsidRDefault="00C90DF5" w:rsidP="003439C5">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DD136C" w:rsidRPr="00E37FBE">
              <w:rPr>
                <w:rFonts w:ascii="Times New Roman" w:hAnsi="Times New Roman"/>
                <w:color w:val="000000"/>
                <w:szCs w:val="20"/>
                <w:lang w:eastAsia="en-GB"/>
              </w:rPr>
              <w:t>19</w:t>
            </w:r>
            <w:r w:rsidR="003439C5" w:rsidRPr="00E37FBE">
              <w:rPr>
                <w:rFonts w:ascii="Times New Roman" w:hAnsi="Times New Roman"/>
                <w:color w:val="000000"/>
                <w:szCs w:val="20"/>
                <w:lang w:eastAsia="en-GB"/>
              </w:rPr>
              <w:t>0</w:t>
            </w:r>
          </w:p>
        </w:tc>
        <w:tc>
          <w:tcPr>
            <w:tcW w:w="4271" w:type="pct"/>
            <w:shd w:val="clear" w:color="auto" w:fill="auto"/>
          </w:tcPr>
          <w:p w14:paraId="4610D9F3" w14:textId="19EBD19F" w:rsidR="003439C5" w:rsidRPr="00E37FBE" w:rsidRDefault="00F40FD4" w:rsidP="00D75947">
            <w:pPr>
              <w:spacing w:before="0" w:after="0"/>
              <w:rPr>
                <w:rFonts w:ascii="Times New Roman" w:hAnsi="Times New Roman"/>
                <w:b/>
                <w:szCs w:val="20"/>
                <w:u w:val="single"/>
                <w:lang w:eastAsia="en-GB"/>
              </w:rPr>
            </w:pPr>
            <w:r w:rsidRPr="00E37FBE">
              <w:rPr>
                <w:rFonts w:ascii="Times New Roman" w:hAnsi="Times New Roman"/>
                <w:b/>
                <w:szCs w:val="20"/>
                <w:u w:val="single"/>
                <w:lang w:eastAsia="en-GB"/>
              </w:rPr>
              <w:t>2.2.4</w:t>
            </w:r>
            <w:r w:rsidR="003439C5" w:rsidRPr="00E37FBE">
              <w:rPr>
                <w:rFonts w:ascii="Times New Roman" w:hAnsi="Times New Roman"/>
                <w:b/>
                <w:szCs w:val="20"/>
                <w:u w:val="single"/>
                <w:lang w:eastAsia="en-GB"/>
              </w:rPr>
              <w:tab/>
              <w:t xml:space="preserve">of which </w:t>
            </w:r>
            <w:r w:rsidR="008E720B" w:rsidRPr="00E37FBE">
              <w:rPr>
                <w:rFonts w:ascii="Times New Roman" w:hAnsi="Times New Roman"/>
                <w:b/>
                <w:szCs w:val="20"/>
                <w:u w:val="single"/>
                <w:lang w:eastAsia="en-GB"/>
              </w:rPr>
              <w:t xml:space="preserve">financial liabilities other than derivatives and short positions </w:t>
            </w:r>
            <w:r w:rsidR="003439C5" w:rsidRPr="00E37FBE">
              <w:rPr>
                <w:rFonts w:ascii="Times New Roman" w:hAnsi="Times New Roman"/>
                <w:b/>
                <w:szCs w:val="20"/>
                <w:u w:val="single"/>
                <w:lang w:eastAsia="en-GB"/>
              </w:rPr>
              <w:t>from intra-group entities.</w:t>
            </w:r>
          </w:p>
          <w:p w14:paraId="39B4FABF" w14:textId="77777777" w:rsidR="003439C5" w:rsidRPr="00E37FBE" w:rsidRDefault="003439C5" w:rsidP="00D75947">
            <w:pPr>
              <w:spacing w:before="0" w:after="0"/>
              <w:rPr>
                <w:rFonts w:ascii="Times New Roman" w:hAnsi="Times New Roman"/>
                <w:b/>
                <w:szCs w:val="20"/>
                <w:u w:val="single"/>
                <w:lang w:eastAsia="en-GB"/>
              </w:rPr>
            </w:pPr>
          </w:p>
          <w:p w14:paraId="10DC82D6" w14:textId="221F85BE" w:rsidR="003439C5" w:rsidRPr="00E37FBE" w:rsidRDefault="00274EE9" w:rsidP="003439C5">
            <w:pPr>
              <w:spacing w:before="0" w:after="0"/>
              <w:rPr>
                <w:rFonts w:ascii="Times New Roman" w:hAnsi="Times New Roman"/>
                <w:szCs w:val="20"/>
                <w:lang w:eastAsia="en-GB"/>
              </w:rPr>
            </w:pPr>
            <w:r w:rsidRPr="00E37FBE">
              <w:rPr>
                <w:rFonts w:ascii="Times New Roman" w:hAnsi="Times New Roman"/>
                <w:szCs w:val="20"/>
                <w:lang w:eastAsia="en-GB"/>
              </w:rPr>
              <w:t xml:space="preserve">Of the </w:t>
            </w:r>
            <w:r w:rsidR="00B96DDB" w:rsidRPr="00E37FBE">
              <w:rPr>
                <w:rFonts w:ascii="Times New Roman" w:hAnsi="Times New Roman"/>
                <w:szCs w:val="20"/>
                <w:lang w:eastAsia="en-GB"/>
              </w:rPr>
              <w:t xml:space="preserve">funding in row </w:t>
            </w:r>
            <w:r w:rsidR="00C90DF5" w:rsidRPr="00E37FBE">
              <w:rPr>
                <w:rFonts w:ascii="Times New Roman" w:hAnsi="Times New Roman"/>
                <w:szCs w:val="20"/>
                <w:lang w:eastAsia="en-GB"/>
              </w:rPr>
              <w:t>0</w:t>
            </w:r>
            <w:r w:rsidR="00B96DDB" w:rsidRPr="00E37FBE">
              <w:rPr>
                <w:rFonts w:ascii="Times New Roman" w:hAnsi="Times New Roman"/>
                <w:szCs w:val="20"/>
                <w:lang w:eastAsia="en-GB"/>
              </w:rPr>
              <w:t>1</w:t>
            </w:r>
            <w:r w:rsidR="00A84FD7" w:rsidRPr="00E37FBE">
              <w:rPr>
                <w:rFonts w:ascii="Times New Roman" w:hAnsi="Times New Roman"/>
                <w:szCs w:val="20"/>
                <w:lang w:eastAsia="en-GB"/>
              </w:rPr>
              <w:t>5</w:t>
            </w:r>
            <w:r w:rsidR="00B96DDB" w:rsidRPr="00E37FBE">
              <w:rPr>
                <w:rFonts w:ascii="Times New Roman" w:hAnsi="Times New Roman"/>
                <w:szCs w:val="20"/>
                <w:lang w:eastAsia="en-GB"/>
              </w:rPr>
              <w:t>0</w:t>
            </w:r>
            <w:r w:rsidRPr="00E37FBE">
              <w:rPr>
                <w:rFonts w:ascii="Times New Roman" w:hAnsi="Times New Roman"/>
                <w:szCs w:val="20"/>
                <w:lang w:eastAsia="en-GB"/>
              </w:rPr>
              <w:t>, that which is funding obtained from intra-group entities</w:t>
            </w:r>
            <w:r w:rsidR="008E720B" w:rsidRPr="00E37FBE">
              <w:rPr>
                <w:rFonts w:ascii="Times New Roman" w:hAnsi="Times New Roman"/>
                <w:szCs w:val="20"/>
                <w:lang w:eastAsia="en-GB"/>
              </w:rPr>
              <w:t>, where the counterparty is a parent or a subsidiary of the institution or another subsidiary of the same parent or linked to the credit institution by a relationship within the meaning of</w:t>
            </w:r>
            <w:r w:rsidR="007E5FBD" w:rsidRPr="00E37FBE">
              <w:rPr>
                <w:rFonts w:ascii="Times New Roman" w:hAnsi="Times New Roman"/>
                <w:szCs w:val="20"/>
                <w:lang w:eastAsia="en-GB"/>
              </w:rPr>
              <w:t xml:space="preserve"> Article 22(7) of Directive 2013/34/EU.</w:t>
            </w:r>
            <w:r w:rsidR="008E720B" w:rsidRPr="00E37FBE">
              <w:rPr>
                <w:rFonts w:ascii="Times New Roman" w:hAnsi="Times New Roman"/>
                <w:szCs w:val="20"/>
                <w:lang w:eastAsia="en-GB"/>
              </w:rPr>
              <w:t xml:space="preserve"> </w:t>
            </w:r>
          </w:p>
          <w:p w14:paraId="7693FB65" w14:textId="77777777" w:rsidR="00274EE9" w:rsidRPr="00E37FBE" w:rsidRDefault="00274EE9" w:rsidP="003439C5">
            <w:pPr>
              <w:spacing w:before="0" w:after="0"/>
              <w:rPr>
                <w:rFonts w:ascii="Times New Roman" w:hAnsi="Times New Roman"/>
                <w:szCs w:val="20"/>
                <w:lang w:eastAsia="en-GB"/>
              </w:rPr>
            </w:pPr>
          </w:p>
          <w:p w14:paraId="2A9F2247" w14:textId="77777777" w:rsidR="00274EE9" w:rsidRPr="00E37FBE" w:rsidRDefault="00274EE9" w:rsidP="003439C5">
            <w:pPr>
              <w:spacing w:before="0" w:after="0"/>
              <w:rPr>
                <w:rFonts w:ascii="Times New Roman" w:hAnsi="Times New Roman"/>
                <w:szCs w:val="20"/>
                <w:lang w:eastAsia="en-GB"/>
              </w:rPr>
            </w:pPr>
            <w:r w:rsidRPr="00E37FBE">
              <w:rPr>
                <w:rFonts w:ascii="Times New Roman" w:hAnsi="Times New Roman"/>
                <w:szCs w:val="20"/>
                <w:lang w:eastAsia="en-GB"/>
              </w:rPr>
              <w:t>Wholesale funding from intra-group entities shall only be reported on a solo or subconsolidated basis.</w:t>
            </w:r>
          </w:p>
          <w:p w14:paraId="66D6CCE8" w14:textId="326011FF" w:rsidR="00274EE9" w:rsidRPr="00E37FBE" w:rsidRDefault="00274EE9" w:rsidP="003439C5">
            <w:pPr>
              <w:spacing w:before="0" w:after="0"/>
              <w:rPr>
                <w:rFonts w:ascii="Times New Roman" w:hAnsi="Times New Roman"/>
                <w:b/>
                <w:szCs w:val="20"/>
                <w:u w:val="single"/>
                <w:lang w:eastAsia="en-GB"/>
              </w:rPr>
            </w:pPr>
          </w:p>
        </w:tc>
      </w:tr>
    </w:tbl>
    <w:p w14:paraId="7D6D2F2B" w14:textId="77777777" w:rsidR="003439C5" w:rsidRPr="00E37FBE" w:rsidRDefault="003439C5" w:rsidP="00927DCB">
      <w:pPr>
        <w:pStyle w:val="InstructionsText2"/>
        <w:numPr>
          <w:ilvl w:val="0"/>
          <w:numId w:val="0"/>
        </w:numPr>
        <w:ind w:left="714"/>
      </w:pPr>
    </w:p>
    <w:p w14:paraId="4C97EC73" w14:textId="0F43F4E9" w:rsidR="00A344AA" w:rsidRPr="00E37FBE" w:rsidRDefault="00A344AA" w:rsidP="00927DCB">
      <w:pPr>
        <w:pStyle w:val="InstructionsText2"/>
        <w:numPr>
          <w:ilvl w:val="0"/>
          <w:numId w:val="13"/>
        </w:numPr>
        <w:rPr>
          <w:u w:val="none"/>
        </w:rPr>
      </w:pPr>
      <w:r w:rsidRPr="00E37FBE">
        <w:rPr>
          <w:u w:val="none"/>
        </w:rPr>
        <w:t>For each product type, institutions shall re</w:t>
      </w:r>
      <w:r w:rsidR="00476C32" w:rsidRPr="00E37FBE">
        <w:rPr>
          <w:u w:val="none"/>
        </w:rPr>
        <w:t>port</w:t>
      </w:r>
      <w:r w:rsidRPr="00E37FBE">
        <w:rPr>
          <w:u w:val="none"/>
        </w:rPr>
        <w:t xml:space="preserve"> </w:t>
      </w:r>
      <w:r w:rsidR="00476C32" w:rsidRPr="00E37FBE">
        <w:rPr>
          <w:u w:val="none"/>
        </w:rPr>
        <w:t xml:space="preserve">all of the columns </w:t>
      </w:r>
      <w:r w:rsidR="00C90DF5" w:rsidRPr="00E37FBE">
        <w:rPr>
          <w:u w:val="none"/>
        </w:rPr>
        <w:t>0</w:t>
      </w:r>
      <w:r w:rsidR="00476C32" w:rsidRPr="00E37FBE">
        <w:rPr>
          <w:u w:val="none"/>
        </w:rPr>
        <w:t xml:space="preserve">010 to </w:t>
      </w:r>
      <w:r w:rsidR="00C90DF5" w:rsidRPr="00E37FBE">
        <w:rPr>
          <w:u w:val="none"/>
        </w:rPr>
        <w:t>0</w:t>
      </w:r>
      <w:r w:rsidR="00476C32" w:rsidRPr="00E37FBE">
        <w:rPr>
          <w:u w:val="none"/>
        </w:rPr>
        <w:t>050.</w:t>
      </w:r>
    </w:p>
    <w:p w14:paraId="2935E76B" w14:textId="502C6FE3" w:rsidR="00792E65" w:rsidRPr="00E37FBE" w:rsidRDefault="00792E65" w:rsidP="00927DCB">
      <w:pPr>
        <w:pStyle w:val="InstructionsText2"/>
        <w:numPr>
          <w:ilvl w:val="0"/>
          <w:numId w:val="13"/>
        </w:numPr>
        <w:rPr>
          <w:u w:val="none"/>
        </w:rPr>
      </w:pPr>
      <w:r w:rsidRPr="00E37FBE">
        <w:rPr>
          <w:u w:val="none"/>
        </w:rPr>
        <w:t xml:space="preserve">The figures reported in rows 1. ‘Retail’, 2.1 ‘Unsecured wholesale funding’, 2.2 ‘Secured wholesale funding’ </w:t>
      </w:r>
      <w:r w:rsidR="00FE3C4C" w:rsidRPr="00E37FBE">
        <w:rPr>
          <w:u w:val="none"/>
        </w:rPr>
        <w:t>can include broader product types than the underlying ‘of which’ items.</w:t>
      </w:r>
      <w:r w:rsidR="00AE6CE2">
        <w:rPr>
          <w:u w:val="none"/>
        </w:rPr>
        <w:t xml:space="preserve"> </w:t>
      </w:r>
    </w:p>
    <w:p w14:paraId="5C94FB4A" w14:textId="649B48DC" w:rsidR="008E720B" w:rsidRPr="00E37FBE" w:rsidRDefault="008E720B" w:rsidP="008E720B">
      <w:pPr>
        <w:pStyle w:val="InstructionsText2"/>
        <w:numPr>
          <w:ilvl w:val="0"/>
          <w:numId w:val="13"/>
        </w:numPr>
        <w:rPr>
          <w:u w:val="none"/>
        </w:rPr>
      </w:pPr>
      <w:r w:rsidRPr="00E37FBE">
        <w:rPr>
          <w:u w:val="none"/>
        </w:rPr>
        <w:t xml:space="preserve">Equity </w:t>
      </w:r>
      <w:r w:rsidR="00DB41D2" w:rsidRPr="00E37FBE">
        <w:rPr>
          <w:u w:val="none"/>
        </w:rPr>
        <w:t>shall</w:t>
      </w:r>
      <w:r w:rsidRPr="00E37FBE">
        <w:rPr>
          <w:u w:val="none"/>
        </w:rPr>
        <w:t xml:space="preserve"> not </w:t>
      </w:r>
      <w:r w:rsidR="00455812" w:rsidRPr="00E37FBE">
        <w:rPr>
          <w:u w:val="none"/>
        </w:rPr>
        <w:t xml:space="preserve">be </w:t>
      </w:r>
      <w:r w:rsidRPr="00E37FBE">
        <w:rPr>
          <w:u w:val="none"/>
        </w:rPr>
        <w:t>reported in this template.</w:t>
      </w:r>
    </w:p>
    <w:p w14:paraId="2FED639D" w14:textId="77777777" w:rsidR="00A344AA" w:rsidRPr="00E37FBE" w:rsidRDefault="00A344AA" w:rsidP="00927DCB">
      <w:pPr>
        <w:pStyle w:val="InstructionsText2"/>
        <w:numPr>
          <w:ilvl w:val="0"/>
          <w:numId w:val="13"/>
        </w:numPr>
        <w:rPr>
          <w:u w:val="none"/>
        </w:rPr>
      </w:pPr>
      <w:r w:rsidRPr="00E37FBE">
        <w:rPr>
          <w:u w:val="none"/>
        </w:rPr>
        <w:t>Instructions concerning specific columns: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7086"/>
      </w:tblGrid>
      <w:tr w:rsidR="00A344AA" w:rsidRPr="00E37FBE" w14:paraId="735A9F04" w14:textId="77777777" w:rsidTr="00775F73">
        <w:trPr>
          <w:trHeight w:val="428"/>
        </w:trPr>
        <w:tc>
          <w:tcPr>
            <w:tcW w:w="729" w:type="pct"/>
            <w:tcBorders>
              <w:top w:val="single" w:sz="4" w:space="0" w:color="auto"/>
              <w:left w:val="single" w:sz="4" w:space="0" w:color="auto"/>
              <w:bottom w:val="single" w:sz="4" w:space="0" w:color="auto"/>
              <w:right w:val="single" w:sz="4" w:space="0" w:color="auto"/>
            </w:tcBorders>
            <w:shd w:val="clear" w:color="auto" w:fill="E6E6E6"/>
            <w:noWrap/>
          </w:tcPr>
          <w:p w14:paraId="41134272" w14:textId="77777777" w:rsidR="00A344AA" w:rsidRPr="00E37FBE" w:rsidRDefault="00A344AA" w:rsidP="00ED2EE2">
            <w:pPr>
              <w:spacing w:before="0" w:after="0"/>
              <w:jc w:val="left"/>
              <w:rPr>
                <w:rStyle w:val="InstructionsTabelleText"/>
                <w:rFonts w:ascii="Times New Roman" w:hAnsi="Times New Roman"/>
                <w:szCs w:val="20"/>
              </w:rPr>
            </w:pPr>
            <w:r w:rsidRPr="00E37FBE">
              <w:rPr>
                <w:rStyle w:val="InstructionsTabelleText"/>
                <w:rFonts w:ascii="Times New Roman" w:hAnsi="Times New Roman"/>
                <w:szCs w:val="20"/>
                <w:lang w:eastAsia="en-GB"/>
              </w:rPr>
              <w:t>Column</w:t>
            </w:r>
          </w:p>
        </w:tc>
        <w:tc>
          <w:tcPr>
            <w:tcW w:w="4271" w:type="pct"/>
            <w:tcBorders>
              <w:top w:val="single" w:sz="4" w:space="0" w:color="auto"/>
              <w:left w:val="single" w:sz="4" w:space="0" w:color="auto"/>
              <w:bottom w:val="single" w:sz="4" w:space="0" w:color="auto"/>
              <w:right w:val="single" w:sz="4" w:space="0" w:color="auto"/>
            </w:tcBorders>
            <w:shd w:val="clear" w:color="auto" w:fill="E6E6E6"/>
          </w:tcPr>
          <w:p w14:paraId="1AE8E309" w14:textId="77777777" w:rsidR="00A344AA" w:rsidRPr="00E37FBE" w:rsidRDefault="00A344AA" w:rsidP="00ED2EE2">
            <w:pPr>
              <w:spacing w:before="0" w:after="0"/>
              <w:jc w:val="left"/>
              <w:rPr>
                <w:rStyle w:val="InstructionsTabelleText"/>
                <w:rFonts w:ascii="Times New Roman" w:hAnsi="Times New Roman"/>
                <w:szCs w:val="20"/>
              </w:rPr>
            </w:pPr>
            <w:r w:rsidRPr="00E37FBE">
              <w:rPr>
                <w:rStyle w:val="InstructionsTabelleText"/>
                <w:rFonts w:ascii="Times New Roman" w:hAnsi="Times New Roman"/>
                <w:szCs w:val="20"/>
                <w:lang w:eastAsia="en-GB"/>
              </w:rPr>
              <w:t>Legal references and instructions</w:t>
            </w:r>
          </w:p>
        </w:tc>
      </w:tr>
      <w:tr w:rsidR="00A344AA" w:rsidRPr="00E37FBE" w14:paraId="0B67BCAB" w14:textId="77777777" w:rsidTr="00775F73">
        <w:trPr>
          <w:trHeight w:val="1020"/>
        </w:trPr>
        <w:tc>
          <w:tcPr>
            <w:tcW w:w="729" w:type="pct"/>
            <w:tcBorders>
              <w:top w:val="single" w:sz="4" w:space="0" w:color="auto"/>
              <w:left w:val="single" w:sz="4" w:space="0" w:color="auto"/>
              <w:bottom w:val="single" w:sz="4" w:space="0" w:color="auto"/>
              <w:right w:val="single" w:sz="4" w:space="0" w:color="auto"/>
            </w:tcBorders>
            <w:shd w:val="clear" w:color="auto" w:fill="auto"/>
            <w:noWrap/>
          </w:tcPr>
          <w:p w14:paraId="769358FB" w14:textId="7C6D4669" w:rsidR="00A344AA" w:rsidRPr="00E37FBE" w:rsidRDefault="00C90DF5">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A344AA" w:rsidRPr="00E37FBE">
              <w:rPr>
                <w:rFonts w:ascii="Times New Roman" w:hAnsi="Times New Roman"/>
                <w:color w:val="000000"/>
                <w:szCs w:val="20"/>
                <w:lang w:eastAsia="en-GB"/>
              </w:rPr>
              <w:t>010</w:t>
            </w:r>
          </w:p>
        </w:tc>
        <w:tc>
          <w:tcPr>
            <w:tcW w:w="4271" w:type="pct"/>
            <w:tcBorders>
              <w:top w:val="single" w:sz="4" w:space="0" w:color="auto"/>
              <w:left w:val="single" w:sz="4" w:space="0" w:color="auto"/>
              <w:bottom w:val="single" w:sz="4" w:space="0" w:color="auto"/>
              <w:right w:val="single" w:sz="4" w:space="0" w:color="auto"/>
            </w:tcBorders>
            <w:shd w:val="clear" w:color="auto" w:fill="auto"/>
          </w:tcPr>
          <w:p w14:paraId="0DC9910B" w14:textId="05DD65EB" w:rsidR="00A344AA" w:rsidRPr="00E37FBE" w:rsidRDefault="00A344AA" w:rsidP="00476C32">
            <w:pPr>
              <w:spacing w:before="0" w:after="0"/>
              <w:rPr>
                <w:rFonts w:ascii="Times New Roman" w:hAnsi="Times New Roman"/>
                <w:b/>
                <w:szCs w:val="20"/>
                <w:u w:val="single"/>
                <w:lang w:eastAsia="en-GB"/>
              </w:rPr>
            </w:pPr>
            <w:r w:rsidRPr="00E37FBE">
              <w:rPr>
                <w:rFonts w:ascii="Times New Roman" w:hAnsi="Times New Roman"/>
                <w:b/>
                <w:szCs w:val="20"/>
                <w:u w:val="single"/>
                <w:lang w:eastAsia="en-GB"/>
              </w:rPr>
              <w:t>Carrying amount received</w:t>
            </w:r>
          </w:p>
          <w:p w14:paraId="08CE1037" w14:textId="77777777" w:rsidR="00A344AA" w:rsidRPr="00E37FBE" w:rsidRDefault="00A344AA" w:rsidP="00476C32">
            <w:pPr>
              <w:spacing w:before="0" w:after="0"/>
              <w:rPr>
                <w:rFonts w:ascii="Times New Roman" w:hAnsi="Times New Roman"/>
                <w:b/>
                <w:szCs w:val="20"/>
                <w:u w:val="single"/>
                <w:lang w:eastAsia="en-GB"/>
              </w:rPr>
            </w:pPr>
          </w:p>
          <w:p w14:paraId="3436EC68" w14:textId="1D822E5D" w:rsidR="00A344AA" w:rsidRPr="00E37FBE" w:rsidRDefault="00A344AA" w:rsidP="00476C32">
            <w:pPr>
              <w:spacing w:before="0" w:after="0"/>
              <w:rPr>
                <w:szCs w:val="20"/>
              </w:rPr>
            </w:pPr>
            <w:r w:rsidRPr="00E37FBE">
              <w:rPr>
                <w:rFonts w:ascii="Times New Roman" w:hAnsi="Times New Roman"/>
                <w:szCs w:val="20"/>
                <w:lang w:eastAsia="en-GB"/>
              </w:rPr>
              <w:t xml:space="preserve">Carrying amount of funding received for each of the product </w:t>
            </w:r>
            <w:r w:rsidR="008E720B" w:rsidRPr="00E37FBE">
              <w:rPr>
                <w:rFonts w:ascii="Times New Roman" w:hAnsi="Times New Roman"/>
                <w:szCs w:val="20"/>
                <w:lang w:eastAsia="en-GB"/>
              </w:rPr>
              <w:t xml:space="preserve">types </w:t>
            </w:r>
            <w:r w:rsidRPr="00E37FBE">
              <w:rPr>
                <w:rFonts w:ascii="Times New Roman" w:hAnsi="Times New Roman"/>
                <w:szCs w:val="20"/>
                <w:lang w:eastAsia="en-GB"/>
              </w:rPr>
              <w:t xml:space="preserve">listed in the </w:t>
            </w:r>
            <w:r w:rsidR="00FA63BD" w:rsidRPr="00E37FBE">
              <w:rPr>
                <w:rFonts w:ascii="Times New Roman" w:hAnsi="Times New Roman"/>
                <w:szCs w:val="20"/>
                <w:lang w:eastAsia="en-GB"/>
              </w:rPr>
              <w:t>‘</w:t>
            </w:r>
            <w:r w:rsidRPr="00E37FBE">
              <w:rPr>
                <w:rFonts w:ascii="Times New Roman" w:hAnsi="Times New Roman"/>
                <w:szCs w:val="20"/>
                <w:lang w:eastAsia="en-GB"/>
              </w:rPr>
              <w:t>Product name</w:t>
            </w:r>
            <w:r w:rsidR="00FA63BD" w:rsidRPr="00E37FBE">
              <w:rPr>
                <w:rFonts w:ascii="Times New Roman" w:hAnsi="Times New Roman"/>
                <w:szCs w:val="20"/>
                <w:lang w:eastAsia="en-GB"/>
              </w:rPr>
              <w:t>’</w:t>
            </w:r>
            <w:r w:rsidRPr="00E37FBE">
              <w:rPr>
                <w:rFonts w:ascii="Times New Roman" w:hAnsi="Times New Roman"/>
                <w:szCs w:val="20"/>
                <w:lang w:eastAsia="en-GB"/>
              </w:rPr>
              <w:t xml:space="preserve"> column shall be reported in column 0</w:t>
            </w:r>
            <w:r w:rsidR="00C90DF5" w:rsidRPr="00E37FBE">
              <w:rPr>
                <w:rFonts w:ascii="Times New Roman" w:hAnsi="Times New Roman"/>
                <w:szCs w:val="20"/>
                <w:lang w:eastAsia="en-GB"/>
              </w:rPr>
              <w:t>0</w:t>
            </w:r>
            <w:r w:rsidRPr="00E37FBE">
              <w:rPr>
                <w:rFonts w:ascii="Times New Roman" w:hAnsi="Times New Roman"/>
                <w:szCs w:val="20"/>
                <w:lang w:eastAsia="en-GB"/>
              </w:rPr>
              <w:t>10 of the template</w:t>
            </w:r>
            <w:r w:rsidR="00AE6CE2">
              <w:rPr>
                <w:rFonts w:ascii="Times New Roman" w:hAnsi="Times New Roman"/>
                <w:szCs w:val="20"/>
                <w:lang w:eastAsia="en-GB"/>
              </w:rPr>
              <w:t xml:space="preserve"> </w:t>
            </w:r>
          </w:p>
          <w:p w14:paraId="6450D0D1" w14:textId="583458BA" w:rsidR="00FC506E" w:rsidRPr="00E37FBE" w:rsidRDefault="00FC506E" w:rsidP="00476C32">
            <w:pPr>
              <w:spacing w:before="0" w:after="0"/>
              <w:rPr>
                <w:rFonts w:ascii="Times New Roman" w:hAnsi="Times New Roman"/>
                <w:b/>
                <w:szCs w:val="20"/>
                <w:u w:val="single"/>
                <w:lang w:eastAsia="en-GB"/>
              </w:rPr>
            </w:pPr>
          </w:p>
        </w:tc>
      </w:tr>
      <w:tr w:rsidR="00A344AA" w:rsidRPr="00E37FBE" w14:paraId="48340044" w14:textId="77777777" w:rsidTr="00775F73">
        <w:trPr>
          <w:trHeight w:val="1020"/>
        </w:trPr>
        <w:tc>
          <w:tcPr>
            <w:tcW w:w="729" w:type="pct"/>
            <w:tcBorders>
              <w:top w:val="single" w:sz="4" w:space="0" w:color="auto"/>
              <w:left w:val="single" w:sz="4" w:space="0" w:color="auto"/>
              <w:bottom w:val="single" w:sz="4" w:space="0" w:color="auto"/>
              <w:right w:val="single" w:sz="4" w:space="0" w:color="auto"/>
            </w:tcBorders>
            <w:shd w:val="clear" w:color="auto" w:fill="auto"/>
            <w:noWrap/>
          </w:tcPr>
          <w:p w14:paraId="25BD9E53" w14:textId="1008E594" w:rsidR="00A344AA" w:rsidRPr="00E37FBE" w:rsidRDefault="00C90DF5">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A344AA" w:rsidRPr="00E37FBE">
              <w:rPr>
                <w:rFonts w:ascii="Times New Roman" w:hAnsi="Times New Roman"/>
                <w:color w:val="000000"/>
                <w:szCs w:val="20"/>
                <w:lang w:eastAsia="en-GB"/>
              </w:rPr>
              <w:t>020</w:t>
            </w:r>
          </w:p>
        </w:tc>
        <w:tc>
          <w:tcPr>
            <w:tcW w:w="4271" w:type="pct"/>
            <w:tcBorders>
              <w:top w:val="single" w:sz="4" w:space="0" w:color="auto"/>
              <w:left w:val="single" w:sz="4" w:space="0" w:color="auto"/>
              <w:bottom w:val="single" w:sz="4" w:space="0" w:color="auto"/>
              <w:right w:val="single" w:sz="4" w:space="0" w:color="auto"/>
            </w:tcBorders>
            <w:shd w:val="clear" w:color="auto" w:fill="auto"/>
          </w:tcPr>
          <w:p w14:paraId="766FA473" w14:textId="49F557A5" w:rsidR="00A344AA" w:rsidRPr="00E37FBE" w:rsidRDefault="00A344AA" w:rsidP="00476C32">
            <w:pPr>
              <w:spacing w:before="0" w:after="0"/>
              <w:rPr>
                <w:rFonts w:ascii="Times New Roman" w:hAnsi="Times New Roman"/>
                <w:b/>
                <w:szCs w:val="20"/>
                <w:u w:val="single"/>
                <w:lang w:eastAsia="en-GB"/>
              </w:rPr>
            </w:pPr>
            <w:r w:rsidRPr="00E37FBE">
              <w:rPr>
                <w:rFonts w:ascii="Times New Roman" w:hAnsi="Times New Roman"/>
                <w:b/>
                <w:szCs w:val="20"/>
                <w:u w:val="single"/>
                <w:lang w:eastAsia="en-GB"/>
              </w:rPr>
              <w:t xml:space="preserve">Amount covered by a Deposit Guarantee Scheme </w:t>
            </w:r>
            <w:r w:rsidR="00611852" w:rsidRPr="00E37FBE">
              <w:rPr>
                <w:rFonts w:ascii="Times New Roman" w:hAnsi="Times New Roman"/>
                <w:b/>
                <w:szCs w:val="20"/>
                <w:u w:val="single"/>
                <w:lang w:eastAsia="en-GB"/>
              </w:rPr>
              <w:t xml:space="preserve">in </w:t>
            </w:r>
            <w:r w:rsidRPr="00E37FBE">
              <w:rPr>
                <w:rFonts w:ascii="Times New Roman" w:hAnsi="Times New Roman"/>
                <w:b/>
                <w:szCs w:val="20"/>
                <w:u w:val="single"/>
                <w:lang w:eastAsia="en-GB"/>
              </w:rPr>
              <w:t>accord</w:t>
            </w:r>
            <w:r w:rsidR="00611852" w:rsidRPr="00E37FBE">
              <w:rPr>
                <w:rFonts w:ascii="Times New Roman" w:hAnsi="Times New Roman"/>
                <w:b/>
                <w:szCs w:val="20"/>
                <w:u w:val="single"/>
                <w:lang w:eastAsia="en-GB"/>
              </w:rPr>
              <w:t xml:space="preserve">ance with </w:t>
            </w:r>
            <w:r w:rsidRPr="00E37FBE">
              <w:rPr>
                <w:rFonts w:ascii="Times New Roman" w:hAnsi="Times New Roman"/>
                <w:b/>
                <w:szCs w:val="20"/>
                <w:u w:val="single"/>
                <w:lang w:eastAsia="en-GB"/>
              </w:rPr>
              <w:t xml:space="preserve">Directive </w:t>
            </w:r>
            <w:r w:rsidR="00AE0498" w:rsidRPr="00E37FBE">
              <w:rPr>
                <w:rFonts w:ascii="Times New Roman" w:hAnsi="Times New Roman"/>
                <w:b/>
                <w:szCs w:val="20"/>
                <w:u w:val="single"/>
                <w:lang w:eastAsia="en-GB"/>
              </w:rPr>
              <w:t xml:space="preserve">2014/ 49/ EU </w:t>
            </w:r>
            <w:r w:rsidRPr="00E37FBE">
              <w:rPr>
                <w:rFonts w:ascii="Times New Roman" w:hAnsi="Times New Roman"/>
                <w:b/>
                <w:szCs w:val="20"/>
                <w:u w:val="single"/>
                <w:lang w:eastAsia="en-GB"/>
              </w:rPr>
              <w:t>or an equivalent deposit guarantee scheme in a third country</w:t>
            </w:r>
          </w:p>
          <w:p w14:paraId="3404C8DD" w14:textId="77777777" w:rsidR="00A344AA" w:rsidRPr="00E37FBE" w:rsidRDefault="00A344AA" w:rsidP="00763448">
            <w:pPr>
              <w:spacing w:before="0" w:after="0"/>
              <w:rPr>
                <w:rFonts w:ascii="Times New Roman" w:hAnsi="Times New Roman"/>
                <w:b/>
                <w:szCs w:val="20"/>
                <w:u w:val="single"/>
                <w:lang w:eastAsia="en-GB"/>
              </w:rPr>
            </w:pPr>
          </w:p>
          <w:p w14:paraId="369A8E24" w14:textId="352C207D" w:rsidR="00A344AA" w:rsidRPr="00E37FBE" w:rsidRDefault="00A344AA" w:rsidP="00490B62">
            <w:pPr>
              <w:spacing w:before="0" w:after="0"/>
              <w:rPr>
                <w:rFonts w:ascii="Times New Roman" w:hAnsi="Times New Roman"/>
                <w:szCs w:val="20"/>
                <w:lang w:eastAsia="en-GB"/>
              </w:rPr>
            </w:pPr>
            <w:r w:rsidRPr="00E37FBE">
              <w:rPr>
                <w:rFonts w:ascii="Times New Roman" w:hAnsi="Times New Roman"/>
                <w:szCs w:val="20"/>
                <w:lang w:eastAsia="en-GB"/>
              </w:rPr>
              <w:t xml:space="preserve">Of the total amount of funding received for each of the product </w:t>
            </w:r>
            <w:r w:rsidR="008E720B" w:rsidRPr="00E37FBE">
              <w:rPr>
                <w:rFonts w:ascii="Times New Roman" w:hAnsi="Times New Roman"/>
                <w:szCs w:val="20"/>
                <w:lang w:eastAsia="en-GB"/>
              </w:rPr>
              <w:t xml:space="preserve">types </w:t>
            </w:r>
            <w:r w:rsidRPr="00E37FBE">
              <w:rPr>
                <w:rFonts w:ascii="Times New Roman" w:hAnsi="Times New Roman"/>
                <w:szCs w:val="20"/>
                <w:lang w:eastAsia="en-GB"/>
              </w:rPr>
              <w:t xml:space="preserve">listed in the </w:t>
            </w:r>
            <w:r w:rsidR="00FA63BD" w:rsidRPr="00E37FBE">
              <w:rPr>
                <w:rFonts w:ascii="Times New Roman" w:hAnsi="Times New Roman"/>
                <w:szCs w:val="20"/>
                <w:lang w:eastAsia="en-GB"/>
              </w:rPr>
              <w:t>‘</w:t>
            </w:r>
            <w:r w:rsidRPr="00E37FBE">
              <w:rPr>
                <w:rFonts w:ascii="Times New Roman" w:hAnsi="Times New Roman"/>
                <w:szCs w:val="20"/>
                <w:lang w:eastAsia="en-GB"/>
              </w:rPr>
              <w:t>Product name</w:t>
            </w:r>
            <w:r w:rsidR="00FA63BD" w:rsidRPr="00E37FBE">
              <w:rPr>
                <w:rFonts w:ascii="Times New Roman" w:hAnsi="Times New Roman"/>
                <w:szCs w:val="20"/>
                <w:lang w:eastAsia="en-GB"/>
              </w:rPr>
              <w:t>’</w:t>
            </w:r>
            <w:r w:rsidRPr="00E37FBE">
              <w:rPr>
                <w:rFonts w:ascii="Times New Roman" w:hAnsi="Times New Roman"/>
                <w:szCs w:val="20"/>
                <w:lang w:eastAsia="en-GB"/>
              </w:rPr>
              <w:t xml:space="preserve"> column reported in column 0</w:t>
            </w:r>
            <w:r w:rsidR="00C90DF5" w:rsidRPr="00E37FBE">
              <w:rPr>
                <w:rFonts w:ascii="Times New Roman" w:hAnsi="Times New Roman"/>
                <w:szCs w:val="20"/>
                <w:lang w:eastAsia="en-GB"/>
              </w:rPr>
              <w:t>0</w:t>
            </w:r>
            <w:r w:rsidRPr="00E37FBE">
              <w:rPr>
                <w:rFonts w:ascii="Times New Roman" w:hAnsi="Times New Roman"/>
                <w:szCs w:val="20"/>
                <w:lang w:eastAsia="en-GB"/>
              </w:rPr>
              <w:t xml:space="preserve">10, the amount which is covered by a Deposit Guarantee Scheme </w:t>
            </w:r>
            <w:r w:rsidR="00811DBC" w:rsidRPr="00E37FBE">
              <w:rPr>
                <w:rFonts w:ascii="Times New Roman" w:hAnsi="Times New Roman"/>
                <w:szCs w:val="20"/>
                <w:lang w:eastAsia="en-GB"/>
              </w:rPr>
              <w:t>in accordance with</w:t>
            </w:r>
            <w:r w:rsidRPr="00E37FBE">
              <w:rPr>
                <w:rFonts w:ascii="Times New Roman" w:hAnsi="Times New Roman"/>
                <w:szCs w:val="20"/>
                <w:lang w:eastAsia="en-GB"/>
              </w:rPr>
              <w:t xml:space="preserve"> Directive </w:t>
            </w:r>
            <w:r w:rsidR="00AE0498" w:rsidRPr="00E37FBE">
              <w:rPr>
                <w:rFonts w:ascii="Times New Roman" w:hAnsi="Times New Roman"/>
                <w:szCs w:val="20"/>
                <w:lang w:eastAsia="en-GB"/>
              </w:rPr>
              <w:t xml:space="preserve">2014/49/EU </w:t>
            </w:r>
            <w:r w:rsidRPr="00E37FBE">
              <w:rPr>
                <w:rFonts w:ascii="Times New Roman" w:hAnsi="Times New Roman"/>
                <w:szCs w:val="20"/>
                <w:lang w:eastAsia="en-GB"/>
              </w:rPr>
              <w:t xml:space="preserve">or an equivalent deposit guarantee scheme in a third country. </w:t>
            </w:r>
          </w:p>
          <w:p w14:paraId="624BDC55" w14:textId="77777777" w:rsidR="00A344AA" w:rsidRPr="00E37FBE" w:rsidRDefault="00A344AA" w:rsidP="00490B62">
            <w:pPr>
              <w:spacing w:before="0" w:after="0"/>
              <w:rPr>
                <w:rFonts w:ascii="Times New Roman" w:hAnsi="Times New Roman"/>
                <w:szCs w:val="20"/>
                <w:lang w:eastAsia="en-GB"/>
              </w:rPr>
            </w:pPr>
          </w:p>
          <w:p w14:paraId="1350A03E" w14:textId="7A0A8921" w:rsidR="00A344AA" w:rsidRPr="00E37FBE" w:rsidRDefault="00A344AA" w:rsidP="00FA63BD">
            <w:pPr>
              <w:spacing w:before="0" w:after="0"/>
              <w:rPr>
                <w:rFonts w:ascii="Times New Roman" w:hAnsi="Times New Roman"/>
                <w:szCs w:val="20"/>
                <w:lang w:eastAsia="en-GB"/>
              </w:rPr>
            </w:pPr>
            <w:r w:rsidRPr="00E37FBE">
              <w:rPr>
                <w:rFonts w:ascii="Times New Roman" w:hAnsi="Times New Roman"/>
                <w:szCs w:val="20"/>
                <w:lang w:eastAsia="en-GB"/>
              </w:rPr>
              <w:t>Note: the amounts reported in column 0</w:t>
            </w:r>
            <w:r w:rsidR="00C90DF5" w:rsidRPr="00E37FBE">
              <w:rPr>
                <w:rFonts w:ascii="Times New Roman" w:hAnsi="Times New Roman"/>
                <w:szCs w:val="20"/>
                <w:lang w:eastAsia="en-GB"/>
              </w:rPr>
              <w:t>0</w:t>
            </w:r>
            <w:r w:rsidRPr="00E37FBE">
              <w:rPr>
                <w:rFonts w:ascii="Times New Roman" w:hAnsi="Times New Roman"/>
                <w:szCs w:val="20"/>
                <w:lang w:eastAsia="en-GB"/>
              </w:rPr>
              <w:t>20 and column 0</w:t>
            </w:r>
            <w:r w:rsidR="00C90DF5" w:rsidRPr="00E37FBE">
              <w:rPr>
                <w:rFonts w:ascii="Times New Roman" w:hAnsi="Times New Roman"/>
                <w:szCs w:val="20"/>
                <w:lang w:eastAsia="en-GB"/>
              </w:rPr>
              <w:t>0</w:t>
            </w:r>
            <w:r w:rsidRPr="00E37FBE">
              <w:rPr>
                <w:rFonts w:ascii="Times New Roman" w:hAnsi="Times New Roman"/>
                <w:szCs w:val="20"/>
                <w:lang w:eastAsia="en-GB"/>
              </w:rPr>
              <w:t xml:space="preserve">30, for each of the product categories listed in the </w:t>
            </w:r>
            <w:r w:rsidR="00FA63BD" w:rsidRPr="00E37FBE">
              <w:rPr>
                <w:rFonts w:ascii="Times New Roman" w:hAnsi="Times New Roman"/>
                <w:szCs w:val="20"/>
                <w:lang w:eastAsia="en-GB"/>
              </w:rPr>
              <w:t>‘</w:t>
            </w:r>
            <w:r w:rsidRPr="00E37FBE">
              <w:rPr>
                <w:rFonts w:ascii="Times New Roman" w:hAnsi="Times New Roman"/>
                <w:szCs w:val="20"/>
                <w:lang w:eastAsia="en-GB"/>
              </w:rPr>
              <w:t>Product name</w:t>
            </w:r>
            <w:r w:rsidR="00FA63BD" w:rsidRPr="00E37FBE">
              <w:rPr>
                <w:rFonts w:ascii="Times New Roman" w:hAnsi="Times New Roman"/>
                <w:szCs w:val="20"/>
                <w:lang w:eastAsia="en-GB"/>
              </w:rPr>
              <w:t>’</w:t>
            </w:r>
            <w:r w:rsidRPr="00E37FBE">
              <w:rPr>
                <w:rFonts w:ascii="Times New Roman" w:hAnsi="Times New Roman"/>
                <w:szCs w:val="20"/>
                <w:lang w:eastAsia="en-GB"/>
              </w:rPr>
              <w:t xml:space="preserve"> column, shall be equal to the total amount received reported in column 0</w:t>
            </w:r>
            <w:r w:rsidR="00C90DF5" w:rsidRPr="00E37FBE">
              <w:rPr>
                <w:rFonts w:ascii="Times New Roman" w:hAnsi="Times New Roman"/>
                <w:szCs w:val="20"/>
                <w:lang w:eastAsia="en-GB"/>
              </w:rPr>
              <w:t>0</w:t>
            </w:r>
            <w:r w:rsidRPr="00E37FBE">
              <w:rPr>
                <w:rFonts w:ascii="Times New Roman" w:hAnsi="Times New Roman"/>
                <w:szCs w:val="20"/>
                <w:lang w:eastAsia="en-GB"/>
              </w:rPr>
              <w:t>10.</w:t>
            </w:r>
          </w:p>
          <w:p w14:paraId="17202B90" w14:textId="77777777" w:rsidR="00A344AA" w:rsidRPr="00E37FBE" w:rsidRDefault="00A344AA" w:rsidP="00476C32">
            <w:pPr>
              <w:spacing w:before="0" w:after="0"/>
              <w:rPr>
                <w:rFonts w:ascii="Times New Roman" w:hAnsi="Times New Roman"/>
                <w:b/>
                <w:szCs w:val="20"/>
                <w:u w:val="single"/>
                <w:lang w:eastAsia="en-GB"/>
              </w:rPr>
            </w:pPr>
          </w:p>
        </w:tc>
      </w:tr>
      <w:tr w:rsidR="00A344AA" w:rsidRPr="00E37FBE" w14:paraId="2F048CBA" w14:textId="77777777" w:rsidTr="00775F73">
        <w:trPr>
          <w:trHeight w:val="1020"/>
        </w:trPr>
        <w:tc>
          <w:tcPr>
            <w:tcW w:w="729" w:type="pct"/>
            <w:tcBorders>
              <w:top w:val="single" w:sz="4" w:space="0" w:color="auto"/>
              <w:left w:val="single" w:sz="4" w:space="0" w:color="auto"/>
              <w:bottom w:val="single" w:sz="4" w:space="0" w:color="auto"/>
              <w:right w:val="single" w:sz="4" w:space="0" w:color="auto"/>
            </w:tcBorders>
            <w:shd w:val="clear" w:color="auto" w:fill="auto"/>
            <w:noWrap/>
          </w:tcPr>
          <w:p w14:paraId="0DFAF916" w14:textId="52775B77" w:rsidR="00A344AA" w:rsidRPr="00E37FBE" w:rsidRDefault="00A344AA">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C90DF5" w:rsidRPr="00E37FBE">
              <w:rPr>
                <w:rFonts w:ascii="Times New Roman" w:hAnsi="Times New Roman"/>
                <w:color w:val="000000"/>
                <w:szCs w:val="20"/>
                <w:lang w:eastAsia="en-GB"/>
              </w:rPr>
              <w:t>0</w:t>
            </w:r>
            <w:r w:rsidRPr="00E37FBE">
              <w:rPr>
                <w:rFonts w:ascii="Times New Roman" w:hAnsi="Times New Roman"/>
                <w:color w:val="000000"/>
                <w:szCs w:val="20"/>
                <w:lang w:eastAsia="en-GB"/>
              </w:rPr>
              <w:t>30</w:t>
            </w:r>
          </w:p>
        </w:tc>
        <w:tc>
          <w:tcPr>
            <w:tcW w:w="4271" w:type="pct"/>
            <w:tcBorders>
              <w:top w:val="single" w:sz="4" w:space="0" w:color="auto"/>
              <w:left w:val="single" w:sz="4" w:space="0" w:color="auto"/>
              <w:bottom w:val="single" w:sz="4" w:space="0" w:color="auto"/>
              <w:right w:val="single" w:sz="4" w:space="0" w:color="auto"/>
            </w:tcBorders>
            <w:shd w:val="clear" w:color="auto" w:fill="auto"/>
          </w:tcPr>
          <w:p w14:paraId="7032864C" w14:textId="6430446F" w:rsidR="00A344AA" w:rsidRPr="00E37FBE" w:rsidRDefault="00A344AA" w:rsidP="00476C32">
            <w:pPr>
              <w:spacing w:before="0" w:after="0"/>
              <w:rPr>
                <w:rFonts w:ascii="Times New Roman" w:hAnsi="Times New Roman"/>
                <w:b/>
                <w:szCs w:val="20"/>
                <w:u w:val="single"/>
                <w:lang w:eastAsia="en-GB"/>
              </w:rPr>
            </w:pPr>
            <w:r w:rsidRPr="00E37FBE">
              <w:rPr>
                <w:rFonts w:ascii="Times New Roman" w:hAnsi="Times New Roman"/>
                <w:b/>
                <w:szCs w:val="20"/>
                <w:u w:val="single"/>
                <w:lang w:eastAsia="en-GB"/>
              </w:rPr>
              <w:t xml:space="preserve">Amount not covered by a Deposit Guarantee Scheme </w:t>
            </w:r>
            <w:r w:rsidR="00611852" w:rsidRPr="00E37FBE">
              <w:rPr>
                <w:rFonts w:ascii="Times New Roman" w:hAnsi="Times New Roman"/>
                <w:b/>
                <w:szCs w:val="20"/>
                <w:u w:val="single"/>
                <w:lang w:eastAsia="en-GB"/>
              </w:rPr>
              <w:t xml:space="preserve">in </w:t>
            </w:r>
            <w:r w:rsidRPr="00E37FBE">
              <w:rPr>
                <w:rFonts w:ascii="Times New Roman" w:hAnsi="Times New Roman"/>
                <w:b/>
                <w:szCs w:val="20"/>
                <w:u w:val="single"/>
                <w:lang w:eastAsia="en-GB"/>
              </w:rPr>
              <w:t>accord</w:t>
            </w:r>
            <w:r w:rsidR="00611852" w:rsidRPr="00E37FBE">
              <w:rPr>
                <w:rFonts w:ascii="Times New Roman" w:hAnsi="Times New Roman"/>
                <w:b/>
                <w:szCs w:val="20"/>
                <w:u w:val="single"/>
                <w:lang w:eastAsia="en-GB"/>
              </w:rPr>
              <w:t xml:space="preserve">ance with </w:t>
            </w:r>
            <w:r w:rsidRPr="00E37FBE">
              <w:rPr>
                <w:rFonts w:ascii="Times New Roman" w:hAnsi="Times New Roman"/>
                <w:b/>
                <w:szCs w:val="20"/>
                <w:u w:val="single"/>
                <w:lang w:eastAsia="en-GB"/>
              </w:rPr>
              <w:t xml:space="preserve">Directive </w:t>
            </w:r>
            <w:r w:rsidR="00AE0498" w:rsidRPr="00E37FBE">
              <w:rPr>
                <w:rFonts w:ascii="Times New Roman" w:hAnsi="Times New Roman"/>
                <w:b/>
                <w:szCs w:val="20"/>
                <w:u w:val="single"/>
                <w:lang w:eastAsia="en-GB"/>
              </w:rPr>
              <w:t xml:space="preserve">2014/ 49/ EU </w:t>
            </w:r>
            <w:r w:rsidRPr="00E37FBE">
              <w:rPr>
                <w:rFonts w:ascii="Times New Roman" w:hAnsi="Times New Roman"/>
                <w:b/>
                <w:szCs w:val="20"/>
                <w:u w:val="single"/>
                <w:lang w:eastAsia="en-GB"/>
              </w:rPr>
              <w:t>or an equivalent deposit guarantee scheme in a third country</w:t>
            </w:r>
          </w:p>
          <w:p w14:paraId="5D57127C" w14:textId="77777777" w:rsidR="00A344AA" w:rsidRPr="00E37FBE" w:rsidRDefault="00A344AA" w:rsidP="00476C32">
            <w:pPr>
              <w:spacing w:before="0" w:after="0"/>
              <w:rPr>
                <w:rFonts w:ascii="Times New Roman" w:hAnsi="Times New Roman"/>
                <w:b/>
                <w:szCs w:val="20"/>
                <w:u w:val="single"/>
                <w:lang w:eastAsia="en-GB"/>
              </w:rPr>
            </w:pPr>
          </w:p>
          <w:p w14:paraId="706D0911" w14:textId="78E734DF" w:rsidR="00A344AA" w:rsidRPr="00E37FBE" w:rsidRDefault="00A344AA" w:rsidP="00763448">
            <w:pPr>
              <w:spacing w:before="0" w:after="0"/>
              <w:rPr>
                <w:rFonts w:ascii="Times New Roman" w:hAnsi="Times New Roman"/>
                <w:szCs w:val="20"/>
                <w:lang w:eastAsia="en-GB"/>
              </w:rPr>
            </w:pPr>
            <w:r w:rsidRPr="00E37FBE">
              <w:rPr>
                <w:rFonts w:ascii="Times New Roman" w:hAnsi="Times New Roman"/>
                <w:szCs w:val="20"/>
                <w:lang w:eastAsia="en-GB"/>
              </w:rPr>
              <w:t xml:space="preserve">Of the total amount of funding received for each of the product </w:t>
            </w:r>
            <w:r w:rsidR="008E720B" w:rsidRPr="00E37FBE">
              <w:rPr>
                <w:rFonts w:ascii="Times New Roman" w:hAnsi="Times New Roman"/>
                <w:szCs w:val="20"/>
                <w:lang w:eastAsia="en-GB"/>
              </w:rPr>
              <w:t xml:space="preserve">types </w:t>
            </w:r>
            <w:r w:rsidRPr="00E37FBE">
              <w:rPr>
                <w:rFonts w:ascii="Times New Roman" w:hAnsi="Times New Roman"/>
                <w:szCs w:val="20"/>
                <w:lang w:eastAsia="en-GB"/>
              </w:rPr>
              <w:t xml:space="preserve">listed in the </w:t>
            </w:r>
            <w:r w:rsidR="00FA63BD" w:rsidRPr="00E37FBE">
              <w:rPr>
                <w:rFonts w:ascii="Times New Roman" w:hAnsi="Times New Roman"/>
                <w:szCs w:val="20"/>
                <w:lang w:eastAsia="en-GB"/>
              </w:rPr>
              <w:t>‘</w:t>
            </w:r>
            <w:r w:rsidRPr="00E37FBE">
              <w:rPr>
                <w:rFonts w:ascii="Times New Roman" w:hAnsi="Times New Roman"/>
                <w:szCs w:val="20"/>
                <w:lang w:eastAsia="en-GB"/>
              </w:rPr>
              <w:t>Product name</w:t>
            </w:r>
            <w:r w:rsidR="00FA63BD" w:rsidRPr="00E37FBE">
              <w:rPr>
                <w:rFonts w:ascii="Times New Roman" w:hAnsi="Times New Roman"/>
                <w:szCs w:val="20"/>
                <w:lang w:eastAsia="en-GB"/>
              </w:rPr>
              <w:t>’</w:t>
            </w:r>
            <w:r w:rsidRPr="00E37FBE">
              <w:rPr>
                <w:rFonts w:ascii="Times New Roman" w:hAnsi="Times New Roman"/>
                <w:szCs w:val="20"/>
                <w:lang w:eastAsia="en-GB"/>
              </w:rPr>
              <w:t xml:space="preserve"> column reported in column 0</w:t>
            </w:r>
            <w:r w:rsidR="00C90DF5" w:rsidRPr="00E37FBE">
              <w:rPr>
                <w:rFonts w:ascii="Times New Roman" w:hAnsi="Times New Roman"/>
                <w:szCs w:val="20"/>
                <w:lang w:eastAsia="en-GB"/>
              </w:rPr>
              <w:t>0</w:t>
            </w:r>
            <w:r w:rsidRPr="00E37FBE">
              <w:rPr>
                <w:rFonts w:ascii="Times New Roman" w:hAnsi="Times New Roman"/>
                <w:szCs w:val="20"/>
                <w:lang w:eastAsia="en-GB"/>
              </w:rPr>
              <w:t xml:space="preserve">10, the amount which is </w:t>
            </w:r>
            <w:r w:rsidRPr="00E37FBE">
              <w:rPr>
                <w:rFonts w:ascii="Times New Roman" w:hAnsi="Times New Roman"/>
                <w:szCs w:val="20"/>
                <w:u w:val="single"/>
                <w:lang w:eastAsia="en-GB"/>
              </w:rPr>
              <w:t>not</w:t>
            </w:r>
            <w:r w:rsidRPr="00E37FBE">
              <w:rPr>
                <w:rFonts w:ascii="Times New Roman" w:hAnsi="Times New Roman"/>
                <w:szCs w:val="20"/>
                <w:lang w:eastAsia="en-GB"/>
              </w:rPr>
              <w:t xml:space="preserve"> covered by a Deposit Guarantee Scheme </w:t>
            </w:r>
            <w:r w:rsidR="00811DBC" w:rsidRPr="00E37FBE">
              <w:rPr>
                <w:rFonts w:ascii="Times New Roman" w:hAnsi="Times New Roman"/>
                <w:szCs w:val="20"/>
                <w:lang w:eastAsia="en-GB"/>
              </w:rPr>
              <w:t>in accordance with</w:t>
            </w:r>
            <w:r w:rsidRPr="00E37FBE">
              <w:rPr>
                <w:rFonts w:ascii="Times New Roman" w:hAnsi="Times New Roman"/>
                <w:szCs w:val="20"/>
                <w:lang w:eastAsia="en-GB"/>
              </w:rPr>
              <w:t xml:space="preserve"> Directive </w:t>
            </w:r>
            <w:r w:rsidR="00AE0498" w:rsidRPr="00E37FBE">
              <w:rPr>
                <w:rFonts w:ascii="Times New Roman" w:hAnsi="Times New Roman"/>
                <w:szCs w:val="20"/>
                <w:lang w:eastAsia="en-GB"/>
              </w:rPr>
              <w:t xml:space="preserve">2014/49/EU </w:t>
            </w:r>
            <w:r w:rsidRPr="00E37FBE">
              <w:rPr>
                <w:rFonts w:ascii="Times New Roman" w:hAnsi="Times New Roman"/>
                <w:szCs w:val="20"/>
                <w:lang w:eastAsia="en-GB"/>
              </w:rPr>
              <w:t xml:space="preserve">or an equivalent deposit guarantee scheme in a third country. </w:t>
            </w:r>
          </w:p>
          <w:p w14:paraId="2201D234" w14:textId="77777777" w:rsidR="00A344AA" w:rsidRPr="00E37FBE" w:rsidRDefault="00A344AA" w:rsidP="00490B62">
            <w:pPr>
              <w:spacing w:before="0" w:after="0"/>
              <w:rPr>
                <w:rFonts w:ascii="Times New Roman" w:hAnsi="Times New Roman"/>
                <w:szCs w:val="20"/>
                <w:lang w:eastAsia="en-GB"/>
              </w:rPr>
            </w:pPr>
          </w:p>
          <w:p w14:paraId="3AE9E67D" w14:textId="58E44A91" w:rsidR="00A344AA" w:rsidRPr="00E37FBE" w:rsidRDefault="00A344AA" w:rsidP="00490B62">
            <w:pPr>
              <w:spacing w:before="0" w:after="0"/>
              <w:rPr>
                <w:rFonts w:ascii="Times New Roman" w:hAnsi="Times New Roman"/>
                <w:szCs w:val="20"/>
                <w:lang w:eastAsia="en-GB"/>
              </w:rPr>
            </w:pPr>
            <w:r w:rsidRPr="00E37FBE">
              <w:rPr>
                <w:rFonts w:ascii="Times New Roman" w:hAnsi="Times New Roman"/>
                <w:szCs w:val="20"/>
                <w:lang w:eastAsia="en-GB"/>
              </w:rPr>
              <w:lastRenderedPageBreak/>
              <w:t>Note: the amounts reported in column 0</w:t>
            </w:r>
            <w:r w:rsidR="00C90DF5" w:rsidRPr="00E37FBE">
              <w:rPr>
                <w:rFonts w:ascii="Times New Roman" w:hAnsi="Times New Roman"/>
                <w:szCs w:val="20"/>
                <w:lang w:eastAsia="en-GB"/>
              </w:rPr>
              <w:t>0</w:t>
            </w:r>
            <w:r w:rsidRPr="00E37FBE">
              <w:rPr>
                <w:rFonts w:ascii="Times New Roman" w:hAnsi="Times New Roman"/>
                <w:szCs w:val="20"/>
                <w:lang w:eastAsia="en-GB"/>
              </w:rPr>
              <w:t xml:space="preserve">20 and column </w:t>
            </w:r>
            <w:r w:rsidR="00C90DF5" w:rsidRPr="00E37FBE">
              <w:rPr>
                <w:rFonts w:ascii="Times New Roman" w:hAnsi="Times New Roman"/>
                <w:szCs w:val="20"/>
                <w:lang w:eastAsia="en-GB"/>
              </w:rPr>
              <w:t>0</w:t>
            </w:r>
            <w:r w:rsidRPr="00E37FBE">
              <w:rPr>
                <w:rFonts w:ascii="Times New Roman" w:hAnsi="Times New Roman"/>
                <w:szCs w:val="20"/>
                <w:lang w:eastAsia="en-GB"/>
              </w:rPr>
              <w:t xml:space="preserve">030, for each of the product </w:t>
            </w:r>
            <w:r w:rsidR="008E720B" w:rsidRPr="00E37FBE">
              <w:rPr>
                <w:rFonts w:ascii="Times New Roman" w:hAnsi="Times New Roman"/>
                <w:szCs w:val="20"/>
                <w:lang w:eastAsia="en-GB"/>
              </w:rPr>
              <w:t xml:space="preserve">types </w:t>
            </w:r>
            <w:r w:rsidRPr="00E37FBE">
              <w:rPr>
                <w:rFonts w:ascii="Times New Roman" w:hAnsi="Times New Roman"/>
                <w:szCs w:val="20"/>
                <w:lang w:eastAsia="en-GB"/>
              </w:rPr>
              <w:t xml:space="preserve">listed in the </w:t>
            </w:r>
            <w:r w:rsidR="00FA63BD" w:rsidRPr="00E37FBE">
              <w:rPr>
                <w:rFonts w:ascii="Times New Roman" w:hAnsi="Times New Roman"/>
                <w:szCs w:val="20"/>
                <w:lang w:eastAsia="en-GB"/>
              </w:rPr>
              <w:t>‘</w:t>
            </w:r>
            <w:r w:rsidRPr="00E37FBE">
              <w:rPr>
                <w:rFonts w:ascii="Times New Roman" w:hAnsi="Times New Roman"/>
                <w:szCs w:val="20"/>
                <w:lang w:eastAsia="en-GB"/>
              </w:rPr>
              <w:t>Product name</w:t>
            </w:r>
            <w:r w:rsidR="00FA63BD" w:rsidRPr="00E37FBE">
              <w:rPr>
                <w:rFonts w:ascii="Times New Roman" w:hAnsi="Times New Roman"/>
                <w:szCs w:val="20"/>
                <w:lang w:eastAsia="en-GB"/>
              </w:rPr>
              <w:t>’</w:t>
            </w:r>
            <w:r w:rsidRPr="00E37FBE">
              <w:rPr>
                <w:rFonts w:ascii="Times New Roman" w:hAnsi="Times New Roman"/>
                <w:szCs w:val="20"/>
                <w:lang w:eastAsia="en-GB"/>
              </w:rPr>
              <w:t xml:space="preserve"> column, shall be equal to the total amount received reported in column </w:t>
            </w:r>
            <w:r w:rsidR="00C90DF5" w:rsidRPr="00E37FBE">
              <w:rPr>
                <w:rFonts w:ascii="Times New Roman" w:hAnsi="Times New Roman"/>
                <w:szCs w:val="20"/>
                <w:lang w:eastAsia="en-GB"/>
              </w:rPr>
              <w:t>0</w:t>
            </w:r>
            <w:r w:rsidRPr="00E37FBE">
              <w:rPr>
                <w:rFonts w:ascii="Times New Roman" w:hAnsi="Times New Roman"/>
                <w:szCs w:val="20"/>
                <w:lang w:eastAsia="en-GB"/>
              </w:rPr>
              <w:t>010.</w:t>
            </w:r>
          </w:p>
          <w:p w14:paraId="3A3C1BD5" w14:textId="77777777" w:rsidR="00A344AA" w:rsidRPr="00E37FBE" w:rsidRDefault="00A344AA" w:rsidP="00476C32">
            <w:pPr>
              <w:spacing w:before="0" w:after="0"/>
              <w:rPr>
                <w:rFonts w:ascii="Times New Roman" w:hAnsi="Times New Roman"/>
                <w:b/>
                <w:szCs w:val="20"/>
                <w:u w:val="single"/>
                <w:lang w:eastAsia="en-GB"/>
              </w:rPr>
            </w:pPr>
          </w:p>
        </w:tc>
      </w:tr>
      <w:tr w:rsidR="00A344AA" w:rsidRPr="00E37FBE" w14:paraId="451E213E" w14:textId="77777777" w:rsidTr="005B086D">
        <w:trPr>
          <w:trHeight w:val="459"/>
        </w:trPr>
        <w:tc>
          <w:tcPr>
            <w:tcW w:w="729" w:type="pct"/>
            <w:shd w:val="clear" w:color="auto" w:fill="auto"/>
            <w:noWrap/>
          </w:tcPr>
          <w:p w14:paraId="5C9786F2" w14:textId="69D66EDF" w:rsidR="00A344AA" w:rsidRPr="00E37FBE" w:rsidRDefault="00C90DF5" w:rsidP="00ED2EE2">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lastRenderedPageBreak/>
              <w:t>0</w:t>
            </w:r>
            <w:r w:rsidR="00A344AA" w:rsidRPr="00E37FBE">
              <w:rPr>
                <w:rFonts w:ascii="Times New Roman" w:hAnsi="Times New Roman"/>
                <w:color w:val="000000"/>
                <w:szCs w:val="20"/>
                <w:lang w:eastAsia="en-GB"/>
              </w:rPr>
              <w:t>040</w:t>
            </w:r>
          </w:p>
        </w:tc>
        <w:tc>
          <w:tcPr>
            <w:tcW w:w="4271" w:type="pct"/>
            <w:shd w:val="clear" w:color="auto" w:fill="auto"/>
          </w:tcPr>
          <w:p w14:paraId="3C20E7C7" w14:textId="1D00688B" w:rsidR="00A344AA" w:rsidRPr="00E37FBE" w:rsidRDefault="00A344AA" w:rsidP="00476C32">
            <w:pPr>
              <w:spacing w:before="0" w:after="0"/>
              <w:rPr>
                <w:rFonts w:ascii="Times New Roman" w:hAnsi="Times New Roman"/>
                <w:b/>
                <w:szCs w:val="20"/>
                <w:u w:val="single"/>
                <w:lang w:eastAsia="en-GB"/>
              </w:rPr>
            </w:pPr>
            <w:r w:rsidRPr="00E37FBE">
              <w:rPr>
                <w:rFonts w:ascii="Times New Roman" w:hAnsi="Times New Roman"/>
                <w:b/>
                <w:szCs w:val="20"/>
                <w:u w:val="single"/>
                <w:lang w:eastAsia="en-GB"/>
              </w:rPr>
              <w:t xml:space="preserve">Weighted average </w:t>
            </w:r>
            <w:r w:rsidR="008509FB" w:rsidRPr="00E37FBE">
              <w:rPr>
                <w:rFonts w:ascii="Times New Roman" w:hAnsi="Times New Roman"/>
                <w:b/>
                <w:szCs w:val="20"/>
                <w:u w:val="single"/>
                <w:lang w:eastAsia="en-GB"/>
              </w:rPr>
              <w:t>original</w:t>
            </w:r>
            <w:r w:rsidRPr="00E37FBE">
              <w:rPr>
                <w:rFonts w:ascii="Times New Roman" w:hAnsi="Times New Roman"/>
                <w:b/>
                <w:szCs w:val="20"/>
                <w:u w:val="single"/>
                <w:lang w:eastAsia="en-GB"/>
              </w:rPr>
              <w:t xml:space="preserve"> maturity</w:t>
            </w:r>
          </w:p>
          <w:p w14:paraId="55688C6B" w14:textId="77777777" w:rsidR="00A344AA" w:rsidRPr="00E37FBE" w:rsidRDefault="00A344AA" w:rsidP="00476C32">
            <w:pPr>
              <w:spacing w:before="0" w:after="0"/>
              <w:rPr>
                <w:rFonts w:ascii="Times New Roman" w:hAnsi="Times New Roman"/>
                <w:b/>
                <w:szCs w:val="20"/>
                <w:u w:val="single"/>
                <w:lang w:eastAsia="en-GB"/>
              </w:rPr>
            </w:pPr>
          </w:p>
          <w:p w14:paraId="26DFB785" w14:textId="490D8ABF" w:rsidR="00A344AA" w:rsidRPr="00E37FBE" w:rsidRDefault="00A344AA" w:rsidP="00763448">
            <w:pPr>
              <w:spacing w:before="0" w:after="0"/>
              <w:rPr>
                <w:rFonts w:ascii="Times New Roman" w:hAnsi="Times New Roman"/>
                <w:szCs w:val="20"/>
                <w:lang w:eastAsia="en-GB"/>
              </w:rPr>
            </w:pPr>
            <w:r w:rsidRPr="00E37FBE">
              <w:rPr>
                <w:rFonts w:ascii="Times New Roman" w:hAnsi="Times New Roman"/>
                <w:szCs w:val="20"/>
                <w:lang w:eastAsia="en-GB"/>
              </w:rPr>
              <w:t xml:space="preserve">For the amount of funding received reported in column </w:t>
            </w:r>
            <w:r w:rsidR="00C90DF5" w:rsidRPr="00E37FBE">
              <w:rPr>
                <w:rFonts w:ascii="Times New Roman" w:hAnsi="Times New Roman"/>
                <w:szCs w:val="20"/>
                <w:lang w:eastAsia="en-GB"/>
              </w:rPr>
              <w:t>0</w:t>
            </w:r>
            <w:r w:rsidRPr="00E37FBE">
              <w:rPr>
                <w:rFonts w:ascii="Times New Roman" w:hAnsi="Times New Roman"/>
                <w:szCs w:val="20"/>
                <w:lang w:eastAsia="en-GB"/>
              </w:rPr>
              <w:t xml:space="preserve">010, from the product </w:t>
            </w:r>
            <w:r w:rsidR="008E720B" w:rsidRPr="00E37FBE">
              <w:rPr>
                <w:rFonts w:ascii="Times New Roman" w:hAnsi="Times New Roman"/>
                <w:szCs w:val="20"/>
                <w:lang w:eastAsia="en-GB"/>
              </w:rPr>
              <w:t xml:space="preserve">types </w:t>
            </w:r>
            <w:r w:rsidRPr="00E37FBE">
              <w:rPr>
                <w:rFonts w:ascii="Times New Roman" w:hAnsi="Times New Roman"/>
                <w:szCs w:val="20"/>
                <w:lang w:eastAsia="en-GB"/>
              </w:rPr>
              <w:t xml:space="preserve">listed in the </w:t>
            </w:r>
            <w:r w:rsidR="00FA63BD" w:rsidRPr="00E37FBE">
              <w:rPr>
                <w:rFonts w:ascii="Times New Roman" w:hAnsi="Times New Roman"/>
                <w:szCs w:val="20"/>
                <w:lang w:eastAsia="en-GB"/>
              </w:rPr>
              <w:t>‘</w:t>
            </w:r>
            <w:r w:rsidRPr="00E37FBE">
              <w:rPr>
                <w:rFonts w:ascii="Times New Roman" w:hAnsi="Times New Roman"/>
                <w:szCs w:val="20"/>
                <w:lang w:eastAsia="en-GB"/>
              </w:rPr>
              <w:t>Product name</w:t>
            </w:r>
            <w:r w:rsidR="00FA63BD" w:rsidRPr="00E37FBE">
              <w:rPr>
                <w:rFonts w:ascii="Times New Roman" w:hAnsi="Times New Roman"/>
                <w:szCs w:val="20"/>
                <w:lang w:eastAsia="en-GB"/>
              </w:rPr>
              <w:t>’</w:t>
            </w:r>
            <w:r w:rsidRPr="00E37FBE">
              <w:rPr>
                <w:rFonts w:ascii="Times New Roman" w:hAnsi="Times New Roman"/>
                <w:szCs w:val="20"/>
                <w:lang w:eastAsia="en-GB"/>
              </w:rPr>
              <w:t xml:space="preserve"> column, a weighted average </w:t>
            </w:r>
            <w:r w:rsidR="008509FB" w:rsidRPr="00E37FBE">
              <w:rPr>
                <w:rFonts w:ascii="Times New Roman" w:hAnsi="Times New Roman"/>
                <w:szCs w:val="20"/>
                <w:lang w:eastAsia="en-GB"/>
              </w:rPr>
              <w:t>original</w:t>
            </w:r>
            <w:r w:rsidRPr="00E37FBE">
              <w:rPr>
                <w:rFonts w:ascii="Times New Roman" w:hAnsi="Times New Roman"/>
                <w:szCs w:val="20"/>
                <w:lang w:eastAsia="en-GB"/>
              </w:rPr>
              <w:t xml:space="preserve"> maturity (in days) for that funding shall be recorded in column 0</w:t>
            </w:r>
            <w:r w:rsidR="00C90DF5" w:rsidRPr="00E37FBE">
              <w:rPr>
                <w:rFonts w:ascii="Times New Roman" w:hAnsi="Times New Roman"/>
                <w:szCs w:val="20"/>
                <w:lang w:eastAsia="en-GB"/>
              </w:rPr>
              <w:t>0</w:t>
            </w:r>
            <w:r w:rsidRPr="00E37FBE">
              <w:rPr>
                <w:rFonts w:ascii="Times New Roman" w:hAnsi="Times New Roman"/>
                <w:szCs w:val="20"/>
                <w:lang w:eastAsia="en-GB"/>
              </w:rPr>
              <w:t>40.</w:t>
            </w:r>
          </w:p>
          <w:p w14:paraId="6F902A34" w14:textId="77777777" w:rsidR="00A344AA" w:rsidRPr="00E37FBE" w:rsidRDefault="00A344AA" w:rsidP="00490B62">
            <w:pPr>
              <w:spacing w:before="0" w:after="0"/>
              <w:rPr>
                <w:rFonts w:ascii="Times New Roman" w:hAnsi="Times New Roman"/>
                <w:szCs w:val="20"/>
                <w:lang w:eastAsia="en-GB"/>
              </w:rPr>
            </w:pPr>
          </w:p>
          <w:p w14:paraId="4993C5F5" w14:textId="1018E08A" w:rsidR="00A344AA" w:rsidRPr="00E37FBE" w:rsidRDefault="00B06740" w:rsidP="00476C32">
            <w:pPr>
              <w:spacing w:before="0" w:after="0"/>
              <w:rPr>
                <w:rFonts w:ascii="Times New Roman" w:hAnsi="Times New Roman"/>
                <w:szCs w:val="20"/>
                <w:lang w:eastAsia="en-GB"/>
              </w:rPr>
            </w:pPr>
            <w:r w:rsidRPr="00E37FBE">
              <w:rPr>
                <w:rFonts w:ascii="Times New Roman" w:hAnsi="Times New Roman"/>
                <w:szCs w:val="20"/>
                <w:lang w:eastAsia="en-GB"/>
              </w:rPr>
              <w:t>The w</w:t>
            </w:r>
            <w:r w:rsidR="00A344AA" w:rsidRPr="00E37FBE">
              <w:rPr>
                <w:rFonts w:ascii="Times New Roman" w:hAnsi="Times New Roman"/>
                <w:szCs w:val="20"/>
                <w:lang w:eastAsia="en-GB"/>
              </w:rPr>
              <w:t xml:space="preserve">eighted average </w:t>
            </w:r>
            <w:r w:rsidR="008509FB" w:rsidRPr="00E37FBE">
              <w:rPr>
                <w:rFonts w:ascii="Times New Roman" w:hAnsi="Times New Roman"/>
                <w:szCs w:val="20"/>
                <w:lang w:eastAsia="en-GB"/>
              </w:rPr>
              <w:t>original</w:t>
            </w:r>
            <w:r w:rsidR="00A344AA" w:rsidRPr="00E37FBE">
              <w:rPr>
                <w:rFonts w:ascii="Times New Roman" w:hAnsi="Times New Roman"/>
                <w:szCs w:val="20"/>
                <w:lang w:eastAsia="en-GB"/>
              </w:rPr>
              <w:t xml:space="preserve"> maturity </w:t>
            </w:r>
            <w:r w:rsidRPr="00E37FBE">
              <w:rPr>
                <w:rFonts w:ascii="Times New Roman" w:hAnsi="Times New Roman"/>
                <w:szCs w:val="20"/>
                <w:lang w:eastAsia="en-GB"/>
              </w:rPr>
              <w:t>shall be calculated as</w:t>
            </w:r>
            <w:r w:rsidR="00A344AA" w:rsidRPr="00E37FBE">
              <w:rPr>
                <w:rFonts w:ascii="Times New Roman" w:hAnsi="Times New Roman"/>
                <w:szCs w:val="20"/>
                <w:lang w:eastAsia="en-GB"/>
              </w:rPr>
              <w:t xml:space="preserve"> the average </w:t>
            </w:r>
            <w:r w:rsidR="008509FB" w:rsidRPr="00E37FBE">
              <w:rPr>
                <w:rFonts w:ascii="Times New Roman" w:hAnsi="Times New Roman"/>
                <w:szCs w:val="20"/>
                <w:lang w:eastAsia="en-GB"/>
              </w:rPr>
              <w:t>original</w:t>
            </w:r>
            <w:r w:rsidR="00A344AA" w:rsidRPr="00E37FBE">
              <w:rPr>
                <w:rFonts w:ascii="Times New Roman" w:hAnsi="Times New Roman"/>
                <w:szCs w:val="20"/>
                <w:lang w:eastAsia="en-GB"/>
              </w:rPr>
              <w:t xml:space="preserve"> maturity (in days) of the funding received </w:t>
            </w:r>
            <w:r w:rsidRPr="00E37FBE">
              <w:rPr>
                <w:rFonts w:ascii="Times New Roman" w:hAnsi="Times New Roman"/>
                <w:szCs w:val="20"/>
                <w:lang w:eastAsia="en-GB"/>
              </w:rPr>
              <w:t xml:space="preserve">for </w:t>
            </w:r>
            <w:r w:rsidR="001F6D35" w:rsidRPr="00E37FBE">
              <w:rPr>
                <w:rFonts w:ascii="Times New Roman" w:hAnsi="Times New Roman"/>
                <w:szCs w:val="20"/>
                <w:lang w:eastAsia="en-GB"/>
              </w:rPr>
              <w:t>that</w:t>
            </w:r>
            <w:r w:rsidRPr="00E37FBE">
              <w:rPr>
                <w:rFonts w:ascii="Times New Roman" w:hAnsi="Times New Roman"/>
                <w:szCs w:val="20"/>
                <w:lang w:eastAsia="en-GB"/>
              </w:rPr>
              <w:t xml:space="preserve"> product type. The average shall be size weighted, based on the size of different amounts of funding received in proportion </w:t>
            </w:r>
            <w:r w:rsidR="00A344AA" w:rsidRPr="00E37FBE">
              <w:rPr>
                <w:rFonts w:ascii="Times New Roman" w:hAnsi="Times New Roman"/>
                <w:szCs w:val="20"/>
                <w:lang w:eastAsia="en-GB"/>
              </w:rPr>
              <w:t xml:space="preserve">to </w:t>
            </w:r>
            <w:r w:rsidRPr="00E37FBE">
              <w:rPr>
                <w:rFonts w:ascii="Times New Roman" w:hAnsi="Times New Roman"/>
                <w:szCs w:val="20"/>
                <w:lang w:eastAsia="en-GB"/>
              </w:rPr>
              <w:t xml:space="preserve">the </w:t>
            </w:r>
            <w:r w:rsidR="00A344AA" w:rsidRPr="00E37FBE">
              <w:rPr>
                <w:rFonts w:ascii="Times New Roman" w:hAnsi="Times New Roman"/>
                <w:szCs w:val="20"/>
                <w:lang w:eastAsia="en-GB"/>
              </w:rPr>
              <w:t xml:space="preserve">total funding received from </w:t>
            </w:r>
            <w:r w:rsidRPr="00E37FBE">
              <w:rPr>
                <w:rFonts w:ascii="Times New Roman" w:hAnsi="Times New Roman"/>
                <w:szCs w:val="20"/>
                <w:lang w:eastAsia="en-GB"/>
              </w:rPr>
              <w:t xml:space="preserve">all </w:t>
            </w:r>
            <w:r w:rsidR="00A344AA" w:rsidRPr="00E37FBE">
              <w:rPr>
                <w:rFonts w:ascii="Times New Roman" w:hAnsi="Times New Roman"/>
                <w:szCs w:val="20"/>
                <w:lang w:eastAsia="en-GB"/>
              </w:rPr>
              <w:t>issuance</w:t>
            </w:r>
            <w:r w:rsidRPr="00E37FBE">
              <w:rPr>
                <w:rFonts w:ascii="Times New Roman" w:hAnsi="Times New Roman"/>
                <w:szCs w:val="20"/>
                <w:lang w:eastAsia="en-GB"/>
              </w:rPr>
              <w:t>s</w:t>
            </w:r>
            <w:r w:rsidR="00A344AA" w:rsidRPr="00E37FBE">
              <w:rPr>
                <w:rFonts w:ascii="Times New Roman" w:hAnsi="Times New Roman"/>
                <w:szCs w:val="20"/>
                <w:lang w:eastAsia="en-GB"/>
              </w:rPr>
              <w:t xml:space="preserve"> of that product</w:t>
            </w:r>
            <w:r w:rsidRPr="00E37FBE">
              <w:rPr>
                <w:rFonts w:ascii="Times New Roman" w:hAnsi="Times New Roman"/>
                <w:szCs w:val="20"/>
                <w:lang w:eastAsia="en-GB"/>
              </w:rPr>
              <w:t xml:space="preserve"> type</w:t>
            </w:r>
            <w:r w:rsidR="00A344AA" w:rsidRPr="00E37FBE">
              <w:rPr>
                <w:rFonts w:ascii="Times New Roman" w:hAnsi="Times New Roman"/>
                <w:szCs w:val="20"/>
                <w:lang w:eastAsia="en-GB"/>
              </w:rPr>
              <w:t>.</w:t>
            </w:r>
          </w:p>
        </w:tc>
      </w:tr>
      <w:tr w:rsidR="00A344AA" w:rsidRPr="00E37FBE" w14:paraId="42EE78BF" w14:textId="77777777" w:rsidTr="00ED2EE2">
        <w:trPr>
          <w:trHeight w:val="1020"/>
        </w:trPr>
        <w:tc>
          <w:tcPr>
            <w:tcW w:w="729" w:type="pct"/>
            <w:shd w:val="clear" w:color="auto" w:fill="auto"/>
            <w:noWrap/>
          </w:tcPr>
          <w:p w14:paraId="2FEE2E2D" w14:textId="0191775C" w:rsidR="00A344AA" w:rsidRPr="00E37FBE" w:rsidRDefault="00A344AA" w:rsidP="00ED2EE2">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C90DF5" w:rsidRPr="00E37FBE">
              <w:rPr>
                <w:rFonts w:ascii="Times New Roman" w:hAnsi="Times New Roman"/>
                <w:color w:val="000000"/>
                <w:szCs w:val="20"/>
                <w:lang w:eastAsia="en-GB"/>
              </w:rPr>
              <w:t>0</w:t>
            </w:r>
            <w:r w:rsidRPr="00E37FBE">
              <w:rPr>
                <w:rFonts w:ascii="Times New Roman" w:hAnsi="Times New Roman"/>
                <w:color w:val="000000"/>
                <w:szCs w:val="20"/>
                <w:lang w:eastAsia="en-GB"/>
              </w:rPr>
              <w:t>50</w:t>
            </w:r>
          </w:p>
        </w:tc>
        <w:tc>
          <w:tcPr>
            <w:tcW w:w="4271" w:type="pct"/>
            <w:shd w:val="clear" w:color="auto" w:fill="auto"/>
          </w:tcPr>
          <w:p w14:paraId="5F6E4857" w14:textId="77777777" w:rsidR="00A344AA" w:rsidRPr="00E37FBE" w:rsidRDefault="00A344AA" w:rsidP="00476C32">
            <w:pPr>
              <w:spacing w:before="0" w:after="0"/>
              <w:rPr>
                <w:rFonts w:ascii="Times New Roman" w:hAnsi="Times New Roman"/>
                <w:b/>
                <w:szCs w:val="20"/>
                <w:u w:val="single"/>
                <w:lang w:eastAsia="en-GB"/>
              </w:rPr>
            </w:pPr>
            <w:r w:rsidRPr="00E37FBE">
              <w:rPr>
                <w:rFonts w:ascii="Times New Roman" w:hAnsi="Times New Roman"/>
                <w:b/>
                <w:szCs w:val="20"/>
                <w:u w:val="single"/>
                <w:lang w:eastAsia="en-GB"/>
              </w:rPr>
              <w:t>Weighted average residual maturity</w:t>
            </w:r>
          </w:p>
          <w:p w14:paraId="24DA2333" w14:textId="77777777" w:rsidR="00A344AA" w:rsidRPr="00E37FBE" w:rsidRDefault="00A344AA" w:rsidP="00476C32">
            <w:pPr>
              <w:spacing w:before="0" w:after="0"/>
              <w:rPr>
                <w:rFonts w:ascii="Times New Roman" w:hAnsi="Times New Roman"/>
                <w:b/>
                <w:szCs w:val="20"/>
                <w:u w:val="single"/>
                <w:lang w:eastAsia="en-GB"/>
              </w:rPr>
            </w:pPr>
          </w:p>
          <w:p w14:paraId="5F851D17" w14:textId="279094B5" w:rsidR="00A344AA" w:rsidRPr="00E37FBE" w:rsidRDefault="00A344AA" w:rsidP="00763448">
            <w:pPr>
              <w:spacing w:before="0" w:after="0"/>
              <w:rPr>
                <w:rFonts w:ascii="Times New Roman" w:hAnsi="Times New Roman"/>
                <w:szCs w:val="20"/>
                <w:lang w:eastAsia="en-GB"/>
              </w:rPr>
            </w:pPr>
            <w:r w:rsidRPr="00E37FBE">
              <w:rPr>
                <w:rFonts w:ascii="Times New Roman" w:hAnsi="Times New Roman"/>
                <w:szCs w:val="20"/>
                <w:lang w:eastAsia="en-GB"/>
              </w:rPr>
              <w:t xml:space="preserve">For the amount of funding received reported in column </w:t>
            </w:r>
            <w:r w:rsidR="00C90DF5" w:rsidRPr="00E37FBE">
              <w:rPr>
                <w:rFonts w:ascii="Times New Roman" w:hAnsi="Times New Roman"/>
                <w:szCs w:val="20"/>
                <w:lang w:eastAsia="en-GB"/>
              </w:rPr>
              <w:t>0</w:t>
            </w:r>
            <w:r w:rsidRPr="00E37FBE">
              <w:rPr>
                <w:rFonts w:ascii="Times New Roman" w:hAnsi="Times New Roman"/>
                <w:szCs w:val="20"/>
                <w:lang w:eastAsia="en-GB"/>
              </w:rPr>
              <w:t xml:space="preserve">010, from the product </w:t>
            </w:r>
            <w:r w:rsidR="008E720B" w:rsidRPr="00E37FBE">
              <w:rPr>
                <w:rFonts w:ascii="Times New Roman" w:hAnsi="Times New Roman"/>
                <w:szCs w:val="20"/>
                <w:lang w:eastAsia="en-GB"/>
              </w:rPr>
              <w:t xml:space="preserve">types </w:t>
            </w:r>
            <w:r w:rsidRPr="00E37FBE">
              <w:rPr>
                <w:rFonts w:ascii="Times New Roman" w:hAnsi="Times New Roman"/>
                <w:szCs w:val="20"/>
                <w:lang w:eastAsia="en-GB"/>
              </w:rPr>
              <w:t xml:space="preserve">listed in the </w:t>
            </w:r>
            <w:r w:rsidR="00FA63BD" w:rsidRPr="00E37FBE">
              <w:rPr>
                <w:rFonts w:ascii="Times New Roman" w:hAnsi="Times New Roman"/>
                <w:szCs w:val="20"/>
                <w:lang w:eastAsia="en-GB"/>
              </w:rPr>
              <w:t>‘</w:t>
            </w:r>
            <w:r w:rsidRPr="00E37FBE">
              <w:rPr>
                <w:rFonts w:ascii="Times New Roman" w:hAnsi="Times New Roman"/>
                <w:szCs w:val="20"/>
                <w:lang w:eastAsia="en-GB"/>
              </w:rPr>
              <w:t>Product name</w:t>
            </w:r>
            <w:r w:rsidR="00FA63BD" w:rsidRPr="00E37FBE">
              <w:rPr>
                <w:rFonts w:ascii="Times New Roman" w:hAnsi="Times New Roman"/>
                <w:szCs w:val="20"/>
                <w:lang w:eastAsia="en-GB"/>
              </w:rPr>
              <w:t>’</w:t>
            </w:r>
            <w:r w:rsidRPr="00E37FBE">
              <w:rPr>
                <w:rFonts w:ascii="Times New Roman" w:hAnsi="Times New Roman"/>
                <w:szCs w:val="20"/>
                <w:lang w:eastAsia="en-GB"/>
              </w:rPr>
              <w:t xml:space="preserve"> column, a weighted average residual maturity (in days) for that funding shall be recorded in column </w:t>
            </w:r>
            <w:r w:rsidR="00C90DF5" w:rsidRPr="00E37FBE">
              <w:rPr>
                <w:rFonts w:ascii="Times New Roman" w:hAnsi="Times New Roman"/>
                <w:szCs w:val="20"/>
                <w:lang w:eastAsia="en-GB"/>
              </w:rPr>
              <w:t>0</w:t>
            </w:r>
            <w:r w:rsidRPr="00E37FBE">
              <w:rPr>
                <w:rFonts w:ascii="Times New Roman" w:hAnsi="Times New Roman"/>
                <w:szCs w:val="20"/>
                <w:lang w:eastAsia="en-GB"/>
              </w:rPr>
              <w:t>050.</w:t>
            </w:r>
          </w:p>
          <w:p w14:paraId="10B9D2BA" w14:textId="77777777" w:rsidR="00A344AA" w:rsidRPr="00E37FBE" w:rsidRDefault="00A344AA" w:rsidP="00490B62">
            <w:pPr>
              <w:spacing w:before="0" w:after="0"/>
              <w:rPr>
                <w:rFonts w:ascii="Times New Roman" w:hAnsi="Times New Roman"/>
                <w:szCs w:val="20"/>
                <w:lang w:eastAsia="en-GB"/>
              </w:rPr>
            </w:pPr>
          </w:p>
          <w:p w14:paraId="7D5D34BD" w14:textId="7C13E3AC" w:rsidR="00A344AA" w:rsidRPr="00E37FBE" w:rsidRDefault="00B06740" w:rsidP="00476C32">
            <w:pPr>
              <w:spacing w:before="0" w:after="0"/>
              <w:rPr>
                <w:rFonts w:ascii="Times New Roman" w:hAnsi="Times New Roman"/>
                <w:szCs w:val="20"/>
                <w:lang w:eastAsia="en-GB"/>
              </w:rPr>
            </w:pPr>
            <w:r w:rsidRPr="00E37FBE">
              <w:rPr>
                <w:rFonts w:ascii="Times New Roman" w:hAnsi="Times New Roman"/>
                <w:szCs w:val="20"/>
                <w:lang w:eastAsia="en-GB"/>
              </w:rPr>
              <w:t>The w</w:t>
            </w:r>
            <w:r w:rsidR="00A344AA" w:rsidRPr="00E37FBE">
              <w:rPr>
                <w:rFonts w:ascii="Times New Roman" w:hAnsi="Times New Roman"/>
                <w:szCs w:val="20"/>
                <w:lang w:eastAsia="en-GB"/>
              </w:rPr>
              <w:t>eighted average residual maturity</w:t>
            </w:r>
            <w:r w:rsidRPr="00E37FBE">
              <w:rPr>
                <w:rFonts w:ascii="Times New Roman" w:hAnsi="Times New Roman"/>
                <w:szCs w:val="20"/>
                <w:lang w:eastAsia="en-GB"/>
              </w:rPr>
              <w:t xml:space="preserve"> shall be calculated as</w:t>
            </w:r>
            <w:r w:rsidR="00A344AA" w:rsidRPr="00E37FBE">
              <w:rPr>
                <w:rFonts w:ascii="Times New Roman" w:hAnsi="Times New Roman"/>
                <w:szCs w:val="20"/>
                <w:lang w:eastAsia="en-GB"/>
              </w:rPr>
              <w:t xml:space="preserve"> the average maturity (in days) left on the funding received</w:t>
            </w:r>
            <w:r w:rsidRPr="00E37FBE">
              <w:rPr>
                <w:rFonts w:ascii="Times New Roman" w:hAnsi="Times New Roman"/>
                <w:szCs w:val="20"/>
                <w:lang w:eastAsia="en-GB"/>
              </w:rPr>
              <w:t xml:space="preserve"> for </w:t>
            </w:r>
            <w:r w:rsidR="001F6D35" w:rsidRPr="00E37FBE">
              <w:rPr>
                <w:rFonts w:ascii="Times New Roman" w:hAnsi="Times New Roman"/>
                <w:szCs w:val="20"/>
                <w:lang w:eastAsia="en-GB"/>
              </w:rPr>
              <w:t>that</w:t>
            </w:r>
            <w:r w:rsidRPr="00E37FBE">
              <w:rPr>
                <w:rFonts w:ascii="Times New Roman" w:hAnsi="Times New Roman"/>
                <w:szCs w:val="20"/>
                <w:lang w:eastAsia="en-GB"/>
              </w:rPr>
              <w:t xml:space="preserve"> product type. The average shall be size weighted, based on the size of different amounts of funding received in proportion</w:t>
            </w:r>
            <w:r w:rsidR="00A344AA" w:rsidRPr="00E37FBE">
              <w:rPr>
                <w:rFonts w:ascii="Times New Roman" w:hAnsi="Times New Roman"/>
                <w:szCs w:val="20"/>
                <w:lang w:eastAsia="en-GB"/>
              </w:rPr>
              <w:t>, to</w:t>
            </w:r>
            <w:r w:rsidRPr="00E37FBE">
              <w:rPr>
                <w:rFonts w:ascii="Times New Roman" w:hAnsi="Times New Roman"/>
                <w:szCs w:val="20"/>
                <w:lang w:eastAsia="en-GB"/>
              </w:rPr>
              <w:t xml:space="preserve"> the</w:t>
            </w:r>
            <w:r w:rsidR="00A344AA" w:rsidRPr="00E37FBE">
              <w:rPr>
                <w:rFonts w:ascii="Times New Roman" w:hAnsi="Times New Roman"/>
                <w:szCs w:val="20"/>
                <w:lang w:eastAsia="en-GB"/>
              </w:rPr>
              <w:t xml:space="preserve"> total funding received from </w:t>
            </w:r>
            <w:r w:rsidRPr="00E37FBE">
              <w:rPr>
                <w:rFonts w:ascii="Times New Roman" w:hAnsi="Times New Roman"/>
                <w:szCs w:val="20"/>
                <w:lang w:eastAsia="en-GB"/>
              </w:rPr>
              <w:t xml:space="preserve">all </w:t>
            </w:r>
            <w:r w:rsidR="00A344AA" w:rsidRPr="00E37FBE">
              <w:rPr>
                <w:rFonts w:ascii="Times New Roman" w:hAnsi="Times New Roman"/>
                <w:szCs w:val="20"/>
                <w:lang w:eastAsia="en-GB"/>
              </w:rPr>
              <w:t>issuance</w:t>
            </w:r>
            <w:r w:rsidRPr="00E37FBE">
              <w:rPr>
                <w:rFonts w:ascii="Times New Roman" w:hAnsi="Times New Roman"/>
                <w:szCs w:val="20"/>
                <w:lang w:eastAsia="en-GB"/>
              </w:rPr>
              <w:t>s</w:t>
            </w:r>
            <w:r w:rsidR="00A344AA" w:rsidRPr="00E37FBE">
              <w:rPr>
                <w:rFonts w:ascii="Times New Roman" w:hAnsi="Times New Roman"/>
                <w:szCs w:val="20"/>
                <w:lang w:eastAsia="en-GB"/>
              </w:rPr>
              <w:t xml:space="preserve"> of that product</w:t>
            </w:r>
            <w:r w:rsidRPr="00E37FBE">
              <w:rPr>
                <w:rFonts w:ascii="Times New Roman" w:hAnsi="Times New Roman"/>
                <w:szCs w:val="20"/>
                <w:lang w:eastAsia="en-GB"/>
              </w:rPr>
              <w:t xml:space="preserve"> type</w:t>
            </w:r>
            <w:r w:rsidR="00A344AA" w:rsidRPr="00E37FBE">
              <w:rPr>
                <w:rFonts w:ascii="Times New Roman" w:hAnsi="Times New Roman"/>
                <w:szCs w:val="20"/>
                <w:lang w:eastAsia="en-GB"/>
              </w:rPr>
              <w:t>.</w:t>
            </w:r>
          </w:p>
          <w:p w14:paraId="7FC1A546" w14:textId="77777777" w:rsidR="00A344AA" w:rsidRPr="00E37FBE" w:rsidRDefault="00A344AA" w:rsidP="00476C32">
            <w:pPr>
              <w:spacing w:before="0" w:after="0"/>
              <w:rPr>
                <w:rFonts w:ascii="Times New Roman" w:hAnsi="Times New Roman"/>
                <w:b/>
                <w:szCs w:val="20"/>
                <w:u w:val="single"/>
                <w:lang w:eastAsia="en-GB"/>
              </w:rPr>
            </w:pPr>
          </w:p>
        </w:tc>
      </w:tr>
    </w:tbl>
    <w:p w14:paraId="46B6DB4F" w14:textId="77777777" w:rsidR="00A344AA" w:rsidRPr="00E37FBE" w:rsidRDefault="00A344AA"/>
    <w:p w14:paraId="079161C6" w14:textId="77777777" w:rsidR="00D02FE4" w:rsidRPr="00E37FBE" w:rsidRDefault="00181260" w:rsidP="00DD5897">
      <w:pPr>
        <w:pStyle w:val="Instructionsberschrift2"/>
        <w:numPr>
          <w:ilvl w:val="1"/>
          <w:numId w:val="2"/>
        </w:numPr>
        <w:spacing w:before="0"/>
        <w:rPr>
          <w:rFonts w:ascii="Times New Roman" w:hAnsi="Times New Roman" w:cs="Times New Roman"/>
          <w:szCs w:val="20"/>
        </w:rPr>
      </w:pPr>
      <w:r w:rsidRPr="00E37FBE">
        <w:rPr>
          <w:rFonts w:ascii="Times New Roman" w:hAnsi="Times New Roman" w:cs="Times New Roman"/>
          <w:szCs w:val="20"/>
        </w:rPr>
        <w:t>Prices for Various Lengths of Funding</w:t>
      </w:r>
      <w:r w:rsidR="00AC3BFE" w:rsidRPr="00E37FBE">
        <w:rPr>
          <w:rFonts w:ascii="Times New Roman" w:hAnsi="Times New Roman" w:cs="Times New Roman"/>
          <w:szCs w:val="20"/>
        </w:rPr>
        <w:t xml:space="preserve"> (C 69.00)</w:t>
      </w:r>
    </w:p>
    <w:p w14:paraId="691ACAEA" w14:textId="381B9664" w:rsidR="002C154A" w:rsidRPr="00E37FBE" w:rsidRDefault="00DD76F0" w:rsidP="00927DCB">
      <w:pPr>
        <w:pStyle w:val="InstructionsText2"/>
        <w:numPr>
          <w:ilvl w:val="0"/>
          <w:numId w:val="7"/>
        </w:numPr>
        <w:rPr>
          <w:u w:val="none"/>
        </w:rPr>
      </w:pPr>
      <w:r w:rsidRPr="00E37FBE">
        <w:rPr>
          <w:u w:val="none"/>
        </w:rPr>
        <w:t>Institutions shall report the</w:t>
      </w:r>
      <w:r w:rsidR="0019013A" w:rsidRPr="00E37FBE">
        <w:rPr>
          <w:u w:val="none"/>
        </w:rPr>
        <w:t xml:space="preserve"> information</w:t>
      </w:r>
      <w:r w:rsidR="00684947" w:rsidRPr="00E37FBE">
        <w:rPr>
          <w:u w:val="none"/>
        </w:rPr>
        <w:t xml:space="preserve"> </w:t>
      </w:r>
      <w:r w:rsidR="0019013A" w:rsidRPr="00E37FBE">
        <w:rPr>
          <w:u w:val="none"/>
        </w:rPr>
        <w:t>about the transaction volume and prices paid by institutions for funding</w:t>
      </w:r>
      <w:r w:rsidR="00A7682F" w:rsidRPr="00E37FBE">
        <w:rPr>
          <w:u w:val="none"/>
        </w:rPr>
        <w:t xml:space="preserve"> obtained during the reporting period and still present at the end of the reporting </w:t>
      </w:r>
      <w:r w:rsidR="003D2F58" w:rsidRPr="00E37FBE">
        <w:rPr>
          <w:u w:val="none"/>
        </w:rPr>
        <w:t>period</w:t>
      </w:r>
      <w:r w:rsidR="0019013A" w:rsidRPr="00E37FBE">
        <w:rPr>
          <w:u w:val="none"/>
        </w:rPr>
        <w:t xml:space="preserve"> </w:t>
      </w:r>
      <w:r w:rsidR="008E1DE8" w:rsidRPr="00E37FBE">
        <w:rPr>
          <w:u w:val="none"/>
        </w:rPr>
        <w:t xml:space="preserve">in template C 69.00 </w:t>
      </w:r>
      <w:r w:rsidR="00684947" w:rsidRPr="00E37FBE">
        <w:rPr>
          <w:u w:val="none"/>
        </w:rPr>
        <w:t xml:space="preserve">in accordance </w:t>
      </w:r>
      <w:r w:rsidR="0019013A" w:rsidRPr="00E37FBE">
        <w:rPr>
          <w:u w:val="none"/>
        </w:rPr>
        <w:t xml:space="preserve">with the following </w:t>
      </w:r>
      <w:r w:rsidR="00B47B29" w:rsidRPr="00E37FBE">
        <w:rPr>
          <w:u w:val="none"/>
        </w:rPr>
        <w:t xml:space="preserve">original </w:t>
      </w:r>
      <w:r w:rsidR="0019013A" w:rsidRPr="00E37FBE">
        <w:rPr>
          <w:u w:val="none"/>
        </w:rPr>
        <w:t>maturities:</w:t>
      </w:r>
    </w:p>
    <w:p w14:paraId="43E76F50" w14:textId="4AC64B2B" w:rsidR="0019013A" w:rsidRPr="00E37FBE" w:rsidRDefault="00C13077" w:rsidP="00927DCB">
      <w:pPr>
        <w:pStyle w:val="InstructionsText2"/>
        <w:numPr>
          <w:ilvl w:val="1"/>
          <w:numId w:val="13"/>
        </w:numPr>
        <w:ind w:left="993" w:hanging="284"/>
        <w:rPr>
          <w:u w:val="none"/>
        </w:rPr>
      </w:pPr>
      <w:r w:rsidRPr="00E37FBE">
        <w:rPr>
          <w:u w:val="none"/>
        </w:rPr>
        <w:tab/>
      </w:r>
      <w:r w:rsidR="00684947" w:rsidRPr="00E37FBE">
        <w:rPr>
          <w:u w:val="none"/>
        </w:rPr>
        <w:t xml:space="preserve">overnight in </w:t>
      </w:r>
      <w:r w:rsidR="0019013A" w:rsidRPr="00E37FBE">
        <w:rPr>
          <w:u w:val="none"/>
        </w:rPr>
        <w:t xml:space="preserve">columns </w:t>
      </w:r>
      <w:r w:rsidR="00AF1439" w:rsidRPr="00E37FBE">
        <w:rPr>
          <w:u w:val="none"/>
        </w:rPr>
        <w:t>0</w:t>
      </w:r>
      <w:r w:rsidR="00C90DF5" w:rsidRPr="00E37FBE">
        <w:rPr>
          <w:u w:val="none"/>
        </w:rPr>
        <w:t>0</w:t>
      </w:r>
      <w:r w:rsidR="00AF1439" w:rsidRPr="00E37FBE">
        <w:rPr>
          <w:u w:val="none"/>
        </w:rPr>
        <w:t>10 and 0</w:t>
      </w:r>
      <w:r w:rsidR="00C90DF5" w:rsidRPr="00E37FBE">
        <w:rPr>
          <w:u w:val="none"/>
        </w:rPr>
        <w:t>0</w:t>
      </w:r>
      <w:r w:rsidR="00AF1439" w:rsidRPr="00E37FBE">
        <w:rPr>
          <w:u w:val="none"/>
        </w:rPr>
        <w:t>20</w:t>
      </w:r>
      <w:r w:rsidR="00684947" w:rsidRPr="00E37FBE">
        <w:rPr>
          <w:u w:val="none"/>
        </w:rPr>
        <w:t>;</w:t>
      </w:r>
    </w:p>
    <w:p w14:paraId="20A63704" w14:textId="215042ED" w:rsidR="0019013A" w:rsidRPr="00E37FBE" w:rsidRDefault="00325582" w:rsidP="00927DCB">
      <w:pPr>
        <w:pStyle w:val="InstructionsText2"/>
        <w:numPr>
          <w:ilvl w:val="0"/>
          <w:numId w:val="0"/>
        </w:numPr>
        <w:ind w:left="714"/>
        <w:rPr>
          <w:u w:val="none"/>
        </w:rPr>
      </w:pPr>
      <w:r w:rsidRPr="00E37FBE">
        <w:rPr>
          <w:u w:val="none"/>
        </w:rPr>
        <w:t>(b)</w:t>
      </w:r>
      <w:r w:rsidRPr="00E37FBE">
        <w:rPr>
          <w:u w:val="none"/>
        </w:rPr>
        <w:tab/>
      </w:r>
      <w:r w:rsidR="00684947" w:rsidRPr="00E37FBE">
        <w:rPr>
          <w:u w:val="none"/>
        </w:rPr>
        <w:t>g</w:t>
      </w:r>
      <w:r w:rsidRPr="00E37FBE">
        <w:rPr>
          <w:u w:val="none"/>
        </w:rPr>
        <w:t xml:space="preserve">reater than overnight and less than or equal to 1 week </w:t>
      </w:r>
      <w:r w:rsidR="009C2EFD" w:rsidRPr="00E37FBE">
        <w:rPr>
          <w:u w:val="none"/>
        </w:rPr>
        <w:t xml:space="preserve">in </w:t>
      </w:r>
      <w:r w:rsidR="0019013A" w:rsidRPr="00E37FBE">
        <w:rPr>
          <w:u w:val="none"/>
        </w:rPr>
        <w:t xml:space="preserve">columns </w:t>
      </w:r>
      <w:r w:rsidR="00C90DF5" w:rsidRPr="00E37FBE">
        <w:rPr>
          <w:u w:val="none"/>
        </w:rPr>
        <w:t>0</w:t>
      </w:r>
      <w:r w:rsidR="00AF1439" w:rsidRPr="00E37FBE">
        <w:rPr>
          <w:u w:val="none"/>
        </w:rPr>
        <w:t>030 and 0</w:t>
      </w:r>
      <w:r w:rsidR="00C90DF5" w:rsidRPr="00E37FBE">
        <w:rPr>
          <w:u w:val="none"/>
        </w:rPr>
        <w:t>0</w:t>
      </w:r>
      <w:r w:rsidR="00AF1439" w:rsidRPr="00E37FBE">
        <w:rPr>
          <w:u w:val="none"/>
        </w:rPr>
        <w:t>40</w:t>
      </w:r>
      <w:r w:rsidR="009C2EFD" w:rsidRPr="00E37FBE">
        <w:rPr>
          <w:u w:val="none"/>
        </w:rPr>
        <w:t>;</w:t>
      </w:r>
    </w:p>
    <w:p w14:paraId="23995DF6" w14:textId="5ED92FC7" w:rsidR="0019013A" w:rsidRPr="00E37FBE" w:rsidRDefault="00325582" w:rsidP="00927DCB">
      <w:pPr>
        <w:pStyle w:val="InstructionsText2"/>
        <w:numPr>
          <w:ilvl w:val="0"/>
          <w:numId w:val="0"/>
        </w:numPr>
        <w:ind w:left="714"/>
        <w:rPr>
          <w:u w:val="none"/>
        </w:rPr>
      </w:pPr>
      <w:r w:rsidRPr="00E37FBE">
        <w:rPr>
          <w:u w:val="none"/>
        </w:rPr>
        <w:t>(c)</w:t>
      </w:r>
      <w:r w:rsidRPr="00E37FBE">
        <w:rPr>
          <w:u w:val="none"/>
        </w:rPr>
        <w:tab/>
      </w:r>
      <w:r w:rsidR="00684947" w:rsidRPr="00E37FBE">
        <w:rPr>
          <w:u w:val="none"/>
        </w:rPr>
        <w:t>g</w:t>
      </w:r>
      <w:r w:rsidRPr="00E37FBE">
        <w:rPr>
          <w:u w:val="none"/>
        </w:rPr>
        <w:t xml:space="preserve">reater than 1 week and less than or equal to 1 month </w:t>
      </w:r>
      <w:r w:rsidR="00684947" w:rsidRPr="00E37FBE">
        <w:rPr>
          <w:u w:val="none"/>
        </w:rPr>
        <w:t xml:space="preserve">in </w:t>
      </w:r>
      <w:r w:rsidR="0019013A" w:rsidRPr="00E37FBE">
        <w:rPr>
          <w:u w:val="none"/>
        </w:rPr>
        <w:t xml:space="preserve">columns </w:t>
      </w:r>
      <w:r w:rsidR="00AF1439" w:rsidRPr="00E37FBE">
        <w:rPr>
          <w:u w:val="none"/>
        </w:rPr>
        <w:t>0</w:t>
      </w:r>
      <w:r w:rsidR="00C90DF5" w:rsidRPr="00E37FBE">
        <w:rPr>
          <w:u w:val="none"/>
        </w:rPr>
        <w:t>0</w:t>
      </w:r>
      <w:r w:rsidR="00AF1439" w:rsidRPr="00E37FBE">
        <w:rPr>
          <w:u w:val="none"/>
        </w:rPr>
        <w:t>50 and 0</w:t>
      </w:r>
      <w:r w:rsidR="00C90DF5" w:rsidRPr="00E37FBE">
        <w:rPr>
          <w:u w:val="none"/>
        </w:rPr>
        <w:t>0</w:t>
      </w:r>
      <w:r w:rsidR="00AF1439" w:rsidRPr="00E37FBE">
        <w:rPr>
          <w:u w:val="none"/>
        </w:rPr>
        <w:t>60</w:t>
      </w:r>
      <w:r w:rsidR="00684947" w:rsidRPr="00E37FBE">
        <w:rPr>
          <w:u w:val="none"/>
        </w:rPr>
        <w:t>;</w:t>
      </w:r>
    </w:p>
    <w:p w14:paraId="4DB6611C" w14:textId="459C7F5D" w:rsidR="0019013A" w:rsidRPr="00E37FBE" w:rsidRDefault="00325582" w:rsidP="00927DCB">
      <w:pPr>
        <w:pStyle w:val="InstructionsText2"/>
        <w:numPr>
          <w:ilvl w:val="0"/>
          <w:numId w:val="0"/>
        </w:numPr>
        <w:ind w:left="714"/>
        <w:rPr>
          <w:u w:val="none"/>
        </w:rPr>
      </w:pPr>
      <w:r w:rsidRPr="00E37FBE">
        <w:rPr>
          <w:u w:val="none"/>
        </w:rPr>
        <w:t>(d)</w:t>
      </w:r>
      <w:r w:rsidRPr="00E37FBE">
        <w:rPr>
          <w:u w:val="none"/>
        </w:rPr>
        <w:tab/>
      </w:r>
      <w:r w:rsidR="00684947" w:rsidRPr="00E37FBE">
        <w:rPr>
          <w:u w:val="none"/>
        </w:rPr>
        <w:t>g</w:t>
      </w:r>
      <w:r w:rsidRPr="00E37FBE">
        <w:rPr>
          <w:u w:val="none"/>
        </w:rPr>
        <w:t xml:space="preserve">reater than 1 month and less than or equal to 3 months </w:t>
      </w:r>
      <w:r w:rsidR="00684947" w:rsidRPr="00E37FBE">
        <w:rPr>
          <w:u w:val="none"/>
        </w:rPr>
        <w:t xml:space="preserve">in </w:t>
      </w:r>
      <w:r w:rsidR="0019013A" w:rsidRPr="00E37FBE">
        <w:rPr>
          <w:u w:val="none"/>
        </w:rPr>
        <w:t xml:space="preserve">columns </w:t>
      </w:r>
      <w:r w:rsidR="00AF1439" w:rsidRPr="00E37FBE">
        <w:rPr>
          <w:u w:val="none"/>
        </w:rPr>
        <w:t>0</w:t>
      </w:r>
      <w:r w:rsidR="00C90DF5" w:rsidRPr="00E37FBE">
        <w:rPr>
          <w:u w:val="none"/>
        </w:rPr>
        <w:t>0</w:t>
      </w:r>
      <w:r w:rsidR="00AF1439" w:rsidRPr="00E37FBE">
        <w:rPr>
          <w:u w:val="none"/>
        </w:rPr>
        <w:t>70 and 0</w:t>
      </w:r>
      <w:r w:rsidR="00C90DF5" w:rsidRPr="00E37FBE">
        <w:rPr>
          <w:u w:val="none"/>
        </w:rPr>
        <w:t>0</w:t>
      </w:r>
      <w:r w:rsidR="00AF1439" w:rsidRPr="00E37FBE">
        <w:rPr>
          <w:u w:val="none"/>
        </w:rPr>
        <w:t>80</w:t>
      </w:r>
      <w:r w:rsidR="00684947" w:rsidRPr="00E37FBE">
        <w:rPr>
          <w:u w:val="none"/>
        </w:rPr>
        <w:t>;</w:t>
      </w:r>
    </w:p>
    <w:p w14:paraId="68B85898" w14:textId="7209A964" w:rsidR="0019013A" w:rsidRPr="00E37FBE" w:rsidRDefault="00325582" w:rsidP="00927DCB">
      <w:pPr>
        <w:pStyle w:val="InstructionsText2"/>
        <w:numPr>
          <w:ilvl w:val="0"/>
          <w:numId w:val="0"/>
        </w:numPr>
        <w:ind w:left="714"/>
        <w:rPr>
          <w:u w:val="none"/>
        </w:rPr>
      </w:pPr>
      <w:r w:rsidRPr="00E37FBE">
        <w:rPr>
          <w:u w:val="none"/>
        </w:rPr>
        <w:t>(e)</w:t>
      </w:r>
      <w:r w:rsidRPr="00E37FBE">
        <w:rPr>
          <w:u w:val="none"/>
        </w:rPr>
        <w:tab/>
      </w:r>
      <w:r w:rsidR="00684947" w:rsidRPr="00E37FBE">
        <w:rPr>
          <w:u w:val="none"/>
        </w:rPr>
        <w:t>g</w:t>
      </w:r>
      <w:r w:rsidRPr="00E37FBE">
        <w:rPr>
          <w:u w:val="none"/>
        </w:rPr>
        <w:t>reater than 3 months and less than or equal to 6 months</w:t>
      </w:r>
      <w:r w:rsidRPr="00E37FBE" w:rsidDel="00325582">
        <w:rPr>
          <w:u w:val="none"/>
        </w:rPr>
        <w:t xml:space="preserve"> </w:t>
      </w:r>
      <w:r w:rsidR="00684947" w:rsidRPr="00E37FBE">
        <w:rPr>
          <w:u w:val="none"/>
        </w:rPr>
        <w:t xml:space="preserve">in </w:t>
      </w:r>
      <w:r w:rsidR="0019013A" w:rsidRPr="00E37FBE">
        <w:rPr>
          <w:u w:val="none"/>
        </w:rPr>
        <w:t xml:space="preserve">columns </w:t>
      </w:r>
      <w:r w:rsidR="00C90DF5" w:rsidRPr="00E37FBE">
        <w:rPr>
          <w:u w:val="none"/>
        </w:rPr>
        <w:t>0</w:t>
      </w:r>
      <w:r w:rsidR="00AF1439" w:rsidRPr="00E37FBE">
        <w:rPr>
          <w:u w:val="none"/>
        </w:rPr>
        <w:t xml:space="preserve">090 and </w:t>
      </w:r>
      <w:r w:rsidR="00C90DF5" w:rsidRPr="00E37FBE">
        <w:rPr>
          <w:u w:val="none"/>
        </w:rPr>
        <w:t>0</w:t>
      </w:r>
      <w:r w:rsidR="00AF1439" w:rsidRPr="00E37FBE">
        <w:rPr>
          <w:u w:val="none"/>
        </w:rPr>
        <w:t>100</w:t>
      </w:r>
      <w:r w:rsidR="00684947" w:rsidRPr="00E37FBE">
        <w:rPr>
          <w:u w:val="none"/>
        </w:rPr>
        <w:t>;</w:t>
      </w:r>
    </w:p>
    <w:p w14:paraId="032BAEDE" w14:textId="28ACEB9C" w:rsidR="00172727" w:rsidRPr="00E37FBE" w:rsidRDefault="00325582" w:rsidP="00927DCB">
      <w:pPr>
        <w:pStyle w:val="InstructionsText2"/>
        <w:numPr>
          <w:ilvl w:val="0"/>
          <w:numId w:val="0"/>
        </w:numPr>
        <w:ind w:left="714"/>
        <w:rPr>
          <w:u w:val="none"/>
        </w:rPr>
      </w:pPr>
      <w:r w:rsidRPr="00E37FBE">
        <w:rPr>
          <w:u w:val="none"/>
        </w:rPr>
        <w:t>(f)</w:t>
      </w:r>
      <w:r w:rsidRPr="00E37FBE">
        <w:rPr>
          <w:u w:val="none"/>
        </w:rPr>
        <w:tab/>
      </w:r>
      <w:r w:rsidR="00684947" w:rsidRPr="00E37FBE">
        <w:rPr>
          <w:u w:val="none"/>
        </w:rPr>
        <w:t>g</w:t>
      </w:r>
      <w:r w:rsidRPr="00E37FBE">
        <w:rPr>
          <w:u w:val="none"/>
        </w:rPr>
        <w:t xml:space="preserve">reater than 6 months and less than or equal to 1 year </w:t>
      </w:r>
      <w:r w:rsidR="00684947" w:rsidRPr="00E37FBE">
        <w:rPr>
          <w:u w:val="none"/>
        </w:rPr>
        <w:t xml:space="preserve">in </w:t>
      </w:r>
      <w:r w:rsidR="00172727" w:rsidRPr="00E37FBE">
        <w:rPr>
          <w:u w:val="none"/>
        </w:rPr>
        <w:t xml:space="preserve">columns </w:t>
      </w:r>
      <w:r w:rsidR="00C90DF5" w:rsidRPr="00E37FBE">
        <w:rPr>
          <w:u w:val="none"/>
        </w:rPr>
        <w:t>0</w:t>
      </w:r>
      <w:r w:rsidR="00AF1439" w:rsidRPr="00E37FBE">
        <w:rPr>
          <w:u w:val="none"/>
        </w:rPr>
        <w:t xml:space="preserve">110 and </w:t>
      </w:r>
      <w:r w:rsidR="00C90DF5" w:rsidRPr="00E37FBE">
        <w:rPr>
          <w:u w:val="none"/>
        </w:rPr>
        <w:t>0</w:t>
      </w:r>
      <w:r w:rsidR="00AF1439" w:rsidRPr="00E37FBE">
        <w:rPr>
          <w:u w:val="none"/>
        </w:rPr>
        <w:t>120</w:t>
      </w:r>
      <w:r w:rsidR="00684947" w:rsidRPr="00E37FBE">
        <w:rPr>
          <w:u w:val="none"/>
        </w:rPr>
        <w:t>;</w:t>
      </w:r>
    </w:p>
    <w:p w14:paraId="3DE0207D" w14:textId="4293226F" w:rsidR="0019013A" w:rsidRPr="00E37FBE" w:rsidRDefault="00325582" w:rsidP="00927DCB">
      <w:pPr>
        <w:pStyle w:val="InstructionsText2"/>
        <w:numPr>
          <w:ilvl w:val="0"/>
          <w:numId w:val="0"/>
        </w:numPr>
        <w:ind w:left="714"/>
        <w:rPr>
          <w:u w:val="none"/>
        </w:rPr>
      </w:pPr>
      <w:r w:rsidRPr="00E37FBE">
        <w:rPr>
          <w:u w:val="none"/>
        </w:rPr>
        <w:t>(g)</w:t>
      </w:r>
      <w:r w:rsidRPr="00E37FBE">
        <w:rPr>
          <w:u w:val="none"/>
        </w:rPr>
        <w:tab/>
      </w:r>
      <w:r w:rsidR="00684947" w:rsidRPr="00E37FBE">
        <w:rPr>
          <w:u w:val="none"/>
        </w:rPr>
        <w:t>g</w:t>
      </w:r>
      <w:r w:rsidRPr="00E37FBE">
        <w:rPr>
          <w:u w:val="none"/>
        </w:rPr>
        <w:t>reater than 1 year and less than or equal to 2 years</w:t>
      </w:r>
      <w:r w:rsidRPr="00E37FBE" w:rsidDel="00325582">
        <w:rPr>
          <w:u w:val="none"/>
        </w:rPr>
        <w:t xml:space="preserve"> </w:t>
      </w:r>
      <w:r w:rsidR="00684947" w:rsidRPr="00E37FBE">
        <w:rPr>
          <w:u w:val="none"/>
        </w:rPr>
        <w:t xml:space="preserve">in </w:t>
      </w:r>
      <w:r w:rsidR="00172727" w:rsidRPr="00E37FBE">
        <w:rPr>
          <w:u w:val="none"/>
        </w:rPr>
        <w:t xml:space="preserve">columns </w:t>
      </w:r>
      <w:r w:rsidR="00C90DF5" w:rsidRPr="00E37FBE">
        <w:rPr>
          <w:u w:val="none"/>
        </w:rPr>
        <w:t>0</w:t>
      </w:r>
      <w:r w:rsidR="00AF1439" w:rsidRPr="00E37FBE">
        <w:rPr>
          <w:u w:val="none"/>
        </w:rPr>
        <w:t xml:space="preserve">130 and </w:t>
      </w:r>
      <w:r w:rsidR="00C90DF5" w:rsidRPr="00E37FBE">
        <w:rPr>
          <w:u w:val="none"/>
        </w:rPr>
        <w:t>0</w:t>
      </w:r>
      <w:r w:rsidR="00AF1439" w:rsidRPr="00E37FBE">
        <w:rPr>
          <w:u w:val="none"/>
        </w:rPr>
        <w:t>140</w:t>
      </w:r>
      <w:r w:rsidR="00684947" w:rsidRPr="00E37FBE">
        <w:rPr>
          <w:u w:val="none"/>
        </w:rPr>
        <w:t>;</w:t>
      </w:r>
    </w:p>
    <w:p w14:paraId="5A4B2AD6" w14:textId="735BD35C" w:rsidR="0019013A" w:rsidRPr="00E37FBE" w:rsidRDefault="00325582" w:rsidP="00927DCB">
      <w:pPr>
        <w:pStyle w:val="InstructionsText2"/>
        <w:numPr>
          <w:ilvl w:val="0"/>
          <w:numId w:val="0"/>
        </w:numPr>
        <w:ind w:left="714"/>
        <w:rPr>
          <w:u w:val="none"/>
        </w:rPr>
      </w:pPr>
      <w:r w:rsidRPr="00E37FBE">
        <w:rPr>
          <w:u w:val="none"/>
        </w:rPr>
        <w:t>(h)</w:t>
      </w:r>
      <w:r w:rsidRPr="00E37FBE">
        <w:rPr>
          <w:u w:val="none"/>
        </w:rPr>
        <w:tab/>
      </w:r>
      <w:r w:rsidR="00684947" w:rsidRPr="00E37FBE">
        <w:rPr>
          <w:u w:val="none"/>
        </w:rPr>
        <w:t>g</w:t>
      </w:r>
      <w:r w:rsidRPr="00E37FBE">
        <w:rPr>
          <w:u w:val="none"/>
        </w:rPr>
        <w:t xml:space="preserve">reater than 2 years and less than or equal to 5 years </w:t>
      </w:r>
      <w:r w:rsidR="00684947" w:rsidRPr="00E37FBE">
        <w:rPr>
          <w:u w:val="none"/>
        </w:rPr>
        <w:t xml:space="preserve">in </w:t>
      </w:r>
      <w:r w:rsidR="00172727" w:rsidRPr="00E37FBE">
        <w:rPr>
          <w:u w:val="none"/>
        </w:rPr>
        <w:t xml:space="preserve">columns </w:t>
      </w:r>
      <w:r w:rsidR="00C90DF5" w:rsidRPr="00E37FBE">
        <w:rPr>
          <w:u w:val="none"/>
        </w:rPr>
        <w:t>0</w:t>
      </w:r>
      <w:r w:rsidR="00AF1439" w:rsidRPr="00E37FBE">
        <w:rPr>
          <w:u w:val="none"/>
        </w:rPr>
        <w:t xml:space="preserve">150 and </w:t>
      </w:r>
      <w:r w:rsidR="00C90DF5" w:rsidRPr="00E37FBE">
        <w:rPr>
          <w:u w:val="none"/>
        </w:rPr>
        <w:t>0</w:t>
      </w:r>
      <w:r w:rsidR="00AF1439" w:rsidRPr="00E37FBE">
        <w:rPr>
          <w:u w:val="none"/>
        </w:rPr>
        <w:t>160</w:t>
      </w:r>
      <w:r w:rsidR="00684947" w:rsidRPr="00E37FBE">
        <w:rPr>
          <w:u w:val="none"/>
        </w:rPr>
        <w:t>;</w:t>
      </w:r>
    </w:p>
    <w:p w14:paraId="10B732E8" w14:textId="28F9DAA4" w:rsidR="0019013A" w:rsidRPr="00E37FBE" w:rsidRDefault="00325582" w:rsidP="00927DCB">
      <w:pPr>
        <w:pStyle w:val="InstructionsText2"/>
        <w:numPr>
          <w:ilvl w:val="0"/>
          <w:numId w:val="0"/>
        </w:numPr>
        <w:ind w:left="714"/>
        <w:rPr>
          <w:u w:val="none"/>
        </w:rPr>
      </w:pPr>
      <w:r w:rsidRPr="00E37FBE">
        <w:rPr>
          <w:u w:val="none"/>
        </w:rPr>
        <w:t>(i)</w:t>
      </w:r>
      <w:r w:rsidRPr="00E37FBE">
        <w:rPr>
          <w:u w:val="none"/>
        </w:rPr>
        <w:tab/>
      </w:r>
      <w:r w:rsidR="00684947" w:rsidRPr="00E37FBE">
        <w:rPr>
          <w:u w:val="none"/>
        </w:rPr>
        <w:t>g</w:t>
      </w:r>
      <w:r w:rsidRPr="00E37FBE">
        <w:rPr>
          <w:u w:val="none"/>
        </w:rPr>
        <w:t xml:space="preserve">reater than 5 years and less than or equal to 10 years </w:t>
      </w:r>
      <w:r w:rsidR="00684947" w:rsidRPr="00E37FBE">
        <w:rPr>
          <w:u w:val="none"/>
        </w:rPr>
        <w:t xml:space="preserve">in </w:t>
      </w:r>
      <w:r w:rsidR="0019013A" w:rsidRPr="00E37FBE">
        <w:rPr>
          <w:u w:val="none"/>
        </w:rPr>
        <w:t xml:space="preserve">columns </w:t>
      </w:r>
      <w:r w:rsidR="00C90DF5" w:rsidRPr="00E37FBE">
        <w:rPr>
          <w:u w:val="none"/>
        </w:rPr>
        <w:t>0</w:t>
      </w:r>
      <w:r w:rsidR="00AF1439" w:rsidRPr="00E37FBE">
        <w:rPr>
          <w:u w:val="none"/>
        </w:rPr>
        <w:t xml:space="preserve">170 and </w:t>
      </w:r>
      <w:r w:rsidR="00C90DF5" w:rsidRPr="00E37FBE">
        <w:rPr>
          <w:u w:val="none"/>
        </w:rPr>
        <w:t>0</w:t>
      </w:r>
      <w:r w:rsidR="00AF1439" w:rsidRPr="00E37FBE">
        <w:rPr>
          <w:u w:val="none"/>
        </w:rPr>
        <w:t>180</w:t>
      </w:r>
      <w:r w:rsidR="00684947" w:rsidRPr="00E37FBE">
        <w:rPr>
          <w:u w:val="none"/>
        </w:rPr>
        <w:t>.</w:t>
      </w:r>
    </w:p>
    <w:p w14:paraId="6F09AB94" w14:textId="32C85D80" w:rsidR="003B2555" w:rsidRPr="00E37FBE" w:rsidRDefault="003B2555" w:rsidP="00927DCB">
      <w:pPr>
        <w:pStyle w:val="InstructionsText2"/>
        <w:numPr>
          <w:ilvl w:val="0"/>
          <w:numId w:val="0"/>
        </w:numPr>
        <w:ind w:left="714"/>
        <w:rPr>
          <w:u w:val="none"/>
        </w:rPr>
      </w:pPr>
      <w:r w:rsidRPr="00E37FBE">
        <w:rPr>
          <w:u w:val="none"/>
        </w:rPr>
        <w:t>In case of currency revaluations, no new funding is obtained in the original currency and the reporting institution has not paid anything beyond the original price at the initial deposit of the funds. Thus, a positive increment caused by the currency revaluation is not reported in this template.</w:t>
      </w:r>
    </w:p>
    <w:p w14:paraId="4BB7D4B6" w14:textId="0E2FDCDB" w:rsidR="00A156BF" w:rsidRPr="00E37FBE" w:rsidRDefault="00A156BF" w:rsidP="00927DCB">
      <w:pPr>
        <w:pStyle w:val="InstructionsText2"/>
        <w:numPr>
          <w:ilvl w:val="0"/>
          <w:numId w:val="0"/>
        </w:numPr>
        <w:ind w:left="714"/>
        <w:rPr>
          <w:u w:val="none"/>
        </w:rPr>
      </w:pPr>
      <w:r w:rsidRPr="00E37FBE">
        <w:rPr>
          <w:u w:val="none"/>
        </w:rPr>
        <w:t>Funding sources with original maturity above 10 years shall not be reported.</w:t>
      </w:r>
    </w:p>
    <w:p w14:paraId="5F28959E" w14:textId="0A765413" w:rsidR="0019013A" w:rsidRPr="00E37FBE" w:rsidRDefault="0019013A" w:rsidP="00927DCB">
      <w:pPr>
        <w:pStyle w:val="InstructionsText2"/>
        <w:numPr>
          <w:ilvl w:val="0"/>
          <w:numId w:val="20"/>
        </w:numPr>
        <w:rPr>
          <w:u w:val="none"/>
        </w:rPr>
      </w:pPr>
      <w:r w:rsidRPr="00E37FBE">
        <w:rPr>
          <w:u w:val="none"/>
        </w:rPr>
        <w:lastRenderedPageBreak/>
        <w:t>For the purpose</w:t>
      </w:r>
      <w:r w:rsidR="008E1DE8" w:rsidRPr="00E37FBE">
        <w:rPr>
          <w:u w:val="none"/>
        </w:rPr>
        <w:t>s</w:t>
      </w:r>
      <w:r w:rsidRPr="00E37FBE">
        <w:rPr>
          <w:u w:val="none"/>
        </w:rPr>
        <w:t xml:space="preserve"> of determining the maturity of </w:t>
      </w:r>
      <w:r w:rsidR="00DD76F0" w:rsidRPr="00E37FBE">
        <w:rPr>
          <w:u w:val="none"/>
        </w:rPr>
        <w:t xml:space="preserve">the </w:t>
      </w:r>
      <w:r w:rsidRPr="00E37FBE">
        <w:rPr>
          <w:u w:val="none"/>
        </w:rPr>
        <w:t xml:space="preserve">funding obtained, institutions </w:t>
      </w:r>
      <w:r w:rsidR="006A7234" w:rsidRPr="00E37FBE">
        <w:rPr>
          <w:u w:val="none"/>
        </w:rPr>
        <w:t>shall</w:t>
      </w:r>
      <w:r w:rsidRPr="00E37FBE">
        <w:rPr>
          <w:u w:val="none"/>
        </w:rPr>
        <w:t xml:space="preserve"> ignore the period between trade date and settlement date, e.g. a </w:t>
      </w:r>
      <w:r w:rsidR="008E1DE8" w:rsidRPr="00E37FBE">
        <w:rPr>
          <w:u w:val="none"/>
        </w:rPr>
        <w:t>three-month</w:t>
      </w:r>
      <w:r w:rsidRPr="00E37FBE">
        <w:rPr>
          <w:u w:val="none"/>
        </w:rPr>
        <w:t xml:space="preserve"> liability se</w:t>
      </w:r>
      <w:r w:rsidR="0050708F" w:rsidRPr="00E37FBE">
        <w:rPr>
          <w:u w:val="none"/>
        </w:rPr>
        <w:t>ttling in two weeks</w:t>
      </w:r>
      <w:r w:rsidR="00B8464D" w:rsidRPr="00E37FBE">
        <w:rPr>
          <w:u w:val="none"/>
        </w:rPr>
        <w:t>’</w:t>
      </w:r>
      <w:r w:rsidR="0050708F" w:rsidRPr="00E37FBE">
        <w:rPr>
          <w:u w:val="none"/>
        </w:rPr>
        <w:t xml:space="preserve"> time </w:t>
      </w:r>
      <w:r w:rsidR="006A7234" w:rsidRPr="00E37FBE">
        <w:rPr>
          <w:u w:val="none"/>
        </w:rPr>
        <w:t>shall</w:t>
      </w:r>
      <w:r w:rsidR="0050708F" w:rsidRPr="00E37FBE">
        <w:rPr>
          <w:u w:val="none"/>
        </w:rPr>
        <w:t xml:space="preserve"> be reported in the 3 months </w:t>
      </w:r>
      <w:r w:rsidRPr="00E37FBE">
        <w:rPr>
          <w:u w:val="none"/>
        </w:rPr>
        <w:t>maturity</w:t>
      </w:r>
      <w:r w:rsidR="0050708F" w:rsidRPr="00E37FBE">
        <w:rPr>
          <w:u w:val="none"/>
        </w:rPr>
        <w:t xml:space="preserve"> (columns </w:t>
      </w:r>
      <w:r w:rsidR="00C90DF5" w:rsidRPr="00E37FBE">
        <w:rPr>
          <w:u w:val="none"/>
        </w:rPr>
        <w:t>0</w:t>
      </w:r>
      <w:r w:rsidR="00AF1439" w:rsidRPr="00E37FBE">
        <w:rPr>
          <w:u w:val="none"/>
        </w:rPr>
        <w:t xml:space="preserve">070 and </w:t>
      </w:r>
      <w:r w:rsidR="00C90DF5" w:rsidRPr="00E37FBE">
        <w:rPr>
          <w:u w:val="none"/>
        </w:rPr>
        <w:t>0</w:t>
      </w:r>
      <w:r w:rsidR="00AF1439" w:rsidRPr="00E37FBE">
        <w:rPr>
          <w:u w:val="none"/>
        </w:rPr>
        <w:t>080</w:t>
      </w:r>
      <w:r w:rsidR="0050708F" w:rsidRPr="00E37FBE">
        <w:rPr>
          <w:u w:val="none"/>
        </w:rPr>
        <w:t>).</w:t>
      </w:r>
    </w:p>
    <w:p w14:paraId="3300B61A" w14:textId="6083998F" w:rsidR="00A211F3" w:rsidRPr="00E37FBE" w:rsidRDefault="002C154A" w:rsidP="009077D3">
      <w:pPr>
        <w:pStyle w:val="InstructionsText2"/>
        <w:numPr>
          <w:ilvl w:val="0"/>
          <w:numId w:val="20"/>
        </w:numPr>
        <w:rPr>
          <w:u w:val="none"/>
        </w:rPr>
      </w:pPr>
      <w:r w:rsidRPr="00E37FBE">
        <w:rPr>
          <w:u w:val="none"/>
        </w:rPr>
        <w:t xml:space="preserve">The </w:t>
      </w:r>
      <w:r w:rsidR="0019013A" w:rsidRPr="00E37FBE">
        <w:rPr>
          <w:u w:val="none"/>
        </w:rPr>
        <w:t xml:space="preserve">spread </w:t>
      </w:r>
      <w:r w:rsidR="0050708F" w:rsidRPr="00E37FBE">
        <w:rPr>
          <w:u w:val="none"/>
        </w:rPr>
        <w:t>reported</w:t>
      </w:r>
      <w:r w:rsidRPr="00E37FBE">
        <w:rPr>
          <w:u w:val="none"/>
        </w:rPr>
        <w:t xml:space="preserve"> in </w:t>
      </w:r>
      <w:r w:rsidR="009A329A" w:rsidRPr="00E37FBE">
        <w:rPr>
          <w:u w:val="none"/>
        </w:rPr>
        <w:t>the left hand column of each time bucket</w:t>
      </w:r>
      <w:r w:rsidR="0050708F" w:rsidRPr="00E37FBE">
        <w:rPr>
          <w:u w:val="none"/>
        </w:rPr>
        <w:t xml:space="preserve"> </w:t>
      </w:r>
      <w:r w:rsidR="006A7234" w:rsidRPr="00E37FBE">
        <w:rPr>
          <w:u w:val="none"/>
        </w:rPr>
        <w:t>shall</w:t>
      </w:r>
      <w:r w:rsidR="0050708F" w:rsidRPr="00E37FBE">
        <w:rPr>
          <w:u w:val="none"/>
        </w:rPr>
        <w:t xml:space="preserve"> be</w:t>
      </w:r>
      <w:r w:rsidR="0094416B" w:rsidRPr="00E37FBE">
        <w:rPr>
          <w:u w:val="none"/>
        </w:rPr>
        <w:t xml:space="preserve"> one of the following</w:t>
      </w:r>
      <w:r w:rsidR="0050708F" w:rsidRPr="00E37FBE">
        <w:rPr>
          <w:u w:val="none"/>
        </w:rPr>
        <w:t>:</w:t>
      </w:r>
    </w:p>
    <w:p w14:paraId="3D56C5E8" w14:textId="20EB86DD" w:rsidR="0050708F" w:rsidRPr="00E37FBE" w:rsidRDefault="0050708F" w:rsidP="00AE6A00">
      <w:pPr>
        <w:pStyle w:val="InstructionsText2"/>
        <w:numPr>
          <w:ilvl w:val="0"/>
          <w:numId w:val="20"/>
        </w:numPr>
        <w:rPr>
          <w:u w:val="none"/>
        </w:rPr>
      </w:pPr>
      <w:r w:rsidRPr="00E37FBE">
        <w:rPr>
          <w:u w:val="none"/>
        </w:rPr>
        <w:t xml:space="preserve">the spread payable by the </w:t>
      </w:r>
      <w:r w:rsidR="00DD76F0" w:rsidRPr="00E37FBE">
        <w:rPr>
          <w:u w:val="none"/>
        </w:rPr>
        <w:t xml:space="preserve">institution </w:t>
      </w:r>
      <w:r w:rsidRPr="00E37FBE">
        <w:rPr>
          <w:u w:val="none"/>
        </w:rPr>
        <w:t xml:space="preserve">for liabilities less than or equal to one year, if </w:t>
      </w:r>
      <w:r w:rsidR="0013252E" w:rsidRPr="00E37FBE">
        <w:rPr>
          <w:u w:val="none"/>
        </w:rPr>
        <w:t xml:space="preserve">they </w:t>
      </w:r>
      <w:r w:rsidRPr="00E37FBE">
        <w:rPr>
          <w:u w:val="none"/>
        </w:rPr>
        <w:t>were to have been swapped to the benchmark overnight index for the appropriate currency no later than close of busines</w:t>
      </w:r>
      <w:r w:rsidR="009A329A" w:rsidRPr="00E37FBE">
        <w:rPr>
          <w:u w:val="none"/>
        </w:rPr>
        <w:t xml:space="preserve">s on the day of the transaction; </w:t>
      </w:r>
    </w:p>
    <w:p w14:paraId="44F3338B" w14:textId="6511E8C7" w:rsidR="0050708F" w:rsidRPr="00E37FBE" w:rsidRDefault="0050708F" w:rsidP="00AE6A00">
      <w:pPr>
        <w:pStyle w:val="InstructionsText2"/>
        <w:numPr>
          <w:ilvl w:val="0"/>
          <w:numId w:val="20"/>
        </w:numPr>
        <w:rPr>
          <w:u w:val="none"/>
        </w:rPr>
      </w:pPr>
      <w:r w:rsidRPr="00E37FBE">
        <w:rPr>
          <w:u w:val="none"/>
        </w:rPr>
        <w:t xml:space="preserve">the spread payable by the firm at issuance for liabilities </w:t>
      </w:r>
      <w:r w:rsidR="00DD76F0" w:rsidRPr="00E37FBE">
        <w:rPr>
          <w:u w:val="none"/>
        </w:rPr>
        <w:t xml:space="preserve">with an original maturity </w:t>
      </w:r>
      <w:r w:rsidRPr="00E37FBE">
        <w:rPr>
          <w:u w:val="none"/>
        </w:rPr>
        <w:t>greater than on</w:t>
      </w:r>
      <w:r w:rsidR="00172727" w:rsidRPr="00E37FBE">
        <w:rPr>
          <w:u w:val="none"/>
        </w:rPr>
        <w:t>e</w:t>
      </w:r>
      <w:r w:rsidRPr="00E37FBE">
        <w:rPr>
          <w:u w:val="none"/>
        </w:rPr>
        <w:t xml:space="preserve"> year, were </w:t>
      </w:r>
      <w:r w:rsidR="0013252E" w:rsidRPr="00E37FBE">
        <w:rPr>
          <w:u w:val="none"/>
        </w:rPr>
        <w:t xml:space="preserve">they </w:t>
      </w:r>
      <w:r w:rsidRPr="00E37FBE">
        <w:rPr>
          <w:u w:val="none"/>
        </w:rPr>
        <w:t>to be swapped to the relevant</w:t>
      </w:r>
      <w:r w:rsidR="00FD240F" w:rsidRPr="00E37FBE">
        <w:rPr>
          <w:u w:val="none"/>
        </w:rPr>
        <w:t xml:space="preserve"> three month</w:t>
      </w:r>
      <w:r w:rsidRPr="00E37FBE">
        <w:rPr>
          <w:u w:val="none"/>
        </w:rPr>
        <w:t xml:space="preserve"> benchmark </w:t>
      </w:r>
      <w:r w:rsidR="00D60F58" w:rsidRPr="00E37FBE">
        <w:rPr>
          <w:u w:val="none"/>
        </w:rPr>
        <w:t>index for the appropriate currency</w:t>
      </w:r>
      <w:r w:rsidR="00DC3860" w:rsidRPr="00E37FBE">
        <w:rPr>
          <w:u w:val="none"/>
        </w:rPr>
        <w:t xml:space="preserve"> (e.g. such as 3M </w:t>
      </w:r>
      <w:r w:rsidR="00EC49B0" w:rsidRPr="00E37FBE">
        <w:rPr>
          <w:u w:val="none"/>
        </w:rPr>
        <w:t>euribor</w:t>
      </w:r>
      <w:r w:rsidR="00DC3860" w:rsidRPr="00E37FBE">
        <w:rPr>
          <w:u w:val="none"/>
        </w:rPr>
        <w:t xml:space="preserve"> for EUR)</w:t>
      </w:r>
      <w:r w:rsidRPr="00E37FBE">
        <w:rPr>
          <w:u w:val="none"/>
        </w:rPr>
        <w:t>, no later than close of business on the day of the transaction.</w:t>
      </w:r>
    </w:p>
    <w:p w14:paraId="0C9A9801" w14:textId="00966EBC" w:rsidR="006661EC" w:rsidRPr="00E37FBE" w:rsidRDefault="006661EC" w:rsidP="00AE6A00">
      <w:pPr>
        <w:pStyle w:val="InstructionsText2"/>
        <w:numPr>
          <w:ilvl w:val="0"/>
          <w:numId w:val="20"/>
        </w:numPr>
        <w:rPr>
          <w:u w:val="none"/>
        </w:rPr>
      </w:pPr>
      <w:r w:rsidRPr="00E37FBE">
        <w:rPr>
          <w:u w:val="none"/>
        </w:rPr>
        <w:t xml:space="preserve">Solely for the purposes of spread calculation under </w:t>
      </w:r>
      <w:r w:rsidR="00DD76F0" w:rsidRPr="00E37FBE">
        <w:rPr>
          <w:u w:val="none"/>
        </w:rPr>
        <w:t xml:space="preserve">points </w:t>
      </w:r>
      <w:r w:rsidRPr="00E37FBE">
        <w:rPr>
          <w:u w:val="none"/>
        </w:rPr>
        <w:t xml:space="preserve">a) </w:t>
      </w:r>
      <w:r w:rsidR="00DD76F0" w:rsidRPr="00E37FBE">
        <w:rPr>
          <w:u w:val="none"/>
        </w:rPr>
        <w:t>and</w:t>
      </w:r>
      <w:r w:rsidRPr="00E37FBE">
        <w:rPr>
          <w:u w:val="none"/>
        </w:rPr>
        <w:t xml:space="preserve"> b) above, </w:t>
      </w:r>
      <w:r w:rsidR="00ED3FFF" w:rsidRPr="00E37FBE">
        <w:rPr>
          <w:u w:val="none"/>
        </w:rPr>
        <w:t xml:space="preserve">on the basis of historical experience, </w:t>
      </w:r>
      <w:r w:rsidRPr="00E37FBE">
        <w:rPr>
          <w:u w:val="none"/>
        </w:rPr>
        <w:t xml:space="preserve">the institution may determine the </w:t>
      </w:r>
      <w:r w:rsidR="00DD76F0" w:rsidRPr="00E37FBE">
        <w:rPr>
          <w:u w:val="none"/>
        </w:rPr>
        <w:t xml:space="preserve">original </w:t>
      </w:r>
      <w:r w:rsidRPr="00E37FBE">
        <w:rPr>
          <w:u w:val="none"/>
        </w:rPr>
        <w:t>maturity with or without taking into account optionality, as appropriate.</w:t>
      </w:r>
    </w:p>
    <w:p w14:paraId="5EBCC42F" w14:textId="5EFA09B4" w:rsidR="00A211F3" w:rsidRPr="00E37FBE" w:rsidRDefault="0019013A" w:rsidP="006000AE">
      <w:pPr>
        <w:pStyle w:val="InstructionsText2"/>
        <w:numPr>
          <w:ilvl w:val="0"/>
          <w:numId w:val="20"/>
        </w:numPr>
        <w:rPr>
          <w:u w:val="none"/>
        </w:rPr>
      </w:pPr>
      <w:r w:rsidRPr="00E37FBE">
        <w:rPr>
          <w:u w:val="none"/>
        </w:rPr>
        <w:t>S</w:t>
      </w:r>
      <w:r w:rsidR="0050708F" w:rsidRPr="00E37FBE">
        <w:rPr>
          <w:u w:val="none"/>
        </w:rPr>
        <w:t>pread</w:t>
      </w:r>
      <w:r w:rsidR="00FC506E" w:rsidRPr="00E37FBE">
        <w:rPr>
          <w:u w:val="none"/>
        </w:rPr>
        <w:t>s</w:t>
      </w:r>
      <w:r w:rsidRPr="00E37FBE">
        <w:rPr>
          <w:u w:val="none"/>
        </w:rPr>
        <w:t xml:space="preserve"> </w:t>
      </w:r>
      <w:r w:rsidR="006A7234" w:rsidRPr="00E37FBE">
        <w:rPr>
          <w:u w:val="none"/>
        </w:rPr>
        <w:t>shall</w:t>
      </w:r>
      <w:r w:rsidR="00DD5897" w:rsidRPr="00E37FBE">
        <w:rPr>
          <w:u w:val="none"/>
        </w:rPr>
        <w:t xml:space="preserve"> be</w:t>
      </w:r>
      <w:r w:rsidR="0050708F" w:rsidRPr="00E37FBE">
        <w:rPr>
          <w:u w:val="none"/>
        </w:rPr>
        <w:t xml:space="preserve"> reported in basis points</w:t>
      </w:r>
      <w:r w:rsidR="009406E9" w:rsidRPr="00E37FBE">
        <w:rPr>
          <w:u w:val="none"/>
        </w:rPr>
        <w:t xml:space="preserve"> with a negative sign in case the new funding is cheaper than under the relevant benchmark rate</w:t>
      </w:r>
      <w:r w:rsidR="00DD76F0" w:rsidRPr="00E37FBE">
        <w:rPr>
          <w:u w:val="none"/>
        </w:rPr>
        <w:t>. They shall be</w:t>
      </w:r>
      <w:r w:rsidR="0050708F" w:rsidRPr="00E37FBE">
        <w:rPr>
          <w:u w:val="none"/>
        </w:rPr>
        <w:t xml:space="preserve"> </w:t>
      </w:r>
      <w:r w:rsidR="00DD5897" w:rsidRPr="00E37FBE">
        <w:rPr>
          <w:u w:val="none"/>
        </w:rPr>
        <w:t>calculat</w:t>
      </w:r>
      <w:r w:rsidR="00A211F3" w:rsidRPr="00E37FBE">
        <w:rPr>
          <w:u w:val="none"/>
        </w:rPr>
        <w:t xml:space="preserve">ed on a weighted average basis. </w:t>
      </w:r>
    </w:p>
    <w:p w14:paraId="0ABF1B64" w14:textId="48812B4E" w:rsidR="0050708F" w:rsidRPr="00E37FBE" w:rsidRDefault="0050708F" w:rsidP="00927DCB">
      <w:pPr>
        <w:pStyle w:val="InstructionsText2"/>
        <w:numPr>
          <w:ilvl w:val="0"/>
          <w:numId w:val="20"/>
        </w:numPr>
        <w:rPr>
          <w:u w:val="none"/>
        </w:rPr>
      </w:pPr>
      <w:r w:rsidRPr="00E37FBE">
        <w:rPr>
          <w:u w:val="none"/>
        </w:rPr>
        <w:t>For the purposes of calculating the average spread payable</w:t>
      </w:r>
      <w:r w:rsidR="00ED3FFF" w:rsidRPr="00E37FBE">
        <w:rPr>
          <w:u w:val="none"/>
        </w:rPr>
        <w:t xml:space="preserve"> </w:t>
      </w:r>
      <w:r w:rsidR="00723CCD" w:rsidRPr="00E37FBE">
        <w:rPr>
          <w:u w:val="none"/>
        </w:rPr>
        <w:t>across</w:t>
      </w:r>
      <w:r w:rsidR="00ED3FFF" w:rsidRPr="00E37FBE">
        <w:rPr>
          <w:u w:val="none"/>
        </w:rPr>
        <w:t xml:space="preserve"> </w:t>
      </w:r>
      <w:r w:rsidR="00723CCD" w:rsidRPr="00E37FBE">
        <w:rPr>
          <w:u w:val="none"/>
        </w:rPr>
        <w:t>multiple</w:t>
      </w:r>
      <w:r w:rsidR="00ED3FFF" w:rsidRPr="00E37FBE">
        <w:rPr>
          <w:u w:val="none"/>
        </w:rPr>
        <w:t xml:space="preserve"> issuances/deposits/loans</w:t>
      </w:r>
      <w:r w:rsidRPr="00E37FBE">
        <w:rPr>
          <w:u w:val="none"/>
        </w:rPr>
        <w:t xml:space="preserve">, institutions </w:t>
      </w:r>
      <w:r w:rsidR="006A7234" w:rsidRPr="00E37FBE">
        <w:rPr>
          <w:u w:val="none"/>
        </w:rPr>
        <w:t>shall</w:t>
      </w:r>
      <w:r w:rsidRPr="00E37FBE">
        <w:rPr>
          <w:u w:val="none"/>
        </w:rPr>
        <w:t xml:space="preserve"> calculate the total cost in the currency of issue ignoring any FX swap, but</w:t>
      </w:r>
      <w:r w:rsidR="00723CCD" w:rsidRPr="00E37FBE">
        <w:rPr>
          <w:u w:val="none"/>
        </w:rPr>
        <w:t xml:space="preserve"> </w:t>
      </w:r>
      <w:r w:rsidR="00144FB8" w:rsidRPr="00E37FBE">
        <w:rPr>
          <w:u w:val="none"/>
        </w:rPr>
        <w:t xml:space="preserve">they </w:t>
      </w:r>
      <w:r w:rsidR="00723CCD" w:rsidRPr="00E37FBE">
        <w:rPr>
          <w:u w:val="none"/>
        </w:rPr>
        <w:t>shall</w:t>
      </w:r>
      <w:r w:rsidRPr="00E37FBE">
        <w:rPr>
          <w:u w:val="none"/>
        </w:rPr>
        <w:t xml:space="preserve"> includ</w:t>
      </w:r>
      <w:r w:rsidR="009A329A" w:rsidRPr="00E37FBE">
        <w:rPr>
          <w:u w:val="none"/>
        </w:rPr>
        <w:t>e</w:t>
      </w:r>
      <w:r w:rsidRPr="00E37FBE">
        <w:rPr>
          <w:u w:val="none"/>
        </w:rPr>
        <w:t xml:space="preserve"> any premium or discount and fees payable or receivable, </w:t>
      </w:r>
      <w:r w:rsidR="00D60F58" w:rsidRPr="00E37FBE">
        <w:rPr>
          <w:u w:val="none"/>
        </w:rPr>
        <w:t xml:space="preserve">taking as </w:t>
      </w:r>
      <w:r w:rsidR="009406E9" w:rsidRPr="00E37FBE">
        <w:rPr>
          <w:u w:val="none"/>
        </w:rPr>
        <w:t xml:space="preserve">a </w:t>
      </w:r>
      <w:r w:rsidR="00D60F58" w:rsidRPr="00E37FBE">
        <w:rPr>
          <w:u w:val="none"/>
        </w:rPr>
        <w:t>basis the term of any theoretical or actual interest rate swap matching the term of the liability</w:t>
      </w:r>
      <w:r w:rsidRPr="00E37FBE">
        <w:rPr>
          <w:u w:val="none"/>
        </w:rPr>
        <w:t xml:space="preserve">. The spread </w:t>
      </w:r>
      <w:r w:rsidR="00144FB8" w:rsidRPr="00E37FBE">
        <w:rPr>
          <w:u w:val="none"/>
        </w:rPr>
        <w:t>shall be</w:t>
      </w:r>
      <w:r w:rsidRPr="00E37FBE">
        <w:rPr>
          <w:u w:val="none"/>
        </w:rPr>
        <w:t xml:space="preserve"> the liability rate minus the swap rate.</w:t>
      </w:r>
    </w:p>
    <w:p w14:paraId="608A7669" w14:textId="7761DC23" w:rsidR="00DD5897" w:rsidRPr="00E37FBE" w:rsidRDefault="0019013A" w:rsidP="00927DCB">
      <w:pPr>
        <w:pStyle w:val="InstructionsText2"/>
        <w:numPr>
          <w:ilvl w:val="0"/>
          <w:numId w:val="20"/>
        </w:numPr>
        <w:rPr>
          <w:u w:val="none"/>
        </w:rPr>
      </w:pPr>
      <w:r w:rsidRPr="00E37FBE">
        <w:rPr>
          <w:u w:val="none"/>
        </w:rPr>
        <w:t xml:space="preserve">The amount of funding obtained for the funding categories listed in </w:t>
      </w:r>
      <w:r w:rsidR="00B86EF3" w:rsidRPr="00E37FBE">
        <w:rPr>
          <w:u w:val="none"/>
        </w:rPr>
        <w:t xml:space="preserve">the </w:t>
      </w:r>
      <w:r w:rsidR="00FA63BD" w:rsidRPr="00E37FBE">
        <w:rPr>
          <w:u w:val="none"/>
        </w:rPr>
        <w:t>‘</w:t>
      </w:r>
      <w:r w:rsidR="00B86EF3" w:rsidRPr="00E37FBE">
        <w:rPr>
          <w:u w:val="none"/>
        </w:rPr>
        <w:t>Item</w:t>
      </w:r>
      <w:r w:rsidR="00FA63BD" w:rsidRPr="00E37FBE">
        <w:rPr>
          <w:u w:val="none"/>
        </w:rPr>
        <w:t>’</w:t>
      </w:r>
      <w:r w:rsidR="00B86EF3" w:rsidRPr="00E37FBE">
        <w:rPr>
          <w:u w:val="none"/>
        </w:rPr>
        <w:t xml:space="preserve"> </w:t>
      </w:r>
      <w:r w:rsidRPr="00E37FBE">
        <w:rPr>
          <w:u w:val="none"/>
        </w:rPr>
        <w:t xml:space="preserve">column </w:t>
      </w:r>
      <w:r w:rsidR="006A7234" w:rsidRPr="00E37FBE">
        <w:rPr>
          <w:u w:val="none"/>
        </w:rPr>
        <w:t>shall</w:t>
      </w:r>
      <w:r w:rsidRPr="00E37FBE">
        <w:rPr>
          <w:u w:val="none"/>
        </w:rPr>
        <w:t xml:space="preserve"> be reported in the ‘volume’ column of the applicable time bucket</w:t>
      </w:r>
      <w:r w:rsidR="00B8464D" w:rsidRPr="00E37FBE">
        <w:rPr>
          <w:u w:val="none"/>
        </w:rPr>
        <w:t>.</w:t>
      </w:r>
      <w:r w:rsidR="00834FEF" w:rsidRPr="00E37FBE">
        <w:rPr>
          <w:u w:val="none"/>
        </w:rPr>
        <w:t xml:space="preserve"> </w:t>
      </w:r>
    </w:p>
    <w:p w14:paraId="3AED84FE" w14:textId="5EE87A4E" w:rsidR="004B3AC2" w:rsidRPr="00E37FBE" w:rsidRDefault="004B3AC2" w:rsidP="00927DCB">
      <w:pPr>
        <w:pStyle w:val="InstructionsText2"/>
        <w:numPr>
          <w:ilvl w:val="0"/>
          <w:numId w:val="20"/>
        </w:numPr>
        <w:rPr>
          <w:u w:val="none"/>
        </w:rPr>
      </w:pPr>
      <w:r w:rsidRPr="00E37FBE">
        <w:rPr>
          <w:u w:val="none"/>
        </w:rPr>
        <w:t xml:space="preserve">In the column </w:t>
      </w:r>
      <w:r w:rsidR="00FA63BD" w:rsidRPr="00E37FBE">
        <w:rPr>
          <w:u w:val="none"/>
        </w:rPr>
        <w:t>‘</w:t>
      </w:r>
      <w:r w:rsidRPr="00E37FBE">
        <w:rPr>
          <w:u w:val="none"/>
        </w:rPr>
        <w:t>volume</w:t>
      </w:r>
      <w:r w:rsidR="00FA63BD" w:rsidRPr="00E37FBE">
        <w:rPr>
          <w:u w:val="none"/>
        </w:rPr>
        <w:t>’</w:t>
      </w:r>
      <w:r w:rsidR="008E1DE8" w:rsidRPr="00E37FBE">
        <w:rPr>
          <w:u w:val="none"/>
        </w:rPr>
        <w:t>,</w:t>
      </w:r>
      <w:r w:rsidRPr="00E37FBE">
        <w:rPr>
          <w:u w:val="none"/>
        </w:rPr>
        <w:t xml:space="preserve"> institutions shall provide </w:t>
      </w:r>
      <w:r w:rsidR="00684947" w:rsidRPr="00E37FBE">
        <w:rPr>
          <w:u w:val="none"/>
        </w:rPr>
        <w:t xml:space="preserve">the </w:t>
      </w:r>
      <w:r w:rsidRPr="00E37FBE">
        <w:rPr>
          <w:u w:val="none"/>
        </w:rPr>
        <w:t xml:space="preserve">amounts </w:t>
      </w:r>
      <w:r w:rsidR="00684947" w:rsidRPr="00E37FBE">
        <w:rPr>
          <w:u w:val="none"/>
        </w:rPr>
        <w:t xml:space="preserve">representing the </w:t>
      </w:r>
      <w:r w:rsidRPr="00E37FBE">
        <w:rPr>
          <w:u w:val="none"/>
        </w:rPr>
        <w:t>carrying amount of the new funding obtained in the applicable time bucket</w:t>
      </w:r>
      <w:r w:rsidR="00381264" w:rsidRPr="00E37FBE">
        <w:rPr>
          <w:u w:val="none"/>
        </w:rPr>
        <w:t xml:space="preserve"> </w:t>
      </w:r>
      <w:r w:rsidR="00611852" w:rsidRPr="00E37FBE">
        <w:rPr>
          <w:u w:val="none"/>
        </w:rPr>
        <w:t xml:space="preserve">in </w:t>
      </w:r>
      <w:r w:rsidR="00381264" w:rsidRPr="00E37FBE">
        <w:rPr>
          <w:u w:val="none"/>
        </w:rPr>
        <w:t>accord</w:t>
      </w:r>
      <w:r w:rsidR="00611852" w:rsidRPr="00E37FBE">
        <w:rPr>
          <w:u w:val="none"/>
        </w:rPr>
        <w:t xml:space="preserve">ance with </w:t>
      </w:r>
      <w:r w:rsidR="00381264" w:rsidRPr="00E37FBE">
        <w:rPr>
          <w:u w:val="none"/>
        </w:rPr>
        <w:t>original maturity</w:t>
      </w:r>
      <w:r w:rsidRPr="00E37FBE">
        <w:rPr>
          <w:u w:val="none"/>
        </w:rPr>
        <w:t>.</w:t>
      </w:r>
    </w:p>
    <w:p w14:paraId="4513DEDD" w14:textId="0E5B70C9" w:rsidR="004B3AC2" w:rsidRPr="00E37FBE" w:rsidRDefault="00144FB8" w:rsidP="00927DCB">
      <w:pPr>
        <w:pStyle w:val="InstructionsText2"/>
        <w:numPr>
          <w:ilvl w:val="0"/>
          <w:numId w:val="20"/>
        </w:numPr>
        <w:rPr>
          <w:u w:val="none"/>
        </w:rPr>
      </w:pPr>
      <w:r w:rsidRPr="00E37FBE">
        <w:rPr>
          <w:u w:val="none"/>
        </w:rPr>
        <w:t>As for all items, also for off-balance sheet commitments, i</w:t>
      </w:r>
      <w:r w:rsidR="004B3AC2" w:rsidRPr="00E37FBE">
        <w:rPr>
          <w:u w:val="none"/>
        </w:rPr>
        <w:t xml:space="preserve">nstitutions shall only report </w:t>
      </w:r>
      <w:r w:rsidR="004B0B5A" w:rsidRPr="00E37FBE">
        <w:rPr>
          <w:u w:val="none"/>
        </w:rPr>
        <w:t>the related amounts reflected i</w:t>
      </w:r>
      <w:r w:rsidR="004B3AC2" w:rsidRPr="00E37FBE">
        <w:rPr>
          <w:u w:val="none"/>
        </w:rPr>
        <w:t>n</w:t>
      </w:r>
      <w:r w:rsidR="004B0B5A" w:rsidRPr="00E37FBE">
        <w:rPr>
          <w:u w:val="none"/>
        </w:rPr>
        <w:t xml:space="preserve"> the </w:t>
      </w:r>
      <w:r w:rsidR="004B3AC2" w:rsidRPr="00E37FBE">
        <w:rPr>
          <w:u w:val="none"/>
        </w:rPr>
        <w:t xml:space="preserve">balance sheet. An off-balance sheet commitment provided to the institution shall only </w:t>
      </w:r>
      <w:r w:rsidR="00684947" w:rsidRPr="00E37FBE">
        <w:rPr>
          <w:u w:val="none"/>
        </w:rPr>
        <w:t>be reported</w:t>
      </w:r>
      <w:r w:rsidR="004B3AC2" w:rsidRPr="00E37FBE">
        <w:rPr>
          <w:u w:val="none"/>
        </w:rPr>
        <w:t xml:space="preserve"> in C</w:t>
      </w:r>
      <w:r w:rsidR="00611852" w:rsidRPr="00E37FBE">
        <w:rPr>
          <w:u w:val="none"/>
        </w:rPr>
        <w:t xml:space="preserve"> </w:t>
      </w:r>
      <w:r w:rsidR="00B46A1C" w:rsidRPr="00E37FBE">
        <w:rPr>
          <w:u w:val="none"/>
        </w:rPr>
        <w:t>6</w:t>
      </w:r>
      <w:r w:rsidR="004B3AC2" w:rsidRPr="00E37FBE">
        <w:rPr>
          <w:u w:val="none"/>
        </w:rPr>
        <w:t xml:space="preserve">9.00 after a drawdown. </w:t>
      </w:r>
      <w:r w:rsidR="00B53EFA" w:rsidRPr="00E37FBE">
        <w:rPr>
          <w:u w:val="none"/>
        </w:rPr>
        <w:t xml:space="preserve">In </w:t>
      </w:r>
      <w:r w:rsidR="00684947" w:rsidRPr="00E37FBE">
        <w:rPr>
          <w:u w:val="none"/>
        </w:rPr>
        <w:t xml:space="preserve">the case of a drawdown, </w:t>
      </w:r>
      <w:r w:rsidR="00FB7D8F" w:rsidRPr="00E37FBE">
        <w:rPr>
          <w:u w:val="none"/>
        </w:rPr>
        <w:t>the</w:t>
      </w:r>
      <w:r w:rsidR="008E1558" w:rsidRPr="00E37FBE">
        <w:rPr>
          <w:u w:val="none"/>
        </w:rPr>
        <w:t xml:space="preserve"> volume</w:t>
      </w:r>
      <w:r w:rsidR="00723CCD" w:rsidRPr="00E37FBE">
        <w:rPr>
          <w:u w:val="none"/>
        </w:rPr>
        <w:t xml:space="preserve"> and spread</w:t>
      </w:r>
      <w:r w:rsidR="00FB7D8F" w:rsidRPr="00E37FBE">
        <w:rPr>
          <w:u w:val="none"/>
        </w:rPr>
        <w:t xml:space="preserve"> </w:t>
      </w:r>
      <w:r w:rsidR="004B3AC2" w:rsidRPr="00E37FBE">
        <w:rPr>
          <w:u w:val="none"/>
        </w:rPr>
        <w:t xml:space="preserve">to be reported </w:t>
      </w:r>
      <w:r w:rsidR="00684947" w:rsidRPr="00E37FBE">
        <w:rPr>
          <w:u w:val="none"/>
        </w:rPr>
        <w:t>shall</w:t>
      </w:r>
      <w:r w:rsidR="004B3AC2" w:rsidRPr="00E37FBE">
        <w:rPr>
          <w:u w:val="none"/>
        </w:rPr>
        <w:t xml:space="preserve"> be the amount drawn</w:t>
      </w:r>
      <w:r w:rsidR="00723CCD" w:rsidRPr="00E37FBE">
        <w:rPr>
          <w:u w:val="none"/>
        </w:rPr>
        <w:t xml:space="preserve"> and applicable spread at</w:t>
      </w:r>
      <w:r w:rsidR="004B3AC2" w:rsidRPr="00E37FBE">
        <w:rPr>
          <w:u w:val="none"/>
        </w:rPr>
        <w:t xml:space="preserve"> the </w:t>
      </w:r>
      <w:r w:rsidR="00723CCD" w:rsidRPr="00E37FBE">
        <w:rPr>
          <w:u w:val="none"/>
        </w:rPr>
        <w:t xml:space="preserve">end of the </w:t>
      </w:r>
      <w:r w:rsidR="004B3AC2" w:rsidRPr="00E37FBE">
        <w:rPr>
          <w:u w:val="none"/>
        </w:rPr>
        <w:t xml:space="preserve">reporting period. </w:t>
      </w:r>
      <w:r w:rsidR="00CD20D9" w:rsidRPr="00E37FBE">
        <w:rPr>
          <w:u w:val="none"/>
        </w:rPr>
        <w:t>Where</w:t>
      </w:r>
      <w:r w:rsidR="004B3AC2" w:rsidRPr="00E37FBE">
        <w:rPr>
          <w:u w:val="none"/>
        </w:rPr>
        <w:t xml:space="preserve"> the drawdown cannot be rolled-over at </w:t>
      </w:r>
      <w:r w:rsidR="00CD20D9" w:rsidRPr="00E37FBE">
        <w:rPr>
          <w:u w:val="none"/>
        </w:rPr>
        <w:t xml:space="preserve">the </w:t>
      </w:r>
      <w:r w:rsidR="004B3AC2" w:rsidRPr="00E37FBE">
        <w:rPr>
          <w:u w:val="none"/>
        </w:rPr>
        <w:t xml:space="preserve">discretion of the institution, the actual maturity of the drawdown </w:t>
      </w:r>
      <w:r w:rsidR="00CD20D9" w:rsidRPr="00E37FBE">
        <w:rPr>
          <w:u w:val="none"/>
        </w:rPr>
        <w:t xml:space="preserve">shall </w:t>
      </w:r>
      <w:r w:rsidR="004B3AC2" w:rsidRPr="00E37FBE">
        <w:rPr>
          <w:u w:val="none"/>
        </w:rPr>
        <w:t>be</w:t>
      </w:r>
      <w:r w:rsidR="00CD20D9" w:rsidRPr="00E37FBE">
        <w:rPr>
          <w:u w:val="none"/>
        </w:rPr>
        <w:t xml:space="preserve"> reported</w:t>
      </w:r>
      <w:r w:rsidR="004B3AC2" w:rsidRPr="00E37FBE">
        <w:rPr>
          <w:u w:val="none"/>
        </w:rPr>
        <w:t xml:space="preserve">. </w:t>
      </w:r>
      <w:r w:rsidR="00CD20D9" w:rsidRPr="00E37FBE">
        <w:rPr>
          <w:u w:val="none"/>
        </w:rPr>
        <w:t>Where</w:t>
      </w:r>
      <w:r w:rsidR="004B3AC2" w:rsidRPr="00E37FBE">
        <w:rPr>
          <w:u w:val="none"/>
        </w:rPr>
        <w:t xml:space="preserve"> the institution has </w:t>
      </w:r>
      <w:r w:rsidR="00CD20D9" w:rsidRPr="00E37FBE">
        <w:rPr>
          <w:u w:val="none"/>
        </w:rPr>
        <w:t xml:space="preserve">already </w:t>
      </w:r>
      <w:r w:rsidR="004B3AC2" w:rsidRPr="00E37FBE">
        <w:rPr>
          <w:u w:val="none"/>
        </w:rPr>
        <w:t xml:space="preserve">drawn on the facility </w:t>
      </w:r>
      <w:r w:rsidR="00B53EFA" w:rsidRPr="00E37FBE">
        <w:rPr>
          <w:u w:val="none"/>
        </w:rPr>
        <w:t xml:space="preserve">at the end of </w:t>
      </w:r>
      <w:r w:rsidR="004B3AC2" w:rsidRPr="00E37FBE">
        <w:rPr>
          <w:u w:val="none"/>
        </w:rPr>
        <w:t xml:space="preserve">the previous reporting period, </w:t>
      </w:r>
      <w:r w:rsidRPr="00E37FBE">
        <w:rPr>
          <w:u w:val="none"/>
        </w:rPr>
        <w:t xml:space="preserve">and </w:t>
      </w:r>
      <w:r w:rsidR="00CD20D9" w:rsidRPr="00E37FBE">
        <w:rPr>
          <w:u w:val="none"/>
        </w:rPr>
        <w:t xml:space="preserve">where </w:t>
      </w:r>
      <w:r w:rsidR="004B3AC2" w:rsidRPr="00E37FBE">
        <w:rPr>
          <w:u w:val="none"/>
        </w:rPr>
        <w:t xml:space="preserve">the institution </w:t>
      </w:r>
      <w:r w:rsidRPr="00E37FBE">
        <w:rPr>
          <w:u w:val="none"/>
        </w:rPr>
        <w:t xml:space="preserve">subsequently </w:t>
      </w:r>
      <w:r w:rsidR="004B3AC2" w:rsidRPr="00E37FBE">
        <w:rPr>
          <w:u w:val="none"/>
        </w:rPr>
        <w:t xml:space="preserve">increases the usage of the facility, only the additional amount drawn shall be reported. </w:t>
      </w:r>
    </w:p>
    <w:p w14:paraId="26598EEA" w14:textId="2CB5C3FB" w:rsidR="00473407" w:rsidRPr="00E37FBE" w:rsidRDefault="00473407" w:rsidP="00927DCB">
      <w:pPr>
        <w:pStyle w:val="InstructionsText2"/>
        <w:numPr>
          <w:ilvl w:val="0"/>
          <w:numId w:val="20"/>
        </w:numPr>
        <w:rPr>
          <w:u w:val="none"/>
        </w:rPr>
      </w:pPr>
      <w:r w:rsidRPr="00E37FBE">
        <w:rPr>
          <w:u w:val="none"/>
        </w:rPr>
        <w:t>D</w:t>
      </w:r>
      <w:r w:rsidR="004B3AC2" w:rsidRPr="00E37FBE">
        <w:rPr>
          <w:u w:val="none"/>
        </w:rPr>
        <w:t>eposits placed by retail customers</w:t>
      </w:r>
      <w:r w:rsidRPr="00E37FBE">
        <w:rPr>
          <w:u w:val="none"/>
        </w:rPr>
        <w:t xml:space="preserve"> shall consist of deposits as</w:t>
      </w:r>
      <w:r w:rsidR="004B3AC2" w:rsidRPr="00E37FBE">
        <w:rPr>
          <w:u w:val="none"/>
        </w:rPr>
        <w:t xml:space="preserve"> defined </w:t>
      </w:r>
      <w:r w:rsidR="008E1DE8" w:rsidRPr="00E37FBE">
        <w:rPr>
          <w:u w:val="none"/>
        </w:rPr>
        <w:t>in</w:t>
      </w:r>
      <w:r w:rsidR="004B3AC2" w:rsidRPr="00E37FBE">
        <w:rPr>
          <w:u w:val="none"/>
        </w:rPr>
        <w:t xml:space="preserve"> </w:t>
      </w:r>
      <w:r w:rsidR="00980392" w:rsidRPr="00E37FBE">
        <w:rPr>
          <w:u w:val="none"/>
        </w:rPr>
        <w:t>Article 411</w:t>
      </w:r>
      <w:r w:rsidR="00B91AC8" w:rsidRPr="00E37FBE">
        <w:rPr>
          <w:u w:val="none"/>
        </w:rPr>
        <w:t xml:space="preserve">, point </w:t>
      </w:r>
      <w:r w:rsidR="00980392" w:rsidRPr="00E37FBE">
        <w:rPr>
          <w:u w:val="none"/>
        </w:rPr>
        <w:t>(2)</w:t>
      </w:r>
      <w:r w:rsidR="00B91AC8" w:rsidRPr="00E37FBE">
        <w:rPr>
          <w:u w:val="none"/>
        </w:rPr>
        <w:t>,</w:t>
      </w:r>
      <w:r w:rsidR="00980392" w:rsidRPr="00E37FBE">
        <w:rPr>
          <w:u w:val="none"/>
        </w:rPr>
        <w:t xml:space="preserve"> of Regulation (EU) No 575/2013</w:t>
      </w:r>
      <w:r w:rsidRPr="00E37FBE">
        <w:rPr>
          <w:u w:val="none"/>
        </w:rPr>
        <w:t>.</w:t>
      </w:r>
    </w:p>
    <w:p w14:paraId="54CC7D8D" w14:textId="0023FC80" w:rsidR="00B96CA8" w:rsidRPr="00E37FBE" w:rsidRDefault="00287BD7" w:rsidP="00927DCB">
      <w:pPr>
        <w:pStyle w:val="InstructionsText2"/>
        <w:numPr>
          <w:ilvl w:val="0"/>
          <w:numId w:val="20"/>
        </w:numPr>
        <w:rPr>
          <w:u w:val="none"/>
        </w:rPr>
      </w:pPr>
      <w:r w:rsidRPr="00E37FBE">
        <w:rPr>
          <w:u w:val="none"/>
        </w:rPr>
        <w:t>F</w:t>
      </w:r>
      <w:r w:rsidR="00B96CA8" w:rsidRPr="00E37FBE">
        <w:rPr>
          <w:u w:val="none"/>
        </w:rPr>
        <w:t xml:space="preserve">or funding that has </w:t>
      </w:r>
      <w:r w:rsidR="000B4EA8" w:rsidRPr="00E37FBE">
        <w:rPr>
          <w:u w:val="none"/>
        </w:rPr>
        <w:t>rolled over</w:t>
      </w:r>
      <w:r w:rsidR="00B96CA8" w:rsidRPr="00E37FBE">
        <w:rPr>
          <w:u w:val="none"/>
        </w:rPr>
        <w:t xml:space="preserve"> during the </w:t>
      </w:r>
      <w:r w:rsidR="003D2F58" w:rsidRPr="00E37FBE">
        <w:rPr>
          <w:u w:val="none"/>
        </w:rPr>
        <w:t xml:space="preserve">reporting </w:t>
      </w:r>
      <w:r w:rsidR="00B96CA8" w:rsidRPr="00E37FBE">
        <w:rPr>
          <w:u w:val="none"/>
        </w:rPr>
        <w:t xml:space="preserve">period </w:t>
      </w:r>
      <w:r w:rsidRPr="00E37FBE">
        <w:rPr>
          <w:u w:val="none"/>
        </w:rPr>
        <w:t xml:space="preserve">that is still outstanding </w:t>
      </w:r>
      <w:r w:rsidR="009D3AC9" w:rsidRPr="00E37FBE">
        <w:rPr>
          <w:u w:val="none"/>
        </w:rPr>
        <w:t xml:space="preserve">at </w:t>
      </w:r>
      <w:r w:rsidR="00B96CA8" w:rsidRPr="00E37FBE">
        <w:rPr>
          <w:u w:val="none"/>
        </w:rPr>
        <w:t>the</w:t>
      </w:r>
      <w:r w:rsidR="009D3AC9" w:rsidRPr="00E37FBE">
        <w:rPr>
          <w:u w:val="none"/>
        </w:rPr>
        <w:t xml:space="preserve"> end of the</w:t>
      </w:r>
      <w:r w:rsidR="00B96CA8" w:rsidRPr="00E37FBE">
        <w:rPr>
          <w:u w:val="none"/>
        </w:rPr>
        <w:t xml:space="preserve"> reporting period </w:t>
      </w:r>
      <w:r w:rsidRPr="00E37FBE">
        <w:rPr>
          <w:u w:val="none"/>
        </w:rPr>
        <w:t xml:space="preserve">the average </w:t>
      </w:r>
      <w:r w:rsidRPr="00734B04">
        <w:rPr>
          <w:u w:val="none"/>
        </w:rPr>
        <w:t xml:space="preserve">of </w:t>
      </w:r>
      <w:r w:rsidR="00FD0B99" w:rsidRPr="00734B04">
        <w:rPr>
          <w:u w:val="none"/>
        </w:rPr>
        <w:t xml:space="preserve">spreads </w:t>
      </w:r>
      <w:r w:rsidRPr="00734B04">
        <w:rPr>
          <w:u w:val="none"/>
        </w:rPr>
        <w:t>applying</w:t>
      </w:r>
      <w:r w:rsidR="00F1425C" w:rsidRPr="00E37FBE">
        <w:rPr>
          <w:u w:val="none"/>
        </w:rPr>
        <w:t xml:space="preserve"> at that time</w:t>
      </w:r>
      <w:r w:rsidR="006F5ADF" w:rsidRPr="00E37FBE">
        <w:rPr>
          <w:u w:val="none"/>
        </w:rPr>
        <w:t xml:space="preserve"> (i.e. end of reporting period)</w:t>
      </w:r>
      <w:r w:rsidRPr="00E37FBE">
        <w:rPr>
          <w:u w:val="none"/>
        </w:rPr>
        <w:t xml:space="preserve"> </w:t>
      </w:r>
      <w:r w:rsidR="00B96CA8" w:rsidRPr="00E37FBE">
        <w:rPr>
          <w:u w:val="none"/>
        </w:rPr>
        <w:t>shall be reported. For the purposes of C</w:t>
      </w:r>
      <w:r w:rsidR="00611852" w:rsidRPr="00E37FBE">
        <w:rPr>
          <w:u w:val="none"/>
        </w:rPr>
        <w:t xml:space="preserve"> </w:t>
      </w:r>
      <w:r w:rsidR="00B96CA8" w:rsidRPr="00E37FBE">
        <w:rPr>
          <w:u w:val="none"/>
        </w:rPr>
        <w:t>69.00</w:t>
      </w:r>
      <w:r w:rsidR="007B6E8C" w:rsidRPr="00E37FBE">
        <w:rPr>
          <w:u w:val="none"/>
        </w:rPr>
        <w:t>,</w:t>
      </w:r>
      <w:r w:rsidR="00B96CA8" w:rsidRPr="00E37FBE">
        <w:rPr>
          <w:u w:val="none"/>
        </w:rPr>
        <w:t xml:space="preserve"> funding that </w:t>
      </w:r>
      <w:r w:rsidR="000B4EA8" w:rsidRPr="00E37FBE">
        <w:rPr>
          <w:u w:val="none"/>
        </w:rPr>
        <w:t>rolled over</w:t>
      </w:r>
      <w:r w:rsidR="00B96CA8" w:rsidRPr="00E37FBE">
        <w:rPr>
          <w:u w:val="none"/>
        </w:rPr>
        <w:t xml:space="preserve"> </w:t>
      </w:r>
      <w:r w:rsidR="003D2F58" w:rsidRPr="00E37FBE">
        <w:rPr>
          <w:u w:val="none"/>
        </w:rPr>
        <w:t xml:space="preserve">and </w:t>
      </w:r>
      <w:r w:rsidR="00CD20D9" w:rsidRPr="00E37FBE">
        <w:rPr>
          <w:u w:val="none"/>
        </w:rPr>
        <w:t xml:space="preserve">is </w:t>
      </w:r>
      <w:r w:rsidR="003D2F58" w:rsidRPr="00E37FBE">
        <w:rPr>
          <w:u w:val="none"/>
        </w:rPr>
        <w:t xml:space="preserve">still there at the end of the reporting period </w:t>
      </w:r>
      <w:r w:rsidR="00B96CA8" w:rsidRPr="00E37FBE">
        <w:rPr>
          <w:u w:val="none"/>
        </w:rPr>
        <w:t xml:space="preserve">shall be considered </w:t>
      </w:r>
      <w:r w:rsidR="003D2F58" w:rsidRPr="00E37FBE">
        <w:rPr>
          <w:u w:val="none"/>
        </w:rPr>
        <w:t xml:space="preserve">to </w:t>
      </w:r>
      <w:r w:rsidR="00CD20D9" w:rsidRPr="00E37FBE">
        <w:rPr>
          <w:u w:val="none"/>
        </w:rPr>
        <w:t xml:space="preserve">represent </w:t>
      </w:r>
      <w:r w:rsidR="003D2F58" w:rsidRPr="00E37FBE">
        <w:rPr>
          <w:u w:val="none"/>
        </w:rPr>
        <w:t>new fund</w:t>
      </w:r>
      <w:r w:rsidR="00B96CA8" w:rsidRPr="00E37FBE">
        <w:rPr>
          <w:u w:val="none"/>
        </w:rPr>
        <w:t>ing</w:t>
      </w:r>
      <w:r w:rsidR="003D2F58" w:rsidRPr="00E37FBE">
        <w:rPr>
          <w:u w:val="none"/>
        </w:rPr>
        <w:t>.</w:t>
      </w:r>
    </w:p>
    <w:p w14:paraId="43F95C32" w14:textId="71E535F8" w:rsidR="00BB3757" w:rsidRPr="00E37FBE" w:rsidRDefault="00CD20D9" w:rsidP="00927DCB">
      <w:pPr>
        <w:pStyle w:val="InstructionsText2"/>
        <w:numPr>
          <w:ilvl w:val="0"/>
          <w:numId w:val="20"/>
        </w:numPr>
        <w:rPr>
          <w:u w:val="none"/>
        </w:rPr>
      </w:pPr>
      <w:r w:rsidRPr="00E37FBE">
        <w:rPr>
          <w:u w:val="none"/>
        </w:rPr>
        <w:t xml:space="preserve">By way of </w:t>
      </w:r>
      <w:r w:rsidR="00B96CA8" w:rsidRPr="00E37FBE">
        <w:rPr>
          <w:u w:val="none"/>
        </w:rPr>
        <w:t>de</w:t>
      </w:r>
      <w:r w:rsidR="00144FB8" w:rsidRPr="00E37FBE">
        <w:rPr>
          <w:u w:val="none"/>
        </w:rPr>
        <w:t>viation</w:t>
      </w:r>
      <w:r w:rsidR="00B96CA8" w:rsidRPr="00E37FBE">
        <w:rPr>
          <w:u w:val="none"/>
        </w:rPr>
        <w:t xml:space="preserve"> </w:t>
      </w:r>
      <w:r w:rsidRPr="00E37FBE">
        <w:rPr>
          <w:u w:val="none"/>
        </w:rPr>
        <w:t xml:space="preserve">from </w:t>
      </w:r>
      <w:r w:rsidR="00B96CA8" w:rsidRPr="00E37FBE">
        <w:rPr>
          <w:u w:val="none"/>
        </w:rPr>
        <w:t xml:space="preserve">the </w:t>
      </w:r>
      <w:r w:rsidR="003D2F58" w:rsidRPr="00E37FBE">
        <w:rPr>
          <w:u w:val="none"/>
        </w:rPr>
        <w:t xml:space="preserve">rest of </w:t>
      </w:r>
      <w:r w:rsidR="00144FB8" w:rsidRPr="00E37FBE">
        <w:rPr>
          <w:u w:val="none"/>
        </w:rPr>
        <w:t>S</w:t>
      </w:r>
      <w:r w:rsidR="008E1558" w:rsidRPr="00E37FBE">
        <w:rPr>
          <w:u w:val="none"/>
        </w:rPr>
        <w:t>ection 1.4</w:t>
      </w:r>
      <w:r w:rsidR="00B96CA8" w:rsidRPr="00E37FBE">
        <w:rPr>
          <w:u w:val="none"/>
        </w:rPr>
        <w:t>, the volume and spread of</w:t>
      </w:r>
      <w:r w:rsidR="00993FD7" w:rsidRPr="00E37FBE">
        <w:rPr>
          <w:u w:val="none"/>
        </w:rPr>
        <w:t xml:space="preserve"> sight deposits </w:t>
      </w:r>
      <w:r w:rsidR="00B96CA8" w:rsidRPr="00E37FBE">
        <w:rPr>
          <w:u w:val="none"/>
        </w:rPr>
        <w:t xml:space="preserve">shall only be reported where the </w:t>
      </w:r>
      <w:r w:rsidR="007B6E8C" w:rsidRPr="00E37FBE">
        <w:rPr>
          <w:u w:val="none"/>
        </w:rPr>
        <w:t>depositor</w:t>
      </w:r>
      <w:r w:rsidR="00B96CA8" w:rsidRPr="00E37FBE">
        <w:rPr>
          <w:u w:val="none"/>
        </w:rPr>
        <w:t xml:space="preserve"> </w:t>
      </w:r>
      <w:r w:rsidR="00993FD7" w:rsidRPr="00E37FBE">
        <w:rPr>
          <w:u w:val="none"/>
        </w:rPr>
        <w:t xml:space="preserve">did not have a sight deposit in the </w:t>
      </w:r>
      <w:r w:rsidRPr="00E37FBE">
        <w:rPr>
          <w:u w:val="none"/>
        </w:rPr>
        <w:t>preceding</w:t>
      </w:r>
      <w:r w:rsidR="00993FD7" w:rsidRPr="00E37FBE">
        <w:rPr>
          <w:u w:val="none"/>
        </w:rPr>
        <w:t xml:space="preserve"> reporting period</w:t>
      </w:r>
      <w:r w:rsidR="009D3AC9" w:rsidRPr="00E37FBE">
        <w:rPr>
          <w:u w:val="none"/>
        </w:rPr>
        <w:t xml:space="preserve"> or </w:t>
      </w:r>
      <w:r w:rsidR="00144FB8" w:rsidRPr="00E37FBE">
        <w:rPr>
          <w:u w:val="none"/>
        </w:rPr>
        <w:t xml:space="preserve">where </w:t>
      </w:r>
      <w:r w:rsidR="009D3AC9" w:rsidRPr="00E37FBE">
        <w:rPr>
          <w:u w:val="none"/>
        </w:rPr>
        <w:t>there is an increase in the deposit amount compared to the previous reference date, in which case the increment shall be treated as new funding.</w:t>
      </w:r>
      <w:r w:rsidRPr="00E37FBE">
        <w:rPr>
          <w:u w:val="none"/>
        </w:rPr>
        <w:t xml:space="preserve"> </w:t>
      </w:r>
      <w:r w:rsidR="00287BD7" w:rsidRPr="00E37FBE">
        <w:rPr>
          <w:u w:val="none"/>
        </w:rPr>
        <w:t>T</w:t>
      </w:r>
      <w:r w:rsidR="00A7682F" w:rsidRPr="00E37FBE">
        <w:rPr>
          <w:u w:val="none"/>
        </w:rPr>
        <w:t xml:space="preserve">he spread shall be that </w:t>
      </w:r>
      <w:r w:rsidRPr="00E37FBE">
        <w:rPr>
          <w:u w:val="none"/>
        </w:rPr>
        <w:t xml:space="preserve">of </w:t>
      </w:r>
      <w:r w:rsidR="00A7682F" w:rsidRPr="00E37FBE">
        <w:rPr>
          <w:u w:val="none"/>
        </w:rPr>
        <w:t xml:space="preserve">the end of the </w:t>
      </w:r>
      <w:r w:rsidR="003D2F58" w:rsidRPr="00E37FBE">
        <w:rPr>
          <w:u w:val="none"/>
        </w:rPr>
        <w:t>period</w:t>
      </w:r>
      <w:r w:rsidR="00A7682F" w:rsidRPr="00E37FBE">
        <w:rPr>
          <w:u w:val="none"/>
        </w:rPr>
        <w:t>.</w:t>
      </w:r>
      <w:r w:rsidR="00993FD7" w:rsidRPr="00E37FBE">
        <w:rPr>
          <w:u w:val="none"/>
        </w:rPr>
        <w:t xml:space="preserve"> </w:t>
      </w:r>
    </w:p>
    <w:p w14:paraId="10927EEB" w14:textId="01546635" w:rsidR="00270986" w:rsidRPr="00E37FBE" w:rsidRDefault="00270986" w:rsidP="00927DCB">
      <w:pPr>
        <w:pStyle w:val="InstructionsText2"/>
        <w:numPr>
          <w:ilvl w:val="0"/>
          <w:numId w:val="20"/>
        </w:numPr>
        <w:rPr>
          <w:u w:val="none"/>
        </w:rPr>
      </w:pPr>
      <w:r w:rsidRPr="00E37FBE">
        <w:rPr>
          <w:u w:val="none"/>
        </w:rPr>
        <w:t>Where there is nothing to report,</w:t>
      </w:r>
      <w:r w:rsidR="00CD20D9" w:rsidRPr="00E37FBE">
        <w:rPr>
          <w:u w:val="none"/>
        </w:rPr>
        <w:t xml:space="preserve"> cells relating to</w:t>
      </w:r>
      <w:r w:rsidRPr="00E37FBE">
        <w:rPr>
          <w:u w:val="none"/>
        </w:rPr>
        <w:t xml:space="preserve"> spreads </w:t>
      </w:r>
      <w:r w:rsidR="006A7234" w:rsidRPr="00E37FBE">
        <w:rPr>
          <w:u w:val="none"/>
        </w:rPr>
        <w:t>shall</w:t>
      </w:r>
      <w:r w:rsidRPr="00E37FBE">
        <w:rPr>
          <w:u w:val="none"/>
        </w:rPr>
        <w:t xml:space="preserve"> be </w:t>
      </w:r>
      <w:r w:rsidR="00735EFC" w:rsidRPr="00E37FBE">
        <w:rPr>
          <w:u w:val="none"/>
        </w:rPr>
        <w:t>left empty</w:t>
      </w:r>
      <w:r w:rsidRPr="00E37FBE">
        <w:rPr>
          <w:u w:val="none"/>
        </w:rPr>
        <w:t>.</w:t>
      </w:r>
    </w:p>
    <w:p w14:paraId="5031E50C" w14:textId="2A8C8C44" w:rsidR="00A156BF" w:rsidRPr="00E37FBE" w:rsidRDefault="00A156BF" w:rsidP="00A156BF">
      <w:pPr>
        <w:pStyle w:val="InstructionsText2"/>
        <w:numPr>
          <w:ilvl w:val="0"/>
          <w:numId w:val="20"/>
        </w:numPr>
        <w:rPr>
          <w:u w:val="none"/>
        </w:rPr>
      </w:pPr>
      <w:r w:rsidRPr="00E37FBE">
        <w:rPr>
          <w:u w:val="none"/>
        </w:rPr>
        <w:lastRenderedPageBreak/>
        <w:t xml:space="preserve">Equity </w:t>
      </w:r>
      <w:r w:rsidR="00DB41D2" w:rsidRPr="00E37FBE">
        <w:rPr>
          <w:u w:val="none"/>
        </w:rPr>
        <w:t>shall</w:t>
      </w:r>
      <w:r w:rsidRPr="00E37FBE">
        <w:rPr>
          <w:u w:val="none"/>
        </w:rPr>
        <w:t xml:space="preserve"> not </w:t>
      </w:r>
      <w:r w:rsidR="00584B70" w:rsidRPr="00E37FBE">
        <w:rPr>
          <w:u w:val="none"/>
        </w:rPr>
        <w:t xml:space="preserve">be </w:t>
      </w:r>
      <w:r w:rsidRPr="00E37FBE">
        <w:rPr>
          <w:u w:val="none"/>
        </w:rPr>
        <w:t xml:space="preserve">reported in this template. </w:t>
      </w:r>
    </w:p>
    <w:p w14:paraId="5F1BCA9F" w14:textId="77777777" w:rsidR="002C154A" w:rsidRPr="00E37FBE" w:rsidRDefault="002C154A" w:rsidP="00927DCB">
      <w:pPr>
        <w:pStyle w:val="InstructionsText2"/>
        <w:numPr>
          <w:ilvl w:val="0"/>
          <w:numId w:val="20"/>
        </w:numPr>
        <w:rPr>
          <w:u w:val="none"/>
        </w:rPr>
      </w:pPr>
      <w:r w:rsidRPr="00E37FBE">
        <w:rPr>
          <w:u w:val="none"/>
        </w:rPr>
        <w:t>Instructions concerning specific rows</w:t>
      </w:r>
      <w:r w:rsidR="002237BD" w:rsidRPr="00E37FBE">
        <w:rPr>
          <w:u w:val="none"/>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705"/>
      </w:tblGrid>
      <w:tr w:rsidR="00E332B3" w:rsidRPr="00E37FBE" w14:paraId="3147FD97" w14:textId="77777777" w:rsidTr="00A37629">
        <w:trPr>
          <w:trHeight w:val="567"/>
        </w:trPr>
        <w:tc>
          <w:tcPr>
            <w:tcW w:w="817" w:type="dxa"/>
            <w:shd w:val="clear" w:color="auto" w:fill="E0E0E0"/>
            <w:noWrap/>
            <w:vAlign w:val="center"/>
          </w:tcPr>
          <w:p w14:paraId="48391A04" w14:textId="77777777" w:rsidR="002C154A" w:rsidRPr="00E37FBE" w:rsidRDefault="002C154A" w:rsidP="00ED41A4">
            <w:pPr>
              <w:spacing w:before="0" w:after="0"/>
              <w:jc w:val="left"/>
              <w:rPr>
                <w:rFonts w:ascii="Times New Roman" w:hAnsi="Times New Roman"/>
                <w:szCs w:val="20"/>
                <w:lang w:eastAsia="en-GB"/>
              </w:rPr>
            </w:pPr>
            <w:r w:rsidRPr="00E37FBE">
              <w:rPr>
                <w:rStyle w:val="InstructionsTabelleText"/>
                <w:rFonts w:ascii="Times New Roman" w:hAnsi="Times New Roman"/>
                <w:szCs w:val="20"/>
                <w:lang w:eastAsia="en-GB"/>
              </w:rPr>
              <w:t>Row</w:t>
            </w:r>
          </w:p>
        </w:tc>
        <w:tc>
          <w:tcPr>
            <w:tcW w:w="7705" w:type="dxa"/>
            <w:shd w:val="clear" w:color="auto" w:fill="E0E0E0"/>
            <w:noWrap/>
            <w:vAlign w:val="center"/>
          </w:tcPr>
          <w:p w14:paraId="51A7E6A4" w14:textId="77777777" w:rsidR="002C154A" w:rsidRPr="00E37FBE" w:rsidRDefault="002C154A" w:rsidP="00ED41A4">
            <w:pPr>
              <w:spacing w:before="0" w:after="0"/>
              <w:jc w:val="left"/>
              <w:rPr>
                <w:rFonts w:ascii="Times New Roman" w:hAnsi="Times New Roman"/>
                <w:szCs w:val="20"/>
                <w:lang w:eastAsia="en-GB"/>
              </w:rPr>
            </w:pPr>
            <w:r w:rsidRPr="00E37FBE">
              <w:rPr>
                <w:rStyle w:val="InstructionsTabelleText"/>
                <w:rFonts w:ascii="Times New Roman" w:hAnsi="Times New Roman"/>
                <w:szCs w:val="20"/>
                <w:lang w:eastAsia="en-GB"/>
              </w:rPr>
              <w:t>Legal references and instructions</w:t>
            </w:r>
          </w:p>
        </w:tc>
      </w:tr>
      <w:tr w:rsidR="00E332B3" w:rsidRPr="00E37FBE" w14:paraId="5B055368" w14:textId="77777777" w:rsidTr="00A37629">
        <w:trPr>
          <w:trHeight w:val="255"/>
        </w:trPr>
        <w:tc>
          <w:tcPr>
            <w:tcW w:w="817" w:type="dxa"/>
            <w:shd w:val="clear" w:color="auto" w:fill="auto"/>
            <w:noWrap/>
          </w:tcPr>
          <w:p w14:paraId="31D865CB" w14:textId="4D326AD6" w:rsidR="002C154A" w:rsidRPr="00E37FBE" w:rsidRDefault="00C90DF5" w:rsidP="00ED41A4">
            <w:pPr>
              <w:spacing w:before="0" w:after="0"/>
              <w:jc w:val="left"/>
              <w:rPr>
                <w:rFonts w:ascii="Times New Roman" w:hAnsi="Times New Roman"/>
                <w:szCs w:val="20"/>
                <w:lang w:eastAsia="en-GB"/>
              </w:rPr>
            </w:pPr>
            <w:r w:rsidRPr="00E37FBE">
              <w:rPr>
                <w:rFonts w:ascii="Times New Roman" w:hAnsi="Times New Roman"/>
                <w:szCs w:val="20"/>
                <w:lang w:eastAsia="en-GB"/>
              </w:rPr>
              <w:t>0</w:t>
            </w:r>
            <w:r w:rsidR="00AF1439" w:rsidRPr="00E37FBE">
              <w:rPr>
                <w:rFonts w:ascii="Times New Roman" w:hAnsi="Times New Roman"/>
                <w:szCs w:val="20"/>
                <w:lang w:eastAsia="en-GB"/>
              </w:rPr>
              <w:t>010</w:t>
            </w:r>
          </w:p>
        </w:tc>
        <w:tc>
          <w:tcPr>
            <w:tcW w:w="7705" w:type="dxa"/>
            <w:shd w:val="clear" w:color="auto" w:fill="auto"/>
            <w:noWrap/>
          </w:tcPr>
          <w:p w14:paraId="55C5F1B7" w14:textId="77777777" w:rsidR="002C154A" w:rsidRPr="00E37FBE" w:rsidRDefault="002C154A" w:rsidP="008E1558">
            <w:pPr>
              <w:rPr>
                <w:rFonts w:ascii="Times New Roman" w:hAnsi="Times New Roman"/>
                <w:b/>
                <w:szCs w:val="20"/>
                <w:u w:val="single"/>
              </w:rPr>
            </w:pPr>
            <w:r w:rsidRPr="00E37FBE">
              <w:rPr>
                <w:rFonts w:ascii="Times New Roman" w:hAnsi="Times New Roman"/>
                <w:b/>
                <w:szCs w:val="20"/>
                <w:u w:val="single"/>
              </w:rPr>
              <w:t>1 Total Funding</w:t>
            </w:r>
          </w:p>
          <w:p w14:paraId="25D6D292" w14:textId="1DE19D27" w:rsidR="002C154A" w:rsidRPr="00E37FBE" w:rsidRDefault="00E42487" w:rsidP="008E1558">
            <w:pPr>
              <w:rPr>
                <w:rFonts w:ascii="Times New Roman" w:hAnsi="Times New Roman"/>
                <w:szCs w:val="20"/>
              </w:rPr>
            </w:pPr>
            <w:r w:rsidRPr="00E37FBE">
              <w:rPr>
                <w:rFonts w:ascii="Times New Roman" w:hAnsi="Times New Roman"/>
                <w:szCs w:val="20"/>
              </w:rPr>
              <w:t xml:space="preserve">Total </w:t>
            </w:r>
            <w:r w:rsidR="00EA295B" w:rsidRPr="00E37FBE">
              <w:rPr>
                <w:rFonts w:ascii="Times New Roman" w:hAnsi="Times New Roman"/>
                <w:szCs w:val="20"/>
              </w:rPr>
              <w:t>volume</w:t>
            </w:r>
            <w:r w:rsidRPr="00E37FBE">
              <w:rPr>
                <w:rFonts w:ascii="Times New Roman" w:hAnsi="Times New Roman"/>
                <w:szCs w:val="20"/>
              </w:rPr>
              <w:t xml:space="preserve"> and weighted average s</w:t>
            </w:r>
            <w:r w:rsidR="002A7582" w:rsidRPr="00E37FBE">
              <w:rPr>
                <w:rFonts w:ascii="Times New Roman" w:hAnsi="Times New Roman"/>
                <w:szCs w:val="20"/>
              </w:rPr>
              <w:t xml:space="preserve">pread of all funding </w:t>
            </w:r>
            <w:r w:rsidR="00CD20D9" w:rsidRPr="00E37FBE">
              <w:rPr>
                <w:rFonts w:ascii="Times New Roman" w:hAnsi="Times New Roman"/>
                <w:szCs w:val="20"/>
              </w:rPr>
              <w:t xml:space="preserve">shall be </w:t>
            </w:r>
            <w:r w:rsidR="002A7582" w:rsidRPr="00E37FBE">
              <w:rPr>
                <w:rFonts w:ascii="Times New Roman" w:hAnsi="Times New Roman"/>
                <w:szCs w:val="20"/>
              </w:rPr>
              <w:t>obtained</w:t>
            </w:r>
            <w:r w:rsidR="00CE333E" w:rsidRPr="00E37FBE">
              <w:rPr>
                <w:rFonts w:ascii="Times New Roman" w:hAnsi="Times New Roman"/>
                <w:szCs w:val="20"/>
              </w:rPr>
              <w:t xml:space="preserve"> for </w:t>
            </w:r>
            <w:r w:rsidR="00CD20D9" w:rsidRPr="00E37FBE">
              <w:rPr>
                <w:rFonts w:ascii="Times New Roman" w:hAnsi="Times New Roman"/>
                <w:szCs w:val="20"/>
              </w:rPr>
              <w:t xml:space="preserve">all of </w:t>
            </w:r>
            <w:r w:rsidR="00CE333E" w:rsidRPr="00E37FBE">
              <w:rPr>
                <w:rFonts w:ascii="Times New Roman" w:hAnsi="Times New Roman"/>
                <w:szCs w:val="20"/>
              </w:rPr>
              <w:t>the following lengths</w:t>
            </w:r>
            <w:r w:rsidR="00237D15" w:rsidRPr="00E37FBE">
              <w:rPr>
                <w:rFonts w:ascii="Times New Roman" w:hAnsi="Times New Roman"/>
                <w:szCs w:val="20"/>
              </w:rPr>
              <w:t xml:space="preserve"> of time in accordance as follows</w:t>
            </w:r>
            <w:r w:rsidR="00CE333E" w:rsidRPr="00E37FBE">
              <w:rPr>
                <w:rFonts w:ascii="Times New Roman" w:hAnsi="Times New Roman"/>
                <w:szCs w:val="20"/>
              </w:rPr>
              <w:t>:</w:t>
            </w:r>
          </w:p>
          <w:p w14:paraId="3D5903C1" w14:textId="71E515AA" w:rsidR="007778A0" w:rsidRPr="00E37FBE" w:rsidRDefault="00CD20D9" w:rsidP="00CC3091">
            <w:pPr>
              <w:pStyle w:val="InstructionsText2"/>
              <w:numPr>
                <w:ilvl w:val="1"/>
                <w:numId w:val="12"/>
              </w:numPr>
              <w:rPr>
                <w:u w:val="none"/>
              </w:rPr>
            </w:pPr>
            <w:r w:rsidRPr="00E37FBE">
              <w:rPr>
                <w:u w:val="none"/>
              </w:rPr>
              <w:t xml:space="preserve">overnight </w:t>
            </w:r>
            <w:r w:rsidR="00237D15" w:rsidRPr="00E37FBE">
              <w:rPr>
                <w:u w:val="none"/>
              </w:rPr>
              <w:t xml:space="preserve">in </w:t>
            </w:r>
            <w:r w:rsidR="007778A0" w:rsidRPr="00E37FBE">
              <w:rPr>
                <w:u w:val="none"/>
              </w:rPr>
              <w:t xml:space="preserve">columns </w:t>
            </w:r>
            <w:r w:rsidR="00AF1439" w:rsidRPr="00E37FBE">
              <w:rPr>
                <w:u w:val="none"/>
              </w:rPr>
              <w:t>0</w:t>
            </w:r>
            <w:r w:rsidR="00C90DF5" w:rsidRPr="00E37FBE">
              <w:rPr>
                <w:u w:val="none"/>
              </w:rPr>
              <w:t>0</w:t>
            </w:r>
            <w:r w:rsidR="00AF1439" w:rsidRPr="00E37FBE">
              <w:rPr>
                <w:u w:val="none"/>
              </w:rPr>
              <w:t xml:space="preserve">10 and </w:t>
            </w:r>
            <w:r w:rsidR="00C90DF5" w:rsidRPr="00E37FBE">
              <w:rPr>
                <w:u w:val="none"/>
              </w:rPr>
              <w:t>0</w:t>
            </w:r>
            <w:r w:rsidR="00AF1439" w:rsidRPr="00E37FBE">
              <w:rPr>
                <w:u w:val="none"/>
              </w:rPr>
              <w:t>020</w:t>
            </w:r>
            <w:r w:rsidRPr="00E37FBE">
              <w:rPr>
                <w:u w:val="none"/>
              </w:rPr>
              <w:t>;</w:t>
            </w:r>
          </w:p>
          <w:p w14:paraId="1AF1DF5A" w14:textId="197B262D" w:rsidR="007778A0" w:rsidRPr="00E37FBE" w:rsidRDefault="00CD20D9" w:rsidP="00927DCB">
            <w:pPr>
              <w:pStyle w:val="InstructionsText2"/>
              <w:numPr>
                <w:ilvl w:val="1"/>
                <w:numId w:val="12"/>
              </w:numPr>
              <w:rPr>
                <w:u w:val="none"/>
              </w:rPr>
            </w:pPr>
            <w:r w:rsidRPr="00E37FBE">
              <w:rPr>
                <w:u w:val="none"/>
              </w:rPr>
              <w:t>g</w:t>
            </w:r>
            <w:r w:rsidR="004B3AC2" w:rsidRPr="00E37FBE">
              <w:rPr>
                <w:u w:val="none"/>
              </w:rPr>
              <w:t xml:space="preserve">reater than overnight and less than or equal to </w:t>
            </w:r>
            <w:r w:rsidR="007778A0" w:rsidRPr="00E37FBE">
              <w:rPr>
                <w:u w:val="none"/>
              </w:rPr>
              <w:t xml:space="preserve">1 week </w:t>
            </w:r>
            <w:r w:rsidRPr="00E37FBE">
              <w:rPr>
                <w:u w:val="none"/>
              </w:rPr>
              <w:t xml:space="preserve">in </w:t>
            </w:r>
            <w:r w:rsidR="007778A0" w:rsidRPr="00E37FBE">
              <w:rPr>
                <w:u w:val="none"/>
              </w:rPr>
              <w:t xml:space="preserve">columns </w:t>
            </w:r>
            <w:r w:rsidR="00C90DF5" w:rsidRPr="00E37FBE">
              <w:rPr>
                <w:u w:val="none"/>
              </w:rPr>
              <w:t>0</w:t>
            </w:r>
            <w:r w:rsidR="00AF1439" w:rsidRPr="00E37FBE">
              <w:rPr>
                <w:u w:val="none"/>
              </w:rPr>
              <w:t>030 a</w:t>
            </w:r>
            <w:r w:rsidR="004B3AC2" w:rsidRPr="00E37FBE">
              <w:rPr>
                <w:u w:val="none"/>
              </w:rPr>
              <w:t>n</w:t>
            </w:r>
            <w:r w:rsidR="00AF1439" w:rsidRPr="00E37FBE">
              <w:rPr>
                <w:u w:val="none"/>
              </w:rPr>
              <w:t xml:space="preserve">d </w:t>
            </w:r>
            <w:r w:rsidR="00C90DF5" w:rsidRPr="00E37FBE">
              <w:rPr>
                <w:u w:val="none"/>
              </w:rPr>
              <w:t>0</w:t>
            </w:r>
            <w:r w:rsidR="00AF1439" w:rsidRPr="00E37FBE">
              <w:rPr>
                <w:u w:val="none"/>
              </w:rPr>
              <w:t>040</w:t>
            </w:r>
            <w:r w:rsidRPr="00E37FBE">
              <w:rPr>
                <w:u w:val="none"/>
              </w:rPr>
              <w:t>;</w:t>
            </w:r>
          </w:p>
          <w:p w14:paraId="4C124A2C" w14:textId="40AAE739" w:rsidR="007778A0" w:rsidRPr="00E37FBE" w:rsidRDefault="00CD20D9" w:rsidP="00CC3091">
            <w:pPr>
              <w:pStyle w:val="InstructionsText2"/>
              <w:numPr>
                <w:ilvl w:val="1"/>
                <w:numId w:val="12"/>
              </w:numPr>
              <w:rPr>
                <w:u w:val="none"/>
              </w:rPr>
            </w:pPr>
            <w:r w:rsidRPr="00E37FBE">
              <w:rPr>
                <w:u w:val="none"/>
              </w:rPr>
              <w:t>g</w:t>
            </w:r>
            <w:r w:rsidR="004B3AC2" w:rsidRPr="00E37FBE">
              <w:rPr>
                <w:u w:val="none"/>
              </w:rPr>
              <w:t xml:space="preserve">reater than 1 week and less than or equal to </w:t>
            </w:r>
            <w:r w:rsidR="007778A0" w:rsidRPr="00E37FBE">
              <w:rPr>
                <w:u w:val="none"/>
              </w:rPr>
              <w:t xml:space="preserve">1 month </w:t>
            </w:r>
            <w:r w:rsidRPr="00E37FBE">
              <w:rPr>
                <w:u w:val="none"/>
              </w:rPr>
              <w:t>in</w:t>
            </w:r>
            <w:r w:rsidRPr="00E37FBE" w:rsidDel="00CD20D9">
              <w:rPr>
                <w:u w:val="none"/>
              </w:rPr>
              <w:t xml:space="preserve"> </w:t>
            </w:r>
            <w:r w:rsidR="007778A0" w:rsidRPr="00E37FBE">
              <w:rPr>
                <w:u w:val="none"/>
              </w:rPr>
              <w:t xml:space="preserve">columns </w:t>
            </w:r>
            <w:r w:rsidR="00C90DF5" w:rsidRPr="00E37FBE">
              <w:rPr>
                <w:u w:val="none"/>
              </w:rPr>
              <w:t>0</w:t>
            </w:r>
            <w:r w:rsidR="00AF1439" w:rsidRPr="00E37FBE">
              <w:rPr>
                <w:u w:val="none"/>
              </w:rPr>
              <w:t xml:space="preserve">050 and </w:t>
            </w:r>
            <w:r w:rsidR="00C90DF5" w:rsidRPr="00E37FBE">
              <w:rPr>
                <w:u w:val="none"/>
              </w:rPr>
              <w:t>0</w:t>
            </w:r>
            <w:r w:rsidR="00AF1439" w:rsidRPr="00E37FBE">
              <w:rPr>
                <w:u w:val="none"/>
              </w:rPr>
              <w:t>060</w:t>
            </w:r>
            <w:r w:rsidRPr="00E37FBE">
              <w:rPr>
                <w:u w:val="none"/>
              </w:rPr>
              <w:t>;</w:t>
            </w:r>
          </w:p>
          <w:p w14:paraId="74B468F3" w14:textId="3C21BB5E" w:rsidR="007778A0" w:rsidRPr="00E37FBE" w:rsidRDefault="00CD20D9" w:rsidP="00927DCB">
            <w:pPr>
              <w:pStyle w:val="InstructionsText2"/>
              <w:numPr>
                <w:ilvl w:val="1"/>
                <w:numId w:val="12"/>
              </w:numPr>
              <w:rPr>
                <w:u w:val="none"/>
              </w:rPr>
            </w:pPr>
            <w:r w:rsidRPr="00E37FBE">
              <w:rPr>
                <w:u w:val="none"/>
              </w:rPr>
              <w:t>g</w:t>
            </w:r>
            <w:r w:rsidR="004B3AC2" w:rsidRPr="00E37FBE">
              <w:rPr>
                <w:u w:val="none"/>
              </w:rPr>
              <w:t xml:space="preserve">reater than 1 month and less than or equal to </w:t>
            </w:r>
            <w:r w:rsidR="007778A0" w:rsidRPr="00E37FBE">
              <w:rPr>
                <w:u w:val="none"/>
              </w:rPr>
              <w:t xml:space="preserve">3 months </w:t>
            </w:r>
            <w:r w:rsidRPr="00E37FBE">
              <w:rPr>
                <w:u w:val="none"/>
              </w:rPr>
              <w:t>in</w:t>
            </w:r>
            <w:r w:rsidRPr="00E37FBE" w:rsidDel="00CD20D9">
              <w:rPr>
                <w:u w:val="none"/>
              </w:rPr>
              <w:t xml:space="preserve"> </w:t>
            </w:r>
            <w:r w:rsidR="007778A0" w:rsidRPr="00E37FBE">
              <w:rPr>
                <w:u w:val="none"/>
              </w:rPr>
              <w:t xml:space="preserve">columns </w:t>
            </w:r>
            <w:r w:rsidR="00AF1439" w:rsidRPr="00E37FBE">
              <w:rPr>
                <w:u w:val="none"/>
              </w:rPr>
              <w:t>0</w:t>
            </w:r>
            <w:r w:rsidR="00C90DF5" w:rsidRPr="00E37FBE">
              <w:rPr>
                <w:u w:val="none"/>
              </w:rPr>
              <w:t>0</w:t>
            </w:r>
            <w:r w:rsidR="00AF1439" w:rsidRPr="00E37FBE">
              <w:rPr>
                <w:u w:val="none"/>
              </w:rPr>
              <w:t xml:space="preserve">70 and </w:t>
            </w:r>
            <w:r w:rsidR="00C90DF5" w:rsidRPr="00E37FBE">
              <w:rPr>
                <w:u w:val="none"/>
              </w:rPr>
              <w:t>0</w:t>
            </w:r>
            <w:r w:rsidR="00AF1439" w:rsidRPr="00E37FBE">
              <w:rPr>
                <w:u w:val="none"/>
              </w:rPr>
              <w:t>080</w:t>
            </w:r>
            <w:r w:rsidRPr="00E37FBE">
              <w:rPr>
                <w:u w:val="none"/>
              </w:rPr>
              <w:t>;</w:t>
            </w:r>
          </w:p>
          <w:p w14:paraId="482B32DB" w14:textId="0BE23448" w:rsidR="007778A0" w:rsidRPr="00E37FBE" w:rsidRDefault="00CD20D9" w:rsidP="00927DCB">
            <w:pPr>
              <w:pStyle w:val="InstructionsText2"/>
              <w:numPr>
                <w:ilvl w:val="1"/>
                <w:numId w:val="12"/>
              </w:numPr>
              <w:rPr>
                <w:u w:val="none"/>
              </w:rPr>
            </w:pPr>
            <w:r w:rsidRPr="00E37FBE">
              <w:rPr>
                <w:u w:val="none"/>
              </w:rPr>
              <w:t>g</w:t>
            </w:r>
            <w:r w:rsidR="004B3AC2" w:rsidRPr="00E37FBE">
              <w:rPr>
                <w:u w:val="none"/>
              </w:rPr>
              <w:t xml:space="preserve">reater than 3 months and less than or equal to </w:t>
            </w:r>
            <w:r w:rsidR="007778A0" w:rsidRPr="00E37FBE">
              <w:rPr>
                <w:u w:val="none"/>
              </w:rPr>
              <w:t xml:space="preserve">6 months </w:t>
            </w:r>
            <w:r w:rsidRPr="00E37FBE">
              <w:rPr>
                <w:u w:val="none"/>
              </w:rPr>
              <w:t>in</w:t>
            </w:r>
            <w:r w:rsidRPr="00E37FBE" w:rsidDel="00CD20D9">
              <w:rPr>
                <w:u w:val="none"/>
              </w:rPr>
              <w:t xml:space="preserve"> </w:t>
            </w:r>
            <w:r w:rsidR="007778A0" w:rsidRPr="00E37FBE">
              <w:rPr>
                <w:u w:val="none"/>
              </w:rPr>
              <w:t xml:space="preserve">columns </w:t>
            </w:r>
            <w:r w:rsidR="00C90DF5" w:rsidRPr="00E37FBE">
              <w:rPr>
                <w:u w:val="none"/>
              </w:rPr>
              <w:t>0</w:t>
            </w:r>
            <w:r w:rsidR="00AF1439" w:rsidRPr="00E37FBE">
              <w:rPr>
                <w:u w:val="none"/>
              </w:rPr>
              <w:t xml:space="preserve">090 and </w:t>
            </w:r>
            <w:r w:rsidR="00C90DF5" w:rsidRPr="00E37FBE">
              <w:rPr>
                <w:u w:val="none"/>
              </w:rPr>
              <w:t>0</w:t>
            </w:r>
            <w:r w:rsidR="00AF1439" w:rsidRPr="00E37FBE">
              <w:rPr>
                <w:u w:val="none"/>
              </w:rPr>
              <w:t>100</w:t>
            </w:r>
            <w:r w:rsidRPr="00E37FBE">
              <w:rPr>
                <w:u w:val="none"/>
              </w:rPr>
              <w:t>;</w:t>
            </w:r>
          </w:p>
          <w:p w14:paraId="3C4AC9B6" w14:textId="7E09F360" w:rsidR="007778A0" w:rsidRPr="00E37FBE" w:rsidRDefault="00CD20D9" w:rsidP="00927DCB">
            <w:pPr>
              <w:pStyle w:val="InstructionsText2"/>
              <w:numPr>
                <w:ilvl w:val="1"/>
                <w:numId w:val="12"/>
              </w:numPr>
              <w:rPr>
                <w:u w:val="none"/>
              </w:rPr>
            </w:pPr>
            <w:r w:rsidRPr="00E37FBE">
              <w:rPr>
                <w:u w:val="none"/>
              </w:rPr>
              <w:t>g</w:t>
            </w:r>
            <w:r w:rsidR="004B3AC2" w:rsidRPr="00E37FBE">
              <w:rPr>
                <w:u w:val="none"/>
              </w:rPr>
              <w:t xml:space="preserve">reater than 6 months and less than or equal to </w:t>
            </w:r>
            <w:r w:rsidR="007778A0" w:rsidRPr="00E37FBE">
              <w:rPr>
                <w:u w:val="none"/>
              </w:rPr>
              <w:t xml:space="preserve">1 year </w:t>
            </w:r>
            <w:r w:rsidRPr="00E37FBE">
              <w:rPr>
                <w:u w:val="none"/>
              </w:rPr>
              <w:t>in</w:t>
            </w:r>
            <w:r w:rsidRPr="00E37FBE" w:rsidDel="00CD20D9">
              <w:rPr>
                <w:u w:val="none"/>
              </w:rPr>
              <w:t xml:space="preserve"> </w:t>
            </w:r>
            <w:r w:rsidR="007778A0" w:rsidRPr="00E37FBE">
              <w:rPr>
                <w:u w:val="none"/>
              </w:rPr>
              <w:t xml:space="preserve">columns </w:t>
            </w:r>
            <w:r w:rsidR="00C90DF5" w:rsidRPr="00E37FBE">
              <w:rPr>
                <w:u w:val="none"/>
              </w:rPr>
              <w:t>0</w:t>
            </w:r>
            <w:r w:rsidR="00AF1439" w:rsidRPr="00E37FBE">
              <w:rPr>
                <w:u w:val="none"/>
              </w:rPr>
              <w:t xml:space="preserve">110 and </w:t>
            </w:r>
            <w:r w:rsidR="00C90DF5" w:rsidRPr="00E37FBE">
              <w:rPr>
                <w:u w:val="none"/>
              </w:rPr>
              <w:t>0</w:t>
            </w:r>
            <w:r w:rsidR="00AF1439" w:rsidRPr="00E37FBE">
              <w:rPr>
                <w:u w:val="none"/>
              </w:rPr>
              <w:t>120</w:t>
            </w:r>
            <w:r w:rsidRPr="00E37FBE">
              <w:rPr>
                <w:u w:val="none"/>
              </w:rPr>
              <w:t>;</w:t>
            </w:r>
          </w:p>
          <w:p w14:paraId="1C290FE7" w14:textId="4E5B0810" w:rsidR="007778A0" w:rsidRPr="00E37FBE" w:rsidRDefault="00CD20D9" w:rsidP="00927DCB">
            <w:pPr>
              <w:pStyle w:val="InstructionsText2"/>
              <w:numPr>
                <w:ilvl w:val="1"/>
                <w:numId w:val="12"/>
              </w:numPr>
              <w:rPr>
                <w:u w:val="none"/>
              </w:rPr>
            </w:pPr>
            <w:r w:rsidRPr="00E37FBE">
              <w:rPr>
                <w:u w:val="none"/>
              </w:rPr>
              <w:t>g</w:t>
            </w:r>
            <w:r w:rsidR="004B3AC2" w:rsidRPr="00E37FBE">
              <w:rPr>
                <w:u w:val="none"/>
              </w:rPr>
              <w:t xml:space="preserve">reater than 1 year and less than or equal to </w:t>
            </w:r>
            <w:r w:rsidR="007778A0" w:rsidRPr="00E37FBE">
              <w:rPr>
                <w:u w:val="none"/>
              </w:rPr>
              <w:t xml:space="preserve">2 years </w:t>
            </w:r>
            <w:r w:rsidRPr="00E37FBE">
              <w:rPr>
                <w:u w:val="none"/>
              </w:rPr>
              <w:t>in</w:t>
            </w:r>
            <w:r w:rsidRPr="00E37FBE" w:rsidDel="00CD20D9">
              <w:rPr>
                <w:u w:val="none"/>
              </w:rPr>
              <w:t xml:space="preserve"> </w:t>
            </w:r>
            <w:r w:rsidR="007778A0" w:rsidRPr="00E37FBE">
              <w:rPr>
                <w:u w:val="none"/>
              </w:rPr>
              <w:t xml:space="preserve">columns </w:t>
            </w:r>
            <w:r w:rsidR="00C90DF5" w:rsidRPr="00E37FBE">
              <w:rPr>
                <w:u w:val="none"/>
              </w:rPr>
              <w:t>0</w:t>
            </w:r>
            <w:r w:rsidR="00AF1439" w:rsidRPr="00E37FBE">
              <w:rPr>
                <w:u w:val="none"/>
              </w:rPr>
              <w:t xml:space="preserve">130 and </w:t>
            </w:r>
            <w:r w:rsidR="00C90DF5" w:rsidRPr="00E37FBE">
              <w:rPr>
                <w:u w:val="none"/>
              </w:rPr>
              <w:t>0</w:t>
            </w:r>
            <w:r w:rsidR="00AF1439" w:rsidRPr="00E37FBE">
              <w:rPr>
                <w:u w:val="none"/>
              </w:rPr>
              <w:t>140</w:t>
            </w:r>
            <w:r w:rsidRPr="00E37FBE">
              <w:rPr>
                <w:u w:val="none"/>
              </w:rPr>
              <w:t>;</w:t>
            </w:r>
          </w:p>
          <w:p w14:paraId="6E53E104" w14:textId="03252B84" w:rsidR="007778A0" w:rsidRPr="00E37FBE" w:rsidRDefault="00CD20D9" w:rsidP="00927DCB">
            <w:pPr>
              <w:pStyle w:val="InstructionsText2"/>
              <w:numPr>
                <w:ilvl w:val="1"/>
                <w:numId w:val="12"/>
              </w:numPr>
              <w:rPr>
                <w:u w:val="none"/>
              </w:rPr>
            </w:pPr>
            <w:r w:rsidRPr="00E37FBE">
              <w:rPr>
                <w:u w:val="none"/>
              </w:rPr>
              <w:t>g</w:t>
            </w:r>
            <w:r w:rsidR="004B3AC2" w:rsidRPr="00E37FBE">
              <w:rPr>
                <w:u w:val="none"/>
              </w:rPr>
              <w:t xml:space="preserve">reater than 2 years and less than or equal to </w:t>
            </w:r>
            <w:r w:rsidR="007778A0" w:rsidRPr="00E37FBE">
              <w:rPr>
                <w:u w:val="none"/>
              </w:rPr>
              <w:t>5 years</w:t>
            </w:r>
            <w:r w:rsidR="00860F92" w:rsidRPr="00E37FBE">
              <w:rPr>
                <w:u w:val="none"/>
              </w:rPr>
              <w:t xml:space="preserve"> </w:t>
            </w:r>
            <w:r w:rsidRPr="00E37FBE">
              <w:rPr>
                <w:u w:val="none"/>
              </w:rPr>
              <w:t>in</w:t>
            </w:r>
            <w:r w:rsidRPr="00E37FBE" w:rsidDel="00CD20D9">
              <w:rPr>
                <w:u w:val="none"/>
              </w:rPr>
              <w:t xml:space="preserve"> </w:t>
            </w:r>
            <w:r w:rsidR="007778A0" w:rsidRPr="00E37FBE">
              <w:rPr>
                <w:u w:val="none"/>
              </w:rPr>
              <w:t xml:space="preserve">columns </w:t>
            </w:r>
            <w:r w:rsidR="00C90DF5" w:rsidRPr="00E37FBE">
              <w:rPr>
                <w:u w:val="none"/>
              </w:rPr>
              <w:t>0</w:t>
            </w:r>
            <w:r w:rsidR="00AF1439" w:rsidRPr="00E37FBE">
              <w:rPr>
                <w:u w:val="none"/>
              </w:rPr>
              <w:t xml:space="preserve">150 and </w:t>
            </w:r>
            <w:r w:rsidR="00C90DF5" w:rsidRPr="00E37FBE">
              <w:rPr>
                <w:u w:val="none"/>
              </w:rPr>
              <w:t>0</w:t>
            </w:r>
            <w:r w:rsidR="00AF1439" w:rsidRPr="00E37FBE">
              <w:rPr>
                <w:u w:val="none"/>
              </w:rPr>
              <w:t>160</w:t>
            </w:r>
            <w:r w:rsidRPr="00E37FBE">
              <w:rPr>
                <w:u w:val="none"/>
              </w:rPr>
              <w:t>;</w:t>
            </w:r>
          </w:p>
          <w:p w14:paraId="22EC36F6" w14:textId="5EE6B232" w:rsidR="00CE333E" w:rsidRPr="00E37FBE" w:rsidRDefault="00CD20D9" w:rsidP="00927DCB">
            <w:pPr>
              <w:pStyle w:val="InstructionsText2"/>
              <w:numPr>
                <w:ilvl w:val="1"/>
                <w:numId w:val="12"/>
              </w:numPr>
            </w:pPr>
            <w:r w:rsidRPr="00E37FBE">
              <w:rPr>
                <w:u w:val="none"/>
              </w:rPr>
              <w:t>g</w:t>
            </w:r>
            <w:r w:rsidR="004B3AC2" w:rsidRPr="00E37FBE">
              <w:rPr>
                <w:u w:val="none"/>
              </w:rPr>
              <w:t xml:space="preserve">reater than 5 years and less than or equal to </w:t>
            </w:r>
            <w:r w:rsidR="007778A0" w:rsidRPr="00E37FBE">
              <w:rPr>
                <w:u w:val="none"/>
              </w:rPr>
              <w:t xml:space="preserve">10 years </w:t>
            </w:r>
            <w:r w:rsidRPr="00E37FBE">
              <w:rPr>
                <w:u w:val="none"/>
              </w:rPr>
              <w:t>in</w:t>
            </w:r>
            <w:r w:rsidRPr="00E37FBE" w:rsidDel="00CD20D9">
              <w:rPr>
                <w:u w:val="none"/>
              </w:rPr>
              <w:t xml:space="preserve"> </w:t>
            </w:r>
            <w:r w:rsidR="007778A0" w:rsidRPr="00E37FBE">
              <w:rPr>
                <w:u w:val="none"/>
              </w:rPr>
              <w:t xml:space="preserve">columns </w:t>
            </w:r>
            <w:r w:rsidR="00C90DF5" w:rsidRPr="00E37FBE">
              <w:rPr>
                <w:u w:val="none"/>
              </w:rPr>
              <w:t>0</w:t>
            </w:r>
            <w:r w:rsidR="00AF1439" w:rsidRPr="00E37FBE">
              <w:rPr>
                <w:u w:val="none"/>
              </w:rPr>
              <w:t xml:space="preserve">170 and </w:t>
            </w:r>
            <w:r w:rsidR="00C90DF5" w:rsidRPr="00E37FBE">
              <w:rPr>
                <w:u w:val="none"/>
              </w:rPr>
              <w:t>0</w:t>
            </w:r>
            <w:r w:rsidR="00AF1439" w:rsidRPr="00E37FBE">
              <w:rPr>
                <w:u w:val="none"/>
              </w:rPr>
              <w:t>180</w:t>
            </w:r>
            <w:r w:rsidRPr="00E37FBE">
              <w:rPr>
                <w:u w:val="none"/>
              </w:rPr>
              <w:t>.</w:t>
            </w:r>
          </w:p>
        </w:tc>
      </w:tr>
      <w:tr w:rsidR="00E332B3" w:rsidRPr="00E37FBE" w14:paraId="2F05E0FC" w14:textId="77777777" w:rsidTr="00A37629">
        <w:trPr>
          <w:trHeight w:val="255"/>
        </w:trPr>
        <w:tc>
          <w:tcPr>
            <w:tcW w:w="817" w:type="dxa"/>
            <w:shd w:val="clear" w:color="auto" w:fill="auto"/>
            <w:noWrap/>
          </w:tcPr>
          <w:p w14:paraId="765DA707" w14:textId="3CB74DD0" w:rsidR="002C154A" w:rsidRPr="00E37FBE" w:rsidRDefault="00AF1439">
            <w:pPr>
              <w:spacing w:before="0" w:after="0"/>
              <w:jc w:val="left"/>
              <w:rPr>
                <w:rFonts w:ascii="Times New Roman" w:hAnsi="Times New Roman"/>
                <w:szCs w:val="20"/>
                <w:lang w:eastAsia="en-GB"/>
              </w:rPr>
            </w:pPr>
            <w:r w:rsidRPr="00E37FBE">
              <w:rPr>
                <w:rFonts w:ascii="Times New Roman" w:hAnsi="Times New Roman"/>
                <w:szCs w:val="20"/>
                <w:lang w:eastAsia="en-GB"/>
              </w:rPr>
              <w:t>0</w:t>
            </w:r>
            <w:r w:rsidR="00C90DF5" w:rsidRPr="00E37FBE">
              <w:rPr>
                <w:rFonts w:ascii="Times New Roman" w:hAnsi="Times New Roman"/>
                <w:szCs w:val="20"/>
                <w:lang w:eastAsia="en-GB"/>
              </w:rPr>
              <w:t>0</w:t>
            </w:r>
            <w:r w:rsidRPr="00E37FBE">
              <w:rPr>
                <w:rFonts w:ascii="Times New Roman" w:hAnsi="Times New Roman"/>
                <w:szCs w:val="20"/>
                <w:lang w:eastAsia="en-GB"/>
              </w:rPr>
              <w:t>20</w:t>
            </w:r>
          </w:p>
        </w:tc>
        <w:tc>
          <w:tcPr>
            <w:tcW w:w="7705" w:type="dxa"/>
            <w:shd w:val="clear" w:color="auto" w:fill="auto"/>
            <w:noWrap/>
          </w:tcPr>
          <w:p w14:paraId="01DDA71E" w14:textId="357AA4E4" w:rsidR="002C154A" w:rsidRPr="00E37FBE" w:rsidRDefault="002C154A" w:rsidP="008E1558">
            <w:pPr>
              <w:rPr>
                <w:rFonts w:ascii="Times New Roman" w:hAnsi="Times New Roman"/>
                <w:b/>
                <w:szCs w:val="20"/>
                <w:u w:val="single"/>
              </w:rPr>
            </w:pPr>
            <w:r w:rsidRPr="00E37FBE">
              <w:rPr>
                <w:rFonts w:ascii="Times New Roman" w:hAnsi="Times New Roman"/>
                <w:b/>
                <w:szCs w:val="20"/>
                <w:u w:val="single"/>
              </w:rPr>
              <w:t xml:space="preserve">1.1 </w:t>
            </w:r>
            <w:r w:rsidR="00AF1439" w:rsidRPr="00E37FBE">
              <w:rPr>
                <w:rFonts w:ascii="Times New Roman" w:hAnsi="Times New Roman"/>
                <w:b/>
                <w:szCs w:val="20"/>
                <w:u w:val="single"/>
              </w:rPr>
              <w:t>Retail</w:t>
            </w:r>
            <w:r w:rsidRPr="00E37FBE">
              <w:rPr>
                <w:rFonts w:ascii="Times New Roman" w:hAnsi="Times New Roman"/>
                <w:b/>
                <w:szCs w:val="20"/>
                <w:u w:val="single"/>
              </w:rPr>
              <w:t xml:space="preserve"> </w:t>
            </w:r>
            <w:r w:rsidR="001C1BA1" w:rsidRPr="00E37FBE">
              <w:rPr>
                <w:rFonts w:ascii="Times New Roman" w:hAnsi="Times New Roman"/>
                <w:b/>
                <w:szCs w:val="20"/>
                <w:u w:val="single"/>
              </w:rPr>
              <w:t>funding</w:t>
            </w:r>
          </w:p>
          <w:p w14:paraId="2F60C8D8" w14:textId="1F37D31E" w:rsidR="002C154A" w:rsidRPr="00E37FBE" w:rsidRDefault="00CE333E" w:rsidP="005E4F4B">
            <w:pPr>
              <w:rPr>
                <w:rFonts w:ascii="Times New Roman" w:hAnsi="Times New Roman"/>
                <w:szCs w:val="20"/>
              </w:rPr>
            </w:pPr>
            <w:r w:rsidRPr="00E37FBE">
              <w:rPr>
                <w:rFonts w:ascii="Times New Roman" w:hAnsi="Times New Roman"/>
                <w:szCs w:val="20"/>
              </w:rPr>
              <w:t>Of the total funding reported in item 1, the t</w:t>
            </w:r>
            <w:r w:rsidR="002C154A" w:rsidRPr="00E37FBE">
              <w:rPr>
                <w:rFonts w:ascii="Times New Roman" w:hAnsi="Times New Roman"/>
                <w:szCs w:val="20"/>
              </w:rPr>
              <w:t xml:space="preserve">otal </w:t>
            </w:r>
            <w:r w:rsidR="00EA295B" w:rsidRPr="00E37FBE">
              <w:rPr>
                <w:rFonts w:ascii="Times New Roman" w:hAnsi="Times New Roman"/>
                <w:szCs w:val="20"/>
              </w:rPr>
              <w:t>volume</w:t>
            </w:r>
            <w:r w:rsidR="00E332B3" w:rsidRPr="00E37FBE">
              <w:rPr>
                <w:rFonts w:ascii="Times New Roman" w:hAnsi="Times New Roman"/>
                <w:szCs w:val="20"/>
              </w:rPr>
              <w:t xml:space="preserve"> and </w:t>
            </w:r>
            <w:r w:rsidR="00E42487" w:rsidRPr="00E37FBE">
              <w:rPr>
                <w:rFonts w:ascii="Times New Roman" w:hAnsi="Times New Roman"/>
                <w:szCs w:val="20"/>
              </w:rPr>
              <w:t xml:space="preserve">weighted average </w:t>
            </w:r>
            <w:r w:rsidR="00E332B3" w:rsidRPr="00E37FBE">
              <w:rPr>
                <w:rFonts w:ascii="Times New Roman" w:hAnsi="Times New Roman"/>
                <w:szCs w:val="20"/>
              </w:rPr>
              <w:t>spread</w:t>
            </w:r>
            <w:r w:rsidR="002C154A" w:rsidRPr="00E37FBE">
              <w:rPr>
                <w:rFonts w:ascii="Times New Roman" w:hAnsi="Times New Roman"/>
                <w:szCs w:val="20"/>
              </w:rPr>
              <w:t xml:space="preserve"> of </w:t>
            </w:r>
            <w:r w:rsidR="00AF1439" w:rsidRPr="00E37FBE">
              <w:rPr>
                <w:rFonts w:ascii="Times New Roman" w:hAnsi="Times New Roman"/>
                <w:szCs w:val="20"/>
              </w:rPr>
              <w:t xml:space="preserve">retail </w:t>
            </w:r>
            <w:r w:rsidR="001C1BA1" w:rsidRPr="00E37FBE">
              <w:rPr>
                <w:rFonts w:ascii="Times New Roman" w:hAnsi="Times New Roman"/>
                <w:szCs w:val="20"/>
              </w:rPr>
              <w:t xml:space="preserve">funding </w:t>
            </w:r>
            <w:r w:rsidR="00DD5897" w:rsidRPr="00E37FBE">
              <w:rPr>
                <w:rFonts w:ascii="Times New Roman" w:hAnsi="Times New Roman"/>
                <w:szCs w:val="20"/>
              </w:rPr>
              <w:t>obtained</w:t>
            </w:r>
            <w:r w:rsidR="002C154A" w:rsidRPr="00E37FBE">
              <w:rPr>
                <w:rFonts w:ascii="Times New Roman" w:hAnsi="Times New Roman"/>
                <w:szCs w:val="20"/>
              </w:rPr>
              <w:t>.</w:t>
            </w:r>
          </w:p>
        </w:tc>
      </w:tr>
      <w:tr w:rsidR="00AF1439" w:rsidRPr="00E37FBE" w14:paraId="2AEBF8C4" w14:textId="77777777" w:rsidTr="00A37629">
        <w:trPr>
          <w:trHeight w:val="255"/>
        </w:trPr>
        <w:tc>
          <w:tcPr>
            <w:tcW w:w="817" w:type="dxa"/>
            <w:shd w:val="clear" w:color="auto" w:fill="auto"/>
            <w:noWrap/>
          </w:tcPr>
          <w:p w14:paraId="0F94FE37" w14:textId="2769A710" w:rsidR="00AF1439" w:rsidRPr="00E37FBE" w:rsidRDefault="00AF1439" w:rsidP="00ED41A4">
            <w:pPr>
              <w:spacing w:before="0" w:after="0"/>
              <w:jc w:val="left"/>
              <w:rPr>
                <w:rFonts w:ascii="Times New Roman" w:hAnsi="Times New Roman"/>
                <w:szCs w:val="20"/>
                <w:lang w:eastAsia="en-GB"/>
              </w:rPr>
            </w:pPr>
            <w:r w:rsidRPr="00E37FBE">
              <w:rPr>
                <w:rFonts w:ascii="Times New Roman" w:hAnsi="Times New Roman"/>
                <w:szCs w:val="20"/>
                <w:lang w:eastAsia="en-GB"/>
              </w:rPr>
              <w:t>0</w:t>
            </w:r>
            <w:r w:rsidR="00C90DF5" w:rsidRPr="00E37FBE">
              <w:rPr>
                <w:rFonts w:ascii="Times New Roman" w:hAnsi="Times New Roman"/>
                <w:szCs w:val="20"/>
                <w:lang w:eastAsia="en-GB"/>
              </w:rPr>
              <w:t>0</w:t>
            </w:r>
            <w:r w:rsidRPr="00E37FBE">
              <w:rPr>
                <w:rFonts w:ascii="Times New Roman" w:hAnsi="Times New Roman"/>
                <w:szCs w:val="20"/>
                <w:lang w:eastAsia="en-GB"/>
              </w:rPr>
              <w:t>30</w:t>
            </w:r>
          </w:p>
        </w:tc>
        <w:tc>
          <w:tcPr>
            <w:tcW w:w="7705" w:type="dxa"/>
            <w:shd w:val="clear" w:color="auto" w:fill="auto"/>
            <w:noWrap/>
          </w:tcPr>
          <w:p w14:paraId="61E92F36" w14:textId="3D1490F3" w:rsidR="00AF1439" w:rsidRPr="00E37FBE" w:rsidRDefault="00AF1439" w:rsidP="008E1558">
            <w:pPr>
              <w:rPr>
                <w:rFonts w:ascii="Times New Roman" w:hAnsi="Times New Roman"/>
                <w:b/>
                <w:szCs w:val="20"/>
                <w:u w:val="single"/>
              </w:rPr>
            </w:pPr>
            <w:r w:rsidRPr="00E37FBE">
              <w:rPr>
                <w:rFonts w:ascii="Times New Roman" w:hAnsi="Times New Roman"/>
                <w:b/>
                <w:szCs w:val="20"/>
                <w:u w:val="single"/>
              </w:rPr>
              <w:t xml:space="preserve">1.2 </w:t>
            </w:r>
            <w:r w:rsidR="000B2BA0" w:rsidRPr="00E37FBE">
              <w:rPr>
                <w:rFonts w:ascii="Times New Roman" w:hAnsi="Times New Roman"/>
                <w:b/>
                <w:szCs w:val="20"/>
                <w:u w:val="single"/>
              </w:rPr>
              <w:t xml:space="preserve">Unsecured wholesale </w:t>
            </w:r>
            <w:r w:rsidR="001C1BA1" w:rsidRPr="00E37FBE">
              <w:rPr>
                <w:rFonts w:ascii="Times New Roman" w:hAnsi="Times New Roman"/>
                <w:b/>
                <w:szCs w:val="20"/>
                <w:u w:val="single"/>
              </w:rPr>
              <w:t>funding</w:t>
            </w:r>
          </w:p>
          <w:p w14:paraId="49C52367" w14:textId="3BAAFA1E" w:rsidR="00AF1439" w:rsidRPr="00E37FBE" w:rsidRDefault="00AF1439" w:rsidP="001C1BA1">
            <w:pPr>
              <w:rPr>
                <w:rFonts w:ascii="Times New Roman" w:hAnsi="Times New Roman"/>
                <w:szCs w:val="20"/>
              </w:rPr>
            </w:pPr>
            <w:r w:rsidRPr="00E37FBE">
              <w:rPr>
                <w:rFonts w:ascii="Times New Roman" w:hAnsi="Times New Roman"/>
                <w:szCs w:val="20"/>
              </w:rPr>
              <w:t xml:space="preserve">Of the total funding in item 1, the total volume and weighted average spread of unsecured wholesale </w:t>
            </w:r>
            <w:r w:rsidR="001C1BA1" w:rsidRPr="00E37FBE">
              <w:rPr>
                <w:rFonts w:ascii="Times New Roman" w:hAnsi="Times New Roman"/>
                <w:szCs w:val="20"/>
              </w:rPr>
              <w:t xml:space="preserve">funding </w:t>
            </w:r>
            <w:r w:rsidRPr="00E37FBE">
              <w:rPr>
                <w:rFonts w:ascii="Times New Roman" w:hAnsi="Times New Roman"/>
                <w:szCs w:val="20"/>
              </w:rPr>
              <w:t>obtained</w:t>
            </w:r>
            <w:r w:rsidR="001861B7" w:rsidRPr="00E37FBE">
              <w:rPr>
                <w:rFonts w:ascii="Times New Roman" w:hAnsi="Times New Roman"/>
                <w:szCs w:val="20"/>
              </w:rPr>
              <w:t>.</w:t>
            </w:r>
          </w:p>
        </w:tc>
      </w:tr>
      <w:tr w:rsidR="00F7385A" w:rsidRPr="00E37FBE" w14:paraId="75B65C2C" w14:textId="77777777" w:rsidTr="004963F1">
        <w:trPr>
          <w:trHeight w:val="255"/>
        </w:trPr>
        <w:tc>
          <w:tcPr>
            <w:tcW w:w="817" w:type="dxa"/>
            <w:shd w:val="clear" w:color="auto" w:fill="auto"/>
            <w:noWrap/>
          </w:tcPr>
          <w:p w14:paraId="0B985CB4" w14:textId="5FF70F65" w:rsidR="00F7385A" w:rsidRPr="00E37FBE" w:rsidRDefault="00F7385A" w:rsidP="00576AAA">
            <w:pPr>
              <w:spacing w:before="0" w:after="0"/>
              <w:jc w:val="left"/>
              <w:rPr>
                <w:rFonts w:ascii="Times New Roman" w:hAnsi="Times New Roman"/>
                <w:szCs w:val="20"/>
                <w:lang w:eastAsia="en-GB"/>
              </w:rPr>
            </w:pPr>
            <w:r w:rsidRPr="00E37FBE">
              <w:rPr>
                <w:rFonts w:ascii="Times New Roman" w:hAnsi="Times New Roman"/>
                <w:szCs w:val="20"/>
                <w:lang w:eastAsia="en-GB"/>
              </w:rPr>
              <w:t>0</w:t>
            </w:r>
            <w:r w:rsidR="00C90DF5" w:rsidRPr="00E37FBE">
              <w:rPr>
                <w:rFonts w:ascii="Times New Roman" w:hAnsi="Times New Roman"/>
                <w:szCs w:val="20"/>
                <w:lang w:eastAsia="en-GB"/>
              </w:rPr>
              <w:t>0</w:t>
            </w:r>
            <w:r w:rsidR="00391D31" w:rsidRPr="00E37FBE">
              <w:rPr>
                <w:rFonts w:ascii="Times New Roman" w:hAnsi="Times New Roman"/>
                <w:szCs w:val="20"/>
                <w:lang w:eastAsia="en-GB"/>
              </w:rPr>
              <w:t>35</w:t>
            </w:r>
          </w:p>
        </w:tc>
        <w:tc>
          <w:tcPr>
            <w:tcW w:w="7705" w:type="dxa"/>
            <w:shd w:val="clear" w:color="auto" w:fill="auto"/>
            <w:noWrap/>
          </w:tcPr>
          <w:p w14:paraId="6F29157E" w14:textId="24168A0F" w:rsidR="00F7385A" w:rsidRPr="00E37FBE" w:rsidRDefault="00F7385A" w:rsidP="004963F1">
            <w:pPr>
              <w:rPr>
                <w:rFonts w:ascii="Times New Roman" w:hAnsi="Times New Roman"/>
                <w:b/>
                <w:szCs w:val="20"/>
                <w:u w:val="single"/>
              </w:rPr>
            </w:pPr>
            <w:r w:rsidRPr="00E37FBE">
              <w:rPr>
                <w:rFonts w:ascii="Times New Roman" w:hAnsi="Times New Roman"/>
                <w:b/>
                <w:szCs w:val="20"/>
                <w:u w:val="single"/>
              </w:rPr>
              <w:t>1.</w:t>
            </w:r>
            <w:r w:rsidR="004B0626" w:rsidRPr="00E37FBE">
              <w:rPr>
                <w:rFonts w:ascii="Times New Roman" w:hAnsi="Times New Roman"/>
                <w:b/>
                <w:szCs w:val="20"/>
                <w:u w:val="single"/>
              </w:rPr>
              <w:t>2.1</w:t>
            </w:r>
            <w:r w:rsidRPr="00E37FBE">
              <w:rPr>
                <w:rFonts w:ascii="Times New Roman" w:hAnsi="Times New Roman"/>
                <w:b/>
                <w:szCs w:val="20"/>
                <w:u w:val="single"/>
              </w:rPr>
              <w:t xml:space="preserve"> of which: Senior unsecured securities</w:t>
            </w:r>
          </w:p>
          <w:p w14:paraId="162A7425" w14:textId="179FF3F4" w:rsidR="00F7385A" w:rsidRPr="00E37FBE" w:rsidRDefault="00F7385A" w:rsidP="004963F1">
            <w:pPr>
              <w:rPr>
                <w:rFonts w:ascii="Times New Roman" w:hAnsi="Times New Roman"/>
                <w:b/>
                <w:szCs w:val="20"/>
                <w:u w:val="single"/>
              </w:rPr>
            </w:pPr>
            <w:r w:rsidRPr="00E37FBE">
              <w:rPr>
                <w:rFonts w:ascii="Times New Roman" w:hAnsi="Times New Roman"/>
                <w:szCs w:val="20"/>
              </w:rPr>
              <w:t>Of the unsecured wholesale funding reported in item 1.2, the total volume and weighted average</w:t>
            </w:r>
            <w:r w:rsidR="007B1FAA" w:rsidRPr="00E37FBE">
              <w:rPr>
                <w:rFonts w:ascii="Times New Roman" w:hAnsi="Times New Roman"/>
                <w:szCs w:val="20"/>
              </w:rPr>
              <w:t xml:space="preserve"> spread</w:t>
            </w:r>
            <w:r w:rsidRPr="00E37FBE">
              <w:rPr>
                <w:rFonts w:ascii="Times New Roman" w:hAnsi="Times New Roman"/>
                <w:szCs w:val="20"/>
              </w:rPr>
              <w:t xml:space="preserve"> rate of senior unsecured securities obtained.</w:t>
            </w:r>
          </w:p>
        </w:tc>
      </w:tr>
      <w:tr w:rsidR="00DD5897" w:rsidRPr="00E37FBE" w14:paraId="6186F1AE" w14:textId="77777777" w:rsidTr="00A37629">
        <w:trPr>
          <w:trHeight w:val="255"/>
        </w:trPr>
        <w:tc>
          <w:tcPr>
            <w:tcW w:w="817" w:type="dxa"/>
            <w:shd w:val="clear" w:color="auto" w:fill="auto"/>
            <w:noWrap/>
          </w:tcPr>
          <w:p w14:paraId="39B34295" w14:textId="0225D43C" w:rsidR="00DD5897" w:rsidRPr="00E37FBE" w:rsidRDefault="00391D31" w:rsidP="00576AAA">
            <w:pPr>
              <w:spacing w:before="0" w:after="0"/>
              <w:jc w:val="left"/>
              <w:rPr>
                <w:rFonts w:ascii="Times New Roman" w:hAnsi="Times New Roman"/>
                <w:szCs w:val="20"/>
                <w:lang w:eastAsia="en-GB"/>
              </w:rPr>
            </w:pPr>
            <w:r w:rsidRPr="00E37FBE">
              <w:rPr>
                <w:rFonts w:ascii="Times New Roman" w:hAnsi="Times New Roman"/>
                <w:szCs w:val="20"/>
                <w:lang w:eastAsia="en-GB"/>
              </w:rPr>
              <w:t>0045</w:t>
            </w:r>
          </w:p>
        </w:tc>
        <w:tc>
          <w:tcPr>
            <w:tcW w:w="7705" w:type="dxa"/>
            <w:shd w:val="clear" w:color="auto" w:fill="auto"/>
            <w:noWrap/>
          </w:tcPr>
          <w:p w14:paraId="2D0E1DA1" w14:textId="004BBDAB" w:rsidR="00DD5897" w:rsidRPr="00E37FBE" w:rsidRDefault="00DD5897" w:rsidP="00193B6D">
            <w:pPr>
              <w:rPr>
                <w:rFonts w:ascii="Times New Roman" w:hAnsi="Times New Roman"/>
                <w:b/>
                <w:szCs w:val="20"/>
                <w:u w:val="single"/>
              </w:rPr>
            </w:pPr>
            <w:r w:rsidRPr="00E37FBE">
              <w:rPr>
                <w:rFonts w:ascii="Times New Roman" w:hAnsi="Times New Roman"/>
                <w:b/>
                <w:szCs w:val="20"/>
                <w:u w:val="single"/>
              </w:rPr>
              <w:t>1.</w:t>
            </w:r>
            <w:r w:rsidR="00AF1439" w:rsidRPr="00E37FBE">
              <w:rPr>
                <w:rFonts w:ascii="Times New Roman" w:hAnsi="Times New Roman"/>
                <w:b/>
                <w:szCs w:val="20"/>
                <w:u w:val="single"/>
              </w:rPr>
              <w:t>3</w:t>
            </w:r>
            <w:r w:rsidRPr="00E37FBE">
              <w:rPr>
                <w:rFonts w:ascii="Times New Roman" w:hAnsi="Times New Roman"/>
                <w:b/>
                <w:szCs w:val="20"/>
                <w:u w:val="single"/>
              </w:rPr>
              <w:t xml:space="preserve"> Secured funding</w:t>
            </w:r>
            <w:r w:rsidR="00A37629" w:rsidRPr="00E37FBE">
              <w:rPr>
                <w:rFonts w:ascii="Times New Roman" w:hAnsi="Times New Roman"/>
                <w:b/>
                <w:szCs w:val="20"/>
                <w:u w:val="single"/>
              </w:rPr>
              <w:t xml:space="preserve"> (non-Central Bank)</w:t>
            </w:r>
          </w:p>
          <w:p w14:paraId="1193789E" w14:textId="74B8019E" w:rsidR="00DD5897" w:rsidRPr="00E37FBE" w:rsidRDefault="00CE333E" w:rsidP="008914E0">
            <w:pPr>
              <w:rPr>
                <w:rFonts w:ascii="Times New Roman" w:hAnsi="Times New Roman"/>
                <w:b/>
                <w:szCs w:val="20"/>
                <w:u w:val="single"/>
              </w:rPr>
            </w:pPr>
            <w:r w:rsidRPr="00E37FBE">
              <w:rPr>
                <w:rFonts w:ascii="Times New Roman" w:hAnsi="Times New Roman"/>
                <w:szCs w:val="20"/>
              </w:rPr>
              <w:t xml:space="preserve">Of the total funding reported in item 1, the total </w:t>
            </w:r>
            <w:r w:rsidR="00EA295B" w:rsidRPr="00E37FBE">
              <w:rPr>
                <w:rFonts w:ascii="Times New Roman" w:hAnsi="Times New Roman"/>
                <w:szCs w:val="20"/>
              </w:rPr>
              <w:t>volume</w:t>
            </w:r>
            <w:r w:rsidR="00DD5897" w:rsidRPr="00E37FBE">
              <w:rPr>
                <w:rFonts w:ascii="Times New Roman" w:hAnsi="Times New Roman"/>
                <w:szCs w:val="20"/>
              </w:rPr>
              <w:t xml:space="preserve"> and </w:t>
            </w:r>
            <w:r w:rsidR="002A7582" w:rsidRPr="00E37FBE">
              <w:rPr>
                <w:rFonts w:ascii="Times New Roman" w:hAnsi="Times New Roman"/>
                <w:szCs w:val="20"/>
              </w:rPr>
              <w:t xml:space="preserve">weighted average </w:t>
            </w:r>
            <w:r w:rsidR="00DD5897" w:rsidRPr="00E37FBE">
              <w:rPr>
                <w:rFonts w:ascii="Times New Roman" w:hAnsi="Times New Roman"/>
                <w:szCs w:val="20"/>
              </w:rPr>
              <w:t>spread of secured funding obtained</w:t>
            </w:r>
            <w:r w:rsidR="00A37629" w:rsidRPr="00E37FBE">
              <w:rPr>
                <w:rFonts w:ascii="Times New Roman" w:hAnsi="Times New Roman"/>
                <w:szCs w:val="20"/>
              </w:rPr>
              <w:t xml:space="preserve"> from a</w:t>
            </w:r>
            <w:r w:rsidR="008914E0" w:rsidRPr="00E37FBE">
              <w:rPr>
                <w:rFonts w:ascii="Times New Roman" w:hAnsi="Times New Roman"/>
                <w:szCs w:val="20"/>
              </w:rPr>
              <w:t xml:space="preserve"> counterparty, which is not a </w:t>
            </w:r>
            <w:r w:rsidR="00A37629" w:rsidRPr="00E37FBE">
              <w:rPr>
                <w:rFonts w:ascii="Times New Roman" w:hAnsi="Times New Roman"/>
                <w:szCs w:val="20"/>
              </w:rPr>
              <w:t>Central Bank</w:t>
            </w:r>
            <w:r w:rsidR="00DD5897" w:rsidRPr="00E37FBE">
              <w:rPr>
                <w:rFonts w:ascii="Times New Roman" w:hAnsi="Times New Roman"/>
                <w:szCs w:val="20"/>
              </w:rPr>
              <w:t>.</w:t>
            </w:r>
            <w:r w:rsidR="004A3C6D" w:rsidRPr="00E37FBE">
              <w:rPr>
                <w:rFonts w:ascii="Times New Roman" w:hAnsi="Times New Roman"/>
                <w:szCs w:val="20"/>
              </w:rPr>
              <w:t xml:space="preserve"> </w:t>
            </w:r>
          </w:p>
        </w:tc>
      </w:tr>
      <w:tr w:rsidR="00A37629" w:rsidRPr="00E37FBE" w14:paraId="28F41CB6" w14:textId="77777777" w:rsidTr="00A37629">
        <w:trPr>
          <w:trHeight w:val="255"/>
        </w:trPr>
        <w:tc>
          <w:tcPr>
            <w:tcW w:w="817" w:type="dxa"/>
            <w:shd w:val="clear" w:color="auto" w:fill="auto"/>
            <w:noWrap/>
          </w:tcPr>
          <w:p w14:paraId="27FBC55D" w14:textId="5222F996" w:rsidR="00A37629" w:rsidRPr="00E37FBE" w:rsidRDefault="00A37629" w:rsidP="00A37629">
            <w:pPr>
              <w:spacing w:before="0" w:after="0"/>
              <w:jc w:val="left"/>
              <w:rPr>
                <w:rFonts w:ascii="Times New Roman" w:hAnsi="Times New Roman"/>
                <w:szCs w:val="20"/>
                <w:lang w:eastAsia="en-GB"/>
              </w:rPr>
            </w:pPr>
            <w:r w:rsidRPr="00E37FBE">
              <w:rPr>
                <w:rFonts w:ascii="Times New Roman" w:hAnsi="Times New Roman"/>
                <w:szCs w:val="20"/>
                <w:lang w:eastAsia="en-GB"/>
              </w:rPr>
              <w:t>0</w:t>
            </w:r>
            <w:r w:rsidR="00C90DF5" w:rsidRPr="00E37FBE">
              <w:rPr>
                <w:rFonts w:ascii="Times New Roman" w:hAnsi="Times New Roman"/>
                <w:szCs w:val="20"/>
                <w:lang w:eastAsia="en-GB"/>
              </w:rPr>
              <w:t>0</w:t>
            </w:r>
            <w:r w:rsidRPr="00E37FBE">
              <w:rPr>
                <w:rFonts w:ascii="Times New Roman" w:hAnsi="Times New Roman"/>
                <w:szCs w:val="20"/>
                <w:lang w:eastAsia="en-GB"/>
              </w:rPr>
              <w:t>6</w:t>
            </w:r>
            <w:r w:rsidR="00391D31" w:rsidRPr="00E37FBE">
              <w:rPr>
                <w:rFonts w:ascii="Times New Roman" w:hAnsi="Times New Roman"/>
                <w:szCs w:val="20"/>
                <w:lang w:eastAsia="en-GB"/>
              </w:rPr>
              <w:t>5</w:t>
            </w:r>
          </w:p>
        </w:tc>
        <w:tc>
          <w:tcPr>
            <w:tcW w:w="7705" w:type="dxa"/>
            <w:shd w:val="clear" w:color="auto" w:fill="auto"/>
            <w:noWrap/>
          </w:tcPr>
          <w:p w14:paraId="00CF474C" w14:textId="22CDCE6E" w:rsidR="00A37629" w:rsidRPr="00E37FBE" w:rsidRDefault="00A37629" w:rsidP="00A37629">
            <w:pPr>
              <w:rPr>
                <w:rFonts w:ascii="Times New Roman" w:hAnsi="Times New Roman"/>
                <w:b/>
                <w:szCs w:val="20"/>
                <w:u w:val="single"/>
              </w:rPr>
            </w:pPr>
            <w:r w:rsidRPr="00E37FBE">
              <w:rPr>
                <w:rFonts w:ascii="Times New Roman" w:hAnsi="Times New Roman"/>
                <w:b/>
                <w:szCs w:val="20"/>
                <w:u w:val="single"/>
              </w:rPr>
              <w:t>1.</w:t>
            </w:r>
            <w:r w:rsidR="004B0626" w:rsidRPr="00E37FBE">
              <w:rPr>
                <w:rFonts w:ascii="Times New Roman" w:hAnsi="Times New Roman"/>
                <w:b/>
                <w:szCs w:val="20"/>
                <w:u w:val="single"/>
              </w:rPr>
              <w:t>3.1</w:t>
            </w:r>
            <w:r w:rsidRPr="00E37FBE">
              <w:rPr>
                <w:rFonts w:ascii="Times New Roman" w:hAnsi="Times New Roman"/>
                <w:b/>
                <w:szCs w:val="20"/>
                <w:u w:val="single"/>
              </w:rPr>
              <w:t xml:space="preserve"> of which: Covered bonds</w:t>
            </w:r>
          </w:p>
          <w:p w14:paraId="2AEEDF2A" w14:textId="4C750AC2" w:rsidR="00A37629" w:rsidRPr="00E37FBE" w:rsidRDefault="00A37629" w:rsidP="00F7385A">
            <w:pPr>
              <w:rPr>
                <w:rFonts w:ascii="Times New Roman" w:hAnsi="Times New Roman"/>
                <w:b/>
                <w:szCs w:val="20"/>
                <w:u w:val="single"/>
              </w:rPr>
            </w:pPr>
            <w:r w:rsidRPr="00E37FBE">
              <w:rPr>
                <w:rFonts w:ascii="Times New Roman" w:hAnsi="Times New Roman"/>
                <w:szCs w:val="20"/>
              </w:rPr>
              <w:t xml:space="preserve">Of the </w:t>
            </w:r>
            <w:r w:rsidR="00F7385A" w:rsidRPr="00E37FBE">
              <w:rPr>
                <w:rFonts w:ascii="Times New Roman" w:hAnsi="Times New Roman"/>
                <w:szCs w:val="20"/>
              </w:rPr>
              <w:t xml:space="preserve">secured </w:t>
            </w:r>
            <w:r w:rsidRPr="00E37FBE">
              <w:rPr>
                <w:rFonts w:ascii="Times New Roman" w:hAnsi="Times New Roman"/>
                <w:szCs w:val="20"/>
              </w:rPr>
              <w:t>funding reported in item 1</w:t>
            </w:r>
            <w:r w:rsidR="00F7385A" w:rsidRPr="00E37FBE">
              <w:rPr>
                <w:rFonts w:ascii="Times New Roman" w:hAnsi="Times New Roman"/>
                <w:szCs w:val="20"/>
              </w:rPr>
              <w:t>.3</w:t>
            </w:r>
            <w:r w:rsidRPr="00E37FBE">
              <w:rPr>
                <w:rFonts w:ascii="Times New Roman" w:hAnsi="Times New Roman"/>
                <w:szCs w:val="20"/>
              </w:rPr>
              <w:t>, the total volume and weighted average spread of all covered bond issuance encumbering the institutions own assets.</w:t>
            </w:r>
          </w:p>
        </w:tc>
      </w:tr>
      <w:tr w:rsidR="00A37629" w:rsidRPr="00E37FBE" w14:paraId="7E2EC114" w14:textId="77777777" w:rsidTr="00A37629">
        <w:trPr>
          <w:trHeight w:val="255"/>
        </w:trPr>
        <w:tc>
          <w:tcPr>
            <w:tcW w:w="817" w:type="dxa"/>
            <w:shd w:val="clear" w:color="auto" w:fill="auto"/>
            <w:noWrap/>
          </w:tcPr>
          <w:p w14:paraId="37FE37EA" w14:textId="412A822D" w:rsidR="00A37629" w:rsidRPr="00E37FBE" w:rsidRDefault="00A37629" w:rsidP="00A37629">
            <w:pPr>
              <w:spacing w:before="0" w:after="0"/>
              <w:jc w:val="left"/>
              <w:rPr>
                <w:rFonts w:ascii="Times New Roman" w:hAnsi="Times New Roman"/>
                <w:szCs w:val="20"/>
                <w:lang w:eastAsia="en-GB"/>
              </w:rPr>
            </w:pPr>
            <w:r w:rsidRPr="00E37FBE">
              <w:rPr>
                <w:rFonts w:ascii="Times New Roman" w:hAnsi="Times New Roman"/>
                <w:szCs w:val="20"/>
                <w:lang w:eastAsia="en-GB"/>
              </w:rPr>
              <w:t>0</w:t>
            </w:r>
            <w:r w:rsidR="00C90DF5" w:rsidRPr="00E37FBE">
              <w:rPr>
                <w:rFonts w:ascii="Times New Roman" w:hAnsi="Times New Roman"/>
                <w:szCs w:val="20"/>
                <w:lang w:eastAsia="en-GB"/>
              </w:rPr>
              <w:t>0</w:t>
            </w:r>
            <w:r w:rsidRPr="00E37FBE">
              <w:rPr>
                <w:rFonts w:ascii="Times New Roman" w:hAnsi="Times New Roman"/>
                <w:szCs w:val="20"/>
                <w:lang w:eastAsia="en-GB"/>
              </w:rPr>
              <w:t>7</w:t>
            </w:r>
            <w:r w:rsidR="00391D31" w:rsidRPr="00E37FBE">
              <w:rPr>
                <w:rFonts w:ascii="Times New Roman" w:hAnsi="Times New Roman"/>
                <w:szCs w:val="20"/>
                <w:lang w:eastAsia="en-GB"/>
              </w:rPr>
              <w:t>5</w:t>
            </w:r>
          </w:p>
        </w:tc>
        <w:tc>
          <w:tcPr>
            <w:tcW w:w="7705" w:type="dxa"/>
            <w:shd w:val="clear" w:color="auto" w:fill="auto"/>
            <w:noWrap/>
          </w:tcPr>
          <w:p w14:paraId="2EB3DA46" w14:textId="16D0E00D" w:rsidR="00A37629" w:rsidRPr="00E37FBE" w:rsidRDefault="00A37629" w:rsidP="00A37629">
            <w:pPr>
              <w:rPr>
                <w:rFonts w:ascii="Times New Roman" w:hAnsi="Times New Roman"/>
                <w:b/>
                <w:szCs w:val="20"/>
                <w:u w:val="single"/>
              </w:rPr>
            </w:pPr>
            <w:r w:rsidRPr="00E37FBE">
              <w:rPr>
                <w:rFonts w:ascii="Times New Roman" w:hAnsi="Times New Roman"/>
                <w:b/>
                <w:szCs w:val="20"/>
                <w:u w:val="single"/>
              </w:rPr>
              <w:t>1.</w:t>
            </w:r>
            <w:r w:rsidR="004B0626" w:rsidRPr="00E37FBE">
              <w:rPr>
                <w:rFonts w:ascii="Times New Roman" w:hAnsi="Times New Roman"/>
                <w:b/>
                <w:szCs w:val="20"/>
                <w:u w:val="single"/>
              </w:rPr>
              <w:t>3.2</w:t>
            </w:r>
            <w:r w:rsidRPr="00E37FBE">
              <w:rPr>
                <w:rFonts w:ascii="Times New Roman" w:hAnsi="Times New Roman"/>
                <w:b/>
                <w:szCs w:val="20"/>
                <w:u w:val="single"/>
              </w:rPr>
              <w:t xml:space="preserve"> of which: Asset backed securities including ABCP</w:t>
            </w:r>
          </w:p>
          <w:p w14:paraId="44C96B86" w14:textId="6630152F" w:rsidR="00A37629" w:rsidRPr="00E37FBE" w:rsidRDefault="00A37629" w:rsidP="00F7385A">
            <w:pPr>
              <w:rPr>
                <w:rFonts w:ascii="Times New Roman" w:hAnsi="Times New Roman"/>
                <w:b/>
                <w:szCs w:val="20"/>
                <w:u w:val="single"/>
              </w:rPr>
            </w:pPr>
            <w:r w:rsidRPr="00E37FBE">
              <w:rPr>
                <w:rFonts w:ascii="Times New Roman" w:hAnsi="Times New Roman"/>
                <w:szCs w:val="20"/>
              </w:rPr>
              <w:t xml:space="preserve">Of the </w:t>
            </w:r>
            <w:r w:rsidR="00F7385A" w:rsidRPr="00E37FBE">
              <w:rPr>
                <w:rFonts w:ascii="Times New Roman" w:hAnsi="Times New Roman"/>
                <w:szCs w:val="20"/>
              </w:rPr>
              <w:t xml:space="preserve">secured </w:t>
            </w:r>
            <w:r w:rsidRPr="00E37FBE">
              <w:rPr>
                <w:rFonts w:ascii="Times New Roman" w:hAnsi="Times New Roman"/>
                <w:szCs w:val="20"/>
              </w:rPr>
              <w:t>funding reported in item 1</w:t>
            </w:r>
            <w:r w:rsidR="00F7385A" w:rsidRPr="00E37FBE">
              <w:rPr>
                <w:rFonts w:ascii="Times New Roman" w:hAnsi="Times New Roman"/>
                <w:szCs w:val="20"/>
              </w:rPr>
              <w:t>.3</w:t>
            </w:r>
            <w:r w:rsidRPr="00E37FBE">
              <w:rPr>
                <w:rFonts w:ascii="Times New Roman" w:hAnsi="Times New Roman"/>
                <w:szCs w:val="20"/>
              </w:rPr>
              <w:t>, the total volume and weighted average spread of asset backed securities issued including asset backed commercial paper.</w:t>
            </w:r>
          </w:p>
        </w:tc>
      </w:tr>
      <w:tr w:rsidR="00A37629" w:rsidRPr="00E37FBE" w14:paraId="5B114A6D" w14:textId="77777777" w:rsidTr="00A37629">
        <w:trPr>
          <w:trHeight w:val="255"/>
        </w:trPr>
        <w:tc>
          <w:tcPr>
            <w:tcW w:w="817" w:type="dxa"/>
            <w:shd w:val="clear" w:color="auto" w:fill="auto"/>
            <w:noWrap/>
          </w:tcPr>
          <w:p w14:paraId="39524A45" w14:textId="1D264C45" w:rsidR="00A37629" w:rsidRPr="00E37FBE" w:rsidRDefault="00A37629" w:rsidP="00A37629">
            <w:pPr>
              <w:spacing w:before="0" w:after="0"/>
              <w:jc w:val="left"/>
              <w:rPr>
                <w:rFonts w:ascii="Times New Roman" w:hAnsi="Times New Roman"/>
                <w:szCs w:val="20"/>
                <w:lang w:eastAsia="en-GB"/>
              </w:rPr>
            </w:pPr>
            <w:r w:rsidRPr="00E37FBE">
              <w:rPr>
                <w:rFonts w:ascii="Times New Roman" w:hAnsi="Times New Roman"/>
                <w:szCs w:val="20"/>
                <w:lang w:eastAsia="en-GB"/>
              </w:rPr>
              <w:t>0</w:t>
            </w:r>
            <w:r w:rsidR="00C90DF5" w:rsidRPr="00E37FBE">
              <w:rPr>
                <w:rFonts w:ascii="Times New Roman" w:hAnsi="Times New Roman"/>
                <w:szCs w:val="20"/>
                <w:lang w:eastAsia="en-GB"/>
              </w:rPr>
              <w:t>0</w:t>
            </w:r>
            <w:r w:rsidRPr="00E37FBE">
              <w:rPr>
                <w:rFonts w:ascii="Times New Roman" w:hAnsi="Times New Roman"/>
                <w:szCs w:val="20"/>
                <w:lang w:eastAsia="en-GB"/>
              </w:rPr>
              <w:t>80</w:t>
            </w:r>
          </w:p>
        </w:tc>
        <w:tc>
          <w:tcPr>
            <w:tcW w:w="7705" w:type="dxa"/>
            <w:shd w:val="clear" w:color="auto" w:fill="auto"/>
            <w:noWrap/>
          </w:tcPr>
          <w:p w14:paraId="09FACF40" w14:textId="5DA98A55" w:rsidR="00A37629" w:rsidRPr="00E37FBE" w:rsidRDefault="00A37629" w:rsidP="00A37629">
            <w:pPr>
              <w:rPr>
                <w:rFonts w:ascii="Times New Roman" w:hAnsi="Times New Roman"/>
                <w:b/>
                <w:szCs w:val="20"/>
                <w:u w:val="single"/>
              </w:rPr>
            </w:pPr>
            <w:r w:rsidRPr="00E37FBE">
              <w:rPr>
                <w:rFonts w:ascii="Times New Roman" w:hAnsi="Times New Roman"/>
                <w:b/>
                <w:szCs w:val="20"/>
                <w:u w:val="single"/>
              </w:rPr>
              <w:t>1.</w:t>
            </w:r>
            <w:r w:rsidR="004B0626" w:rsidRPr="00E37FBE">
              <w:rPr>
                <w:rFonts w:ascii="Times New Roman" w:hAnsi="Times New Roman"/>
                <w:b/>
                <w:szCs w:val="20"/>
                <w:u w:val="single"/>
              </w:rPr>
              <w:t>4</w:t>
            </w:r>
            <w:r w:rsidRPr="00E37FBE">
              <w:rPr>
                <w:rFonts w:ascii="Times New Roman" w:hAnsi="Times New Roman"/>
                <w:b/>
                <w:szCs w:val="20"/>
                <w:u w:val="single"/>
              </w:rPr>
              <w:t xml:space="preserve"> Other funding</w:t>
            </w:r>
          </w:p>
          <w:p w14:paraId="24F80CD7" w14:textId="6D9CDB26" w:rsidR="00A37629" w:rsidRPr="00E37FBE" w:rsidRDefault="00A37629" w:rsidP="00A37629">
            <w:pPr>
              <w:rPr>
                <w:rFonts w:ascii="Times New Roman" w:hAnsi="Times New Roman"/>
                <w:b/>
                <w:szCs w:val="20"/>
                <w:u w:val="single"/>
              </w:rPr>
            </w:pPr>
            <w:r w:rsidRPr="00E37FBE">
              <w:rPr>
                <w:rFonts w:ascii="Times New Roman" w:hAnsi="Times New Roman"/>
                <w:szCs w:val="20"/>
              </w:rPr>
              <w:lastRenderedPageBreak/>
              <w:t xml:space="preserve">Of the total funding reported in item 1, the total volume and weighted average </w:t>
            </w:r>
            <w:r w:rsidR="007B1FAA" w:rsidRPr="00E37FBE">
              <w:rPr>
                <w:rFonts w:ascii="Times New Roman" w:hAnsi="Times New Roman"/>
                <w:szCs w:val="20"/>
              </w:rPr>
              <w:t>spread</w:t>
            </w:r>
            <w:r w:rsidRPr="00E37FBE">
              <w:rPr>
                <w:rFonts w:ascii="Times New Roman" w:hAnsi="Times New Roman"/>
                <w:szCs w:val="20"/>
              </w:rPr>
              <w:t xml:space="preserve"> of funding not included in items 1.1 to 1.</w:t>
            </w:r>
            <w:r w:rsidR="003A0314" w:rsidRPr="00E37FBE">
              <w:rPr>
                <w:rFonts w:ascii="Times New Roman" w:hAnsi="Times New Roman"/>
                <w:szCs w:val="20"/>
              </w:rPr>
              <w:t>3</w:t>
            </w:r>
            <w:r w:rsidR="00B438C1" w:rsidRPr="00E37FBE">
              <w:rPr>
                <w:rFonts w:ascii="Times New Roman" w:hAnsi="Times New Roman"/>
                <w:szCs w:val="20"/>
              </w:rPr>
              <w:t>, including secured funding from Central Banks</w:t>
            </w:r>
            <w:r w:rsidRPr="00E37FBE">
              <w:rPr>
                <w:rFonts w:ascii="Times New Roman" w:hAnsi="Times New Roman"/>
                <w:szCs w:val="20"/>
              </w:rPr>
              <w:t>.</w:t>
            </w:r>
          </w:p>
        </w:tc>
      </w:tr>
    </w:tbl>
    <w:p w14:paraId="5029EEE5" w14:textId="77777777" w:rsidR="00953ED6" w:rsidRPr="00E37FBE" w:rsidRDefault="00953ED6" w:rsidP="00CC3091">
      <w:pPr>
        <w:pStyle w:val="InstructionsText"/>
        <w:rPr>
          <w:rStyle w:val="InstructionsTabelleText"/>
          <w:rFonts w:ascii="Times New Roman" w:hAnsi="Times New Roman"/>
          <w:u w:val="none"/>
        </w:rPr>
      </w:pPr>
    </w:p>
    <w:p w14:paraId="63E17173" w14:textId="77777777" w:rsidR="00181260" w:rsidRPr="00E37FBE" w:rsidRDefault="006000DF" w:rsidP="00DD5897">
      <w:pPr>
        <w:pStyle w:val="Instructionsberschrift2"/>
        <w:numPr>
          <w:ilvl w:val="1"/>
          <w:numId w:val="2"/>
        </w:numPr>
        <w:spacing w:before="0"/>
        <w:rPr>
          <w:rFonts w:ascii="Times New Roman" w:hAnsi="Times New Roman" w:cs="Times New Roman"/>
          <w:szCs w:val="20"/>
        </w:rPr>
      </w:pPr>
      <w:r w:rsidRPr="00E37FBE">
        <w:rPr>
          <w:rFonts w:ascii="Times New Roman" w:hAnsi="Times New Roman" w:cs="Times New Roman"/>
          <w:szCs w:val="20"/>
        </w:rPr>
        <w:t>Roll-over of funding</w:t>
      </w:r>
      <w:r w:rsidR="00AC3BFE" w:rsidRPr="00E37FBE">
        <w:rPr>
          <w:rFonts w:ascii="Times New Roman" w:hAnsi="Times New Roman" w:cs="Times New Roman"/>
          <w:szCs w:val="20"/>
        </w:rPr>
        <w:t xml:space="preserve"> (C 70.00)</w:t>
      </w:r>
    </w:p>
    <w:p w14:paraId="5ACA258A" w14:textId="2E5A9D32" w:rsidR="00DD5897" w:rsidRPr="00E37FBE" w:rsidRDefault="00DD5897" w:rsidP="00CC3091">
      <w:pPr>
        <w:pStyle w:val="InstructionsText2"/>
        <w:numPr>
          <w:ilvl w:val="0"/>
          <w:numId w:val="8"/>
        </w:numPr>
        <w:rPr>
          <w:u w:val="none"/>
        </w:rPr>
      </w:pPr>
      <w:bookmarkStart w:id="3" w:name="_Toc308175821"/>
      <w:bookmarkStart w:id="4" w:name="_Toc310414968"/>
      <w:r w:rsidRPr="00E37FBE">
        <w:rPr>
          <w:u w:val="none"/>
        </w:rPr>
        <w:t>This template collect</w:t>
      </w:r>
      <w:r w:rsidR="004963F1" w:rsidRPr="00E37FBE">
        <w:rPr>
          <w:u w:val="none"/>
        </w:rPr>
        <w:t>s</w:t>
      </w:r>
      <w:r w:rsidRPr="00E37FBE">
        <w:rPr>
          <w:u w:val="none"/>
        </w:rPr>
        <w:t xml:space="preserve"> information about the</w:t>
      </w:r>
      <w:r w:rsidR="00DB3C37" w:rsidRPr="00E37FBE">
        <w:rPr>
          <w:u w:val="none"/>
        </w:rPr>
        <w:t xml:space="preserve"> volume of funds maturing and new funding obtained i.e. ‘roll-over of funding’ on a daily basis over </w:t>
      </w:r>
      <w:r w:rsidR="00F723C5" w:rsidRPr="00E37FBE">
        <w:rPr>
          <w:u w:val="none"/>
        </w:rPr>
        <w:t>the month preceding the reporting date</w:t>
      </w:r>
      <w:r w:rsidR="00DB3C37" w:rsidRPr="00E37FBE">
        <w:rPr>
          <w:u w:val="none"/>
        </w:rPr>
        <w:t>.</w:t>
      </w:r>
    </w:p>
    <w:p w14:paraId="180EF408" w14:textId="4710199E" w:rsidR="00DB3C37" w:rsidRPr="00E37FBE" w:rsidRDefault="00DB3C37" w:rsidP="00927DCB">
      <w:pPr>
        <w:pStyle w:val="InstructionsText2"/>
        <w:numPr>
          <w:ilvl w:val="0"/>
          <w:numId w:val="8"/>
        </w:numPr>
        <w:rPr>
          <w:u w:val="none"/>
        </w:rPr>
      </w:pPr>
      <w:r w:rsidRPr="00E37FBE">
        <w:rPr>
          <w:u w:val="none"/>
        </w:rPr>
        <w:t xml:space="preserve">Institutions </w:t>
      </w:r>
      <w:r w:rsidR="006A7234" w:rsidRPr="00E37FBE">
        <w:rPr>
          <w:u w:val="none"/>
        </w:rPr>
        <w:t>shall</w:t>
      </w:r>
      <w:r w:rsidRPr="00E37FBE">
        <w:rPr>
          <w:u w:val="none"/>
        </w:rPr>
        <w:t xml:space="preserve"> report</w:t>
      </w:r>
      <w:r w:rsidR="00144FB8" w:rsidRPr="00E37FBE">
        <w:rPr>
          <w:u w:val="none"/>
        </w:rPr>
        <w:t>, in calend</w:t>
      </w:r>
      <w:r w:rsidR="002126FB" w:rsidRPr="00E37FBE">
        <w:rPr>
          <w:u w:val="none"/>
        </w:rPr>
        <w:t>a</w:t>
      </w:r>
      <w:r w:rsidR="00144FB8" w:rsidRPr="00E37FBE">
        <w:rPr>
          <w:u w:val="none"/>
        </w:rPr>
        <w:t>r days,</w:t>
      </w:r>
      <w:r w:rsidRPr="00E37FBE">
        <w:rPr>
          <w:u w:val="none"/>
        </w:rPr>
        <w:t xml:space="preserve"> the funding they have maturing </w:t>
      </w:r>
      <w:r w:rsidR="00237D15" w:rsidRPr="00E37FBE">
        <w:rPr>
          <w:u w:val="none"/>
        </w:rPr>
        <w:t>in accordance with the following</w:t>
      </w:r>
      <w:r w:rsidR="001861B7" w:rsidRPr="00E37FBE">
        <w:rPr>
          <w:u w:val="none"/>
        </w:rPr>
        <w:t xml:space="preserve"> time buckets </w:t>
      </w:r>
      <w:r w:rsidR="00611852" w:rsidRPr="00E37FBE">
        <w:rPr>
          <w:u w:val="none"/>
        </w:rPr>
        <w:t xml:space="preserve">in </w:t>
      </w:r>
      <w:r w:rsidR="001861B7" w:rsidRPr="00E37FBE">
        <w:rPr>
          <w:u w:val="none"/>
        </w:rPr>
        <w:t>accord</w:t>
      </w:r>
      <w:r w:rsidR="00611852" w:rsidRPr="00E37FBE">
        <w:rPr>
          <w:u w:val="none"/>
        </w:rPr>
        <w:t>ance with</w:t>
      </w:r>
      <w:r w:rsidR="001861B7" w:rsidRPr="00E37FBE">
        <w:rPr>
          <w:u w:val="none"/>
        </w:rPr>
        <w:t xml:space="preserve"> the original maturity</w:t>
      </w:r>
      <w:r w:rsidRPr="00E37FBE">
        <w:rPr>
          <w:u w:val="none"/>
        </w:rPr>
        <w:t>:</w:t>
      </w:r>
    </w:p>
    <w:p w14:paraId="10B482AB" w14:textId="35902522" w:rsidR="00DB3C37" w:rsidRPr="00E37FBE" w:rsidRDefault="00237D15" w:rsidP="00927DCB">
      <w:pPr>
        <w:pStyle w:val="InstructionsText2"/>
        <w:numPr>
          <w:ilvl w:val="1"/>
          <w:numId w:val="5"/>
        </w:numPr>
        <w:ind w:left="1276" w:hanging="283"/>
        <w:rPr>
          <w:u w:val="none"/>
        </w:rPr>
      </w:pPr>
      <w:r w:rsidRPr="00E37FBE">
        <w:rPr>
          <w:u w:val="none"/>
        </w:rPr>
        <w:t xml:space="preserve">overnight in </w:t>
      </w:r>
      <w:r w:rsidR="00DB3C37" w:rsidRPr="00E37FBE">
        <w:rPr>
          <w:u w:val="none"/>
        </w:rPr>
        <w:t xml:space="preserve">columns </w:t>
      </w:r>
      <w:r w:rsidR="00C90DF5" w:rsidRPr="00E37FBE">
        <w:rPr>
          <w:u w:val="none"/>
        </w:rPr>
        <w:t>0</w:t>
      </w:r>
      <w:r w:rsidR="00BD24C1" w:rsidRPr="00E37FBE">
        <w:rPr>
          <w:u w:val="none"/>
        </w:rPr>
        <w:t xml:space="preserve">010 to </w:t>
      </w:r>
      <w:r w:rsidR="00C90DF5" w:rsidRPr="00E37FBE">
        <w:rPr>
          <w:u w:val="none"/>
        </w:rPr>
        <w:t>0</w:t>
      </w:r>
      <w:r w:rsidR="00BD24C1" w:rsidRPr="00E37FBE">
        <w:rPr>
          <w:u w:val="none"/>
        </w:rPr>
        <w:t>040</w:t>
      </w:r>
      <w:r w:rsidRPr="00E37FBE">
        <w:rPr>
          <w:u w:val="none"/>
        </w:rPr>
        <w:t>;</w:t>
      </w:r>
    </w:p>
    <w:p w14:paraId="78059097" w14:textId="75ED6B94" w:rsidR="00DB3C37" w:rsidRPr="00E37FBE" w:rsidRDefault="00237D15" w:rsidP="00927DCB">
      <w:pPr>
        <w:pStyle w:val="InstructionsText2"/>
        <w:numPr>
          <w:ilvl w:val="1"/>
          <w:numId w:val="5"/>
        </w:numPr>
        <w:ind w:left="1276" w:hanging="283"/>
        <w:rPr>
          <w:u w:val="none"/>
        </w:rPr>
      </w:pPr>
      <w:r w:rsidRPr="00E37FBE">
        <w:rPr>
          <w:u w:val="none"/>
        </w:rPr>
        <w:t xml:space="preserve">between </w:t>
      </w:r>
      <w:r w:rsidR="00DB3C37" w:rsidRPr="00E37FBE">
        <w:rPr>
          <w:u w:val="none"/>
        </w:rPr>
        <w:t xml:space="preserve">1 and </w:t>
      </w:r>
      <w:r w:rsidR="003E371A" w:rsidRPr="00E37FBE">
        <w:rPr>
          <w:u w:val="none"/>
        </w:rPr>
        <w:t>7</w:t>
      </w:r>
      <w:r w:rsidR="00DB3C37" w:rsidRPr="00E37FBE">
        <w:rPr>
          <w:u w:val="none"/>
        </w:rPr>
        <w:t xml:space="preserve"> </w:t>
      </w:r>
      <w:r w:rsidR="003E371A" w:rsidRPr="00E37FBE">
        <w:rPr>
          <w:u w:val="none"/>
        </w:rPr>
        <w:t>days</w:t>
      </w:r>
      <w:r w:rsidR="00DB3C37" w:rsidRPr="00E37FBE">
        <w:rPr>
          <w:u w:val="none"/>
        </w:rPr>
        <w:t xml:space="preserve"> </w:t>
      </w:r>
      <w:r w:rsidRPr="00E37FBE">
        <w:rPr>
          <w:u w:val="none"/>
        </w:rPr>
        <w:t>in</w:t>
      </w:r>
      <w:r w:rsidRPr="00E37FBE" w:rsidDel="00237D15">
        <w:rPr>
          <w:u w:val="none"/>
        </w:rPr>
        <w:t xml:space="preserve"> </w:t>
      </w:r>
      <w:r w:rsidR="00DB3C37" w:rsidRPr="00E37FBE">
        <w:rPr>
          <w:u w:val="none"/>
        </w:rPr>
        <w:t xml:space="preserve">columns </w:t>
      </w:r>
      <w:r w:rsidR="00C90DF5" w:rsidRPr="00E37FBE">
        <w:rPr>
          <w:u w:val="none"/>
        </w:rPr>
        <w:t>0</w:t>
      </w:r>
      <w:r w:rsidR="00BD24C1" w:rsidRPr="00E37FBE">
        <w:rPr>
          <w:u w:val="none"/>
        </w:rPr>
        <w:t xml:space="preserve">050 to </w:t>
      </w:r>
      <w:r w:rsidR="00C90DF5" w:rsidRPr="00E37FBE">
        <w:rPr>
          <w:u w:val="none"/>
        </w:rPr>
        <w:t>0</w:t>
      </w:r>
      <w:r w:rsidR="00BD24C1" w:rsidRPr="00E37FBE">
        <w:rPr>
          <w:u w:val="none"/>
        </w:rPr>
        <w:t>080</w:t>
      </w:r>
      <w:r w:rsidRPr="00E37FBE">
        <w:rPr>
          <w:u w:val="none"/>
        </w:rPr>
        <w:t>;</w:t>
      </w:r>
    </w:p>
    <w:p w14:paraId="0888F316" w14:textId="304511FD" w:rsidR="00DB3C37" w:rsidRPr="00E37FBE" w:rsidRDefault="00237D15" w:rsidP="00927DCB">
      <w:pPr>
        <w:pStyle w:val="InstructionsText2"/>
        <w:numPr>
          <w:ilvl w:val="1"/>
          <w:numId w:val="5"/>
        </w:numPr>
        <w:ind w:left="1276" w:hanging="283"/>
        <w:rPr>
          <w:u w:val="none"/>
        </w:rPr>
      </w:pPr>
      <w:r w:rsidRPr="00E37FBE">
        <w:rPr>
          <w:u w:val="none"/>
        </w:rPr>
        <w:t xml:space="preserve">between </w:t>
      </w:r>
      <w:r w:rsidR="003E371A" w:rsidRPr="00E37FBE">
        <w:rPr>
          <w:u w:val="none"/>
        </w:rPr>
        <w:t>7</w:t>
      </w:r>
      <w:r w:rsidR="00DB3C37" w:rsidRPr="00E37FBE">
        <w:rPr>
          <w:u w:val="none"/>
        </w:rPr>
        <w:t xml:space="preserve"> and </w:t>
      </w:r>
      <w:r w:rsidR="003E371A" w:rsidRPr="00E37FBE">
        <w:rPr>
          <w:u w:val="none"/>
        </w:rPr>
        <w:t>14</w:t>
      </w:r>
      <w:r w:rsidR="00DB3C37" w:rsidRPr="00E37FBE">
        <w:rPr>
          <w:u w:val="none"/>
        </w:rPr>
        <w:t xml:space="preserve"> </w:t>
      </w:r>
      <w:r w:rsidR="003E371A" w:rsidRPr="00E37FBE">
        <w:rPr>
          <w:u w:val="none"/>
        </w:rPr>
        <w:t>days</w:t>
      </w:r>
      <w:r w:rsidR="00DB3C37" w:rsidRPr="00E37FBE">
        <w:rPr>
          <w:u w:val="none"/>
        </w:rPr>
        <w:t xml:space="preserve"> </w:t>
      </w:r>
      <w:r w:rsidRPr="00E37FBE">
        <w:rPr>
          <w:u w:val="none"/>
        </w:rPr>
        <w:t>in</w:t>
      </w:r>
      <w:r w:rsidRPr="00E37FBE" w:rsidDel="00237D15">
        <w:rPr>
          <w:u w:val="none"/>
        </w:rPr>
        <w:t xml:space="preserve"> </w:t>
      </w:r>
      <w:r w:rsidR="00DB3C37" w:rsidRPr="00E37FBE">
        <w:rPr>
          <w:u w:val="none"/>
        </w:rPr>
        <w:t xml:space="preserve">columns </w:t>
      </w:r>
      <w:r w:rsidR="00C90DF5" w:rsidRPr="00E37FBE">
        <w:rPr>
          <w:u w:val="none"/>
        </w:rPr>
        <w:t>0</w:t>
      </w:r>
      <w:r w:rsidR="00BD24C1" w:rsidRPr="00E37FBE">
        <w:rPr>
          <w:u w:val="none"/>
        </w:rPr>
        <w:t xml:space="preserve">090 to </w:t>
      </w:r>
      <w:r w:rsidR="00C90DF5" w:rsidRPr="00E37FBE">
        <w:rPr>
          <w:u w:val="none"/>
        </w:rPr>
        <w:t>0</w:t>
      </w:r>
      <w:r w:rsidR="00BD24C1" w:rsidRPr="00E37FBE">
        <w:rPr>
          <w:u w:val="none"/>
        </w:rPr>
        <w:t>120</w:t>
      </w:r>
      <w:r w:rsidRPr="00E37FBE">
        <w:rPr>
          <w:u w:val="none"/>
        </w:rPr>
        <w:t>;</w:t>
      </w:r>
    </w:p>
    <w:p w14:paraId="08E23AA2" w14:textId="64CFEF40" w:rsidR="00DB3C37" w:rsidRPr="00E37FBE" w:rsidRDefault="00237D15" w:rsidP="00927DCB">
      <w:pPr>
        <w:pStyle w:val="InstructionsText2"/>
        <w:numPr>
          <w:ilvl w:val="1"/>
          <w:numId w:val="5"/>
        </w:numPr>
        <w:ind w:left="1276" w:hanging="283"/>
        <w:rPr>
          <w:u w:val="none"/>
        </w:rPr>
      </w:pPr>
      <w:r w:rsidRPr="00E37FBE">
        <w:rPr>
          <w:u w:val="none"/>
        </w:rPr>
        <w:t xml:space="preserve">between </w:t>
      </w:r>
      <w:r w:rsidR="003E371A" w:rsidRPr="00E37FBE">
        <w:rPr>
          <w:u w:val="none"/>
        </w:rPr>
        <w:t>14</w:t>
      </w:r>
      <w:r w:rsidR="00DB3C37" w:rsidRPr="00E37FBE">
        <w:rPr>
          <w:u w:val="none"/>
        </w:rPr>
        <w:t xml:space="preserve"> and 1 month </w:t>
      </w:r>
      <w:r w:rsidRPr="00E37FBE">
        <w:rPr>
          <w:u w:val="none"/>
        </w:rPr>
        <w:t>in</w:t>
      </w:r>
      <w:r w:rsidRPr="00E37FBE" w:rsidDel="00237D15">
        <w:rPr>
          <w:u w:val="none"/>
        </w:rPr>
        <w:t xml:space="preserve"> </w:t>
      </w:r>
      <w:r w:rsidR="00DB3C37" w:rsidRPr="00E37FBE">
        <w:rPr>
          <w:u w:val="none"/>
        </w:rPr>
        <w:t xml:space="preserve">columns </w:t>
      </w:r>
      <w:r w:rsidR="00C90DF5" w:rsidRPr="00E37FBE">
        <w:rPr>
          <w:u w:val="none"/>
        </w:rPr>
        <w:t>0</w:t>
      </w:r>
      <w:r w:rsidR="00BD24C1" w:rsidRPr="00E37FBE">
        <w:rPr>
          <w:u w:val="none"/>
        </w:rPr>
        <w:t xml:space="preserve">130 to </w:t>
      </w:r>
      <w:r w:rsidR="00C90DF5" w:rsidRPr="00E37FBE">
        <w:rPr>
          <w:u w:val="none"/>
        </w:rPr>
        <w:t>0</w:t>
      </w:r>
      <w:r w:rsidR="00BD24C1" w:rsidRPr="00E37FBE">
        <w:rPr>
          <w:u w:val="none"/>
        </w:rPr>
        <w:t>160</w:t>
      </w:r>
      <w:r w:rsidRPr="00E37FBE">
        <w:rPr>
          <w:u w:val="none"/>
        </w:rPr>
        <w:t>;</w:t>
      </w:r>
    </w:p>
    <w:p w14:paraId="69F00FB2" w14:textId="181A4A03" w:rsidR="00DB3C37" w:rsidRPr="00E37FBE" w:rsidRDefault="00237D15" w:rsidP="00927DCB">
      <w:pPr>
        <w:pStyle w:val="InstructionsText2"/>
        <w:numPr>
          <w:ilvl w:val="1"/>
          <w:numId w:val="5"/>
        </w:numPr>
        <w:ind w:left="1276" w:hanging="283"/>
        <w:rPr>
          <w:u w:val="none"/>
        </w:rPr>
      </w:pPr>
      <w:r w:rsidRPr="00E37FBE">
        <w:rPr>
          <w:u w:val="none"/>
        </w:rPr>
        <w:t xml:space="preserve">between </w:t>
      </w:r>
      <w:r w:rsidR="00DB3C37" w:rsidRPr="00E37FBE">
        <w:rPr>
          <w:u w:val="none"/>
        </w:rPr>
        <w:t xml:space="preserve">1 and 3 months </w:t>
      </w:r>
      <w:r w:rsidRPr="00E37FBE">
        <w:rPr>
          <w:u w:val="none"/>
        </w:rPr>
        <w:t>in</w:t>
      </w:r>
      <w:r w:rsidRPr="00E37FBE" w:rsidDel="00237D15">
        <w:rPr>
          <w:u w:val="none"/>
        </w:rPr>
        <w:t xml:space="preserve"> </w:t>
      </w:r>
      <w:r w:rsidR="00DB3C37" w:rsidRPr="00E37FBE">
        <w:rPr>
          <w:u w:val="none"/>
        </w:rPr>
        <w:t xml:space="preserve">columns </w:t>
      </w:r>
      <w:r w:rsidR="00C90DF5" w:rsidRPr="00E37FBE">
        <w:rPr>
          <w:u w:val="none"/>
        </w:rPr>
        <w:t>0</w:t>
      </w:r>
      <w:r w:rsidR="00BD24C1" w:rsidRPr="00E37FBE">
        <w:rPr>
          <w:u w:val="none"/>
        </w:rPr>
        <w:t xml:space="preserve">170 to </w:t>
      </w:r>
      <w:r w:rsidR="00C90DF5" w:rsidRPr="00E37FBE">
        <w:rPr>
          <w:u w:val="none"/>
        </w:rPr>
        <w:t>0</w:t>
      </w:r>
      <w:r w:rsidR="00BD24C1" w:rsidRPr="00E37FBE">
        <w:rPr>
          <w:u w:val="none"/>
        </w:rPr>
        <w:t>200</w:t>
      </w:r>
      <w:r w:rsidRPr="00E37FBE">
        <w:rPr>
          <w:u w:val="none"/>
        </w:rPr>
        <w:t>;</w:t>
      </w:r>
    </w:p>
    <w:p w14:paraId="39971E5E" w14:textId="43960DD0" w:rsidR="00DB3C37" w:rsidRPr="00E37FBE" w:rsidRDefault="00237D15" w:rsidP="00927DCB">
      <w:pPr>
        <w:pStyle w:val="InstructionsText2"/>
        <w:numPr>
          <w:ilvl w:val="1"/>
          <w:numId w:val="5"/>
        </w:numPr>
        <w:ind w:left="1276" w:hanging="283"/>
        <w:rPr>
          <w:u w:val="none"/>
        </w:rPr>
      </w:pPr>
      <w:r w:rsidRPr="00E37FBE">
        <w:rPr>
          <w:u w:val="none"/>
        </w:rPr>
        <w:t xml:space="preserve">between </w:t>
      </w:r>
      <w:r w:rsidR="009A329A" w:rsidRPr="00E37FBE">
        <w:rPr>
          <w:u w:val="none"/>
        </w:rPr>
        <w:t>3 and 6</w:t>
      </w:r>
      <w:r w:rsidR="00DB3C37" w:rsidRPr="00E37FBE">
        <w:rPr>
          <w:u w:val="none"/>
        </w:rPr>
        <w:t xml:space="preserve"> months </w:t>
      </w:r>
      <w:r w:rsidRPr="00E37FBE">
        <w:rPr>
          <w:u w:val="none"/>
        </w:rPr>
        <w:t>in</w:t>
      </w:r>
      <w:r w:rsidRPr="00E37FBE" w:rsidDel="00237D15">
        <w:rPr>
          <w:u w:val="none"/>
        </w:rPr>
        <w:t xml:space="preserve"> </w:t>
      </w:r>
      <w:r w:rsidR="00DB3C37" w:rsidRPr="00E37FBE">
        <w:rPr>
          <w:u w:val="none"/>
        </w:rPr>
        <w:t xml:space="preserve">columns </w:t>
      </w:r>
      <w:r w:rsidR="00C90DF5" w:rsidRPr="00E37FBE">
        <w:rPr>
          <w:u w:val="none"/>
        </w:rPr>
        <w:t>0</w:t>
      </w:r>
      <w:r w:rsidR="00BD24C1" w:rsidRPr="00E37FBE">
        <w:rPr>
          <w:u w:val="none"/>
        </w:rPr>
        <w:t xml:space="preserve">210 to </w:t>
      </w:r>
      <w:r w:rsidR="00C90DF5" w:rsidRPr="00E37FBE">
        <w:rPr>
          <w:u w:val="none"/>
        </w:rPr>
        <w:t>0</w:t>
      </w:r>
      <w:r w:rsidR="00BD24C1" w:rsidRPr="00E37FBE">
        <w:rPr>
          <w:u w:val="none"/>
        </w:rPr>
        <w:t>240</w:t>
      </w:r>
      <w:r w:rsidRPr="00E37FBE">
        <w:rPr>
          <w:u w:val="none"/>
        </w:rPr>
        <w:t>;</w:t>
      </w:r>
    </w:p>
    <w:p w14:paraId="7574DBE7" w14:textId="6E9CAB4B" w:rsidR="009A329A" w:rsidRPr="00E37FBE" w:rsidRDefault="00144FB8" w:rsidP="00927DCB">
      <w:pPr>
        <w:pStyle w:val="InstructionsText2"/>
        <w:numPr>
          <w:ilvl w:val="1"/>
          <w:numId w:val="5"/>
        </w:numPr>
        <w:ind w:left="1276" w:hanging="283"/>
        <w:rPr>
          <w:u w:val="none"/>
        </w:rPr>
      </w:pPr>
      <w:r w:rsidRPr="00E37FBE">
        <w:rPr>
          <w:u w:val="none"/>
        </w:rPr>
        <w:t xml:space="preserve">in more </w:t>
      </w:r>
      <w:r w:rsidR="009A329A" w:rsidRPr="00E37FBE">
        <w:rPr>
          <w:u w:val="none"/>
        </w:rPr>
        <w:t xml:space="preserve">than 6 months </w:t>
      </w:r>
      <w:r w:rsidR="00237D15" w:rsidRPr="00E37FBE">
        <w:rPr>
          <w:u w:val="none"/>
        </w:rPr>
        <w:t>in</w:t>
      </w:r>
      <w:r w:rsidR="00237D15" w:rsidRPr="00E37FBE" w:rsidDel="00237D15">
        <w:rPr>
          <w:u w:val="none"/>
        </w:rPr>
        <w:t xml:space="preserve"> </w:t>
      </w:r>
      <w:r w:rsidR="009A329A" w:rsidRPr="00E37FBE">
        <w:rPr>
          <w:u w:val="none"/>
        </w:rPr>
        <w:t xml:space="preserve">columns </w:t>
      </w:r>
      <w:r w:rsidR="00C90DF5" w:rsidRPr="00E37FBE">
        <w:rPr>
          <w:u w:val="none"/>
        </w:rPr>
        <w:t>0</w:t>
      </w:r>
      <w:r w:rsidR="00BD24C1" w:rsidRPr="00E37FBE">
        <w:rPr>
          <w:u w:val="none"/>
        </w:rPr>
        <w:t xml:space="preserve">250 to </w:t>
      </w:r>
      <w:r w:rsidR="00C90DF5" w:rsidRPr="00E37FBE">
        <w:rPr>
          <w:u w:val="none"/>
        </w:rPr>
        <w:t>0</w:t>
      </w:r>
      <w:r w:rsidR="00BD24C1" w:rsidRPr="00E37FBE">
        <w:rPr>
          <w:u w:val="none"/>
        </w:rPr>
        <w:t>280</w:t>
      </w:r>
      <w:r w:rsidR="00237D15" w:rsidRPr="00E37FBE">
        <w:rPr>
          <w:u w:val="none"/>
        </w:rPr>
        <w:t>.</w:t>
      </w:r>
    </w:p>
    <w:p w14:paraId="1F25325E" w14:textId="62618E1F" w:rsidR="00DB3C37" w:rsidRPr="00E37FBE" w:rsidRDefault="00DB3C37" w:rsidP="00927DCB">
      <w:pPr>
        <w:pStyle w:val="InstructionsText2"/>
        <w:numPr>
          <w:ilvl w:val="0"/>
          <w:numId w:val="8"/>
        </w:numPr>
        <w:rPr>
          <w:u w:val="none"/>
        </w:rPr>
      </w:pPr>
      <w:r w:rsidRPr="00E37FBE">
        <w:rPr>
          <w:u w:val="none"/>
        </w:rPr>
        <w:t>For each time bucket descri</w:t>
      </w:r>
      <w:r w:rsidR="00BF7037" w:rsidRPr="00E37FBE">
        <w:rPr>
          <w:u w:val="none"/>
        </w:rPr>
        <w:t>b</w:t>
      </w:r>
      <w:r w:rsidRPr="00E37FBE">
        <w:rPr>
          <w:u w:val="none"/>
        </w:rPr>
        <w:t xml:space="preserve">ed in </w:t>
      </w:r>
      <w:r w:rsidR="00672AAC" w:rsidRPr="00E37FBE">
        <w:rPr>
          <w:u w:val="none"/>
        </w:rPr>
        <w:t>point</w:t>
      </w:r>
      <w:r w:rsidR="008E246F" w:rsidRPr="00E37FBE">
        <w:rPr>
          <w:u w:val="none"/>
        </w:rPr>
        <w:t>2</w:t>
      </w:r>
      <w:r w:rsidRPr="00E37FBE">
        <w:rPr>
          <w:u w:val="none"/>
        </w:rPr>
        <w:t xml:space="preserve">, the amount </w:t>
      </w:r>
      <w:r w:rsidR="00BF7037" w:rsidRPr="00E37FBE">
        <w:rPr>
          <w:u w:val="none"/>
        </w:rPr>
        <w:t>maturing</w:t>
      </w:r>
      <w:r w:rsidRPr="00E37FBE">
        <w:rPr>
          <w:u w:val="none"/>
        </w:rPr>
        <w:t xml:space="preserve"> </w:t>
      </w:r>
      <w:r w:rsidR="006A7234" w:rsidRPr="00E37FBE">
        <w:rPr>
          <w:u w:val="none"/>
        </w:rPr>
        <w:t>shall</w:t>
      </w:r>
      <w:r w:rsidRPr="00E37FBE">
        <w:rPr>
          <w:u w:val="none"/>
        </w:rPr>
        <w:t xml:space="preserve"> be reported in the left-hand column, </w:t>
      </w:r>
      <w:r w:rsidR="003E371A" w:rsidRPr="00E37FBE">
        <w:rPr>
          <w:u w:val="none"/>
        </w:rPr>
        <w:t xml:space="preserve">the amount funds rolled over shall be reported in the </w:t>
      </w:r>
      <w:r w:rsidR="00FA63BD" w:rsidRPr="00E37FBE">
        <w:rPr>
          <w:u w:val="none"/>
        </w:rPr>
        <w:t>‘</w:t>
      </w:r>
      <w:r w:rsidR="003E371A" w:rsidRPr="00E37FBE">
        <w:rPr>
          <w:u w:val="none"/>
        </w:rPr>
        <w:t>Roll over</w:t>
      </w:r>
      <w:r w:rsidR="00FA63BD" w:rsidRPr="00E37FBE">
        <w:rPr>
          <w:u w:val="none"/>
        </w:rPr>
        <w:t>’</w:t>
      </w:r>
      <w:r w:rsidR="003E371A" w:rsidRPr="00E37FBE">
        <w:rPr>
          <w:u w:val="none"/>
        </w:rPr>
        <w:t xml:space="preserve"> column, </w:t>
      </w:r>
      <w:r w:rsidRPr="00E37FBE">
        <w:rPr>
          <w:u w:val="none"/>
        </w:rPr>
        <w:t xml:space="preserve">new funds obtained </w:t>
      </w:r>
      <w:r w:rsidR="006A7234" w:rsidRPr="00E37FBE">
        <w:rPr>
          <w:u w:val="none"/>
        </w:rPr>
        <w:t>shall</w:t>
      </w:r>
      <w:r w:rsidR="00ED41A4" w:rsidRPr="00E37FBE">
        <w:rPr>
          <w:u w:val="none"/>
        </w:rPr>
        <w:t xml:space="preserve"> be reported in the </w:t>
      </w:r>
      <w:r w:rsidR="00FA63BD" w:rsidRPr="00E37FBE">
        <w:rPr>
          <w:u w:val="none"/>
        </w:rPr>
        <w:t>‘</w:t>
      </w:r>
      <w:r w:rsidR="00397ABE" w:rsidRPr="00E37FBE">
        <w:rPr>
          <w:u w:val="none"/>
        </w:rPr>
        <w:t>New Funds</w:t>
      </w:r>
      <w:r w:rsidR="00FA63BD" w:rsidRPr="00E37FBE">
        <w:rPr>
          <w:u w:val="none"/>
        </w:rPr>
        <w:t>’</w:t>
      </w:r>
      <w:r w:rsidRPr="00E37FBE">
        <w:rPr>
          <w:u w:val="none"/>
        </w:rPr>
        <w:t xml:space="preserve"> column and the net difference </w:t>
      </w:r>
      <w:r w:rsidR="0008780B" w:rsidRPr="00E37FBE">
        <w:rPr>
          <w:u w:val="none"/>
        </w:rPr>
        <w:t xml:space="preserve">between </w:t>
      </w:r>
      <w:r w:rsidRPr="00E37FBE">
        <w:rPr>
          <w:u w:val="none"/>
        </w:rPr>
        <w:t>new funds</w:t>
      </w:r>
      <w:r w:rsidR="00224CAE" w:rsidRPr="00E37FBE">
        <w:rPr>
          <w:u w:val="none"/>
        </w:rPr>
        <w:t xml:space="preserve"> </w:t>
      </w:r>
      <w:r w:rsidR="0008780B" w:rsidRPr="00E37FBE">
        <w:rPr>
          <w:u w:val="none"/>
        </w:rPr>
        <w:t>on the one hand and</w:t>
      </w:r>
      <w:r w:rsidR="00224CAE" w:rsidRPr="00E37FBE">
        <w:rPr>
          <w:u w:val="none"/>
        </w:rPr>
        <w:t xml:space="preserve"> roll</w:t>
      </w:r>
      <w:r w:rsidR="001861B7" w:rsidRPr="00E37FBE">
        <w:rPr>
          <w:u w:val="none"/>
        </w:rPr>
        <w:t>-</w:t>
      </w:r>
      <w:r w:rsidR="00224CAE" w:rsidRPr="00E37FBE">
        <w:rPr>
          <w:u w:val="none"/>
        </w:rPr>
        <w:t xml:space="preserve">over </w:t>
      </w:r>
      <w:r w:rsidR="0008780B" w:rsidRPr="00E37FBE">
        <w:rPr>
          <w:u w:val="none"/>
        </w:rPr>
        <w:t>minus</w:t>
      </w:r>
      <w:r w:rsidR="00224CAE" w:rsidRPr="00E37FBE">
        <w:rPr>
          <w:u w:val="none"/>
        </w:rPr>
        <w:t xml:space="preserve"> maturing</w:t>
      </w:r>
      <w:r w:rsidR="0008780B" w:rsidRPr="00E37FBE">
        <w:rPr>
          <w:u w:val="none"/>
        </w:rPr>
        <w:t xml:space="preserve"> funds</w:t>
      </w:r>
      <w:r w:rsidR="008E1558" w:rsidRPr="00E37FBE">
        <w:rPr>
          <w:u w:val="none"/>
        </w:rPr>
        <w:t xml:space="preserve"> on the other</w:t>
      </w:r>
      <w:r w:rsidRPr="00E37FBE">
        <w:rPr>
          <w:u w:val="none"/>
        </w:rPr>
        <w:t xml:space="preserve"> </w:t>
      </w:r>
      <w:r w:rsidR="006A7234" w:rsidRPr="00E37FBE">
        <w:rPr>
          <w:u w:val="none"/>
        </w:rPr>
        <w:t>shall</w:t>
      </w:r>
      <w:r w:rsidRPr="00E37FBE">
        <w:rPr>
          <w:u w:val="none"/>
        </w:rPr>
        <w:t xml:space="preserve"> be reported in the right-hand column.</w:t>
      </w:r>
      <w:r w:rsidR="00A7751A" w:rsidRPr="00E37FBE">
        <w:rPr>
          <w:rFonts w:ascii="Verdana" w:hAnsi="Verdana"/>
          <w:u w:val="none"/>
          <w:lang w:eastAsia="en-US"/>
        </w:rPr>
        <w:t xml:space="preserve"> </w:t>
      </w:r>
    </w:p>
    <w:p w14:paraId="710A06F4" w14:textId="240473AE" w:rsidR="00DB3C37" w:rsidRPr="00E37FBE" w:rsidRDefault="00DB3C37" w:rsidP="00927DCB">
      <w:pPr>
        <w:pStyle w:val="InstructionsText2"/>
        <w:numPr>
          <w:ilvl w:val="0"/>
          <w:numId w:val="8"/>
        </w:numPr>
        <w:rPr>
          <w:u w:val="none"/>
        </w:rPr>
      </w:pPr>
      <w:r w:rsidRPr="00E37FBE">
        <w:rPr>
          <w:u w:val="none"/>
        </w:rPr>
        <w:t>Total net cash</w:t>
      </w:r>
      <w:r w:rsidR="006E1314" w:rsidRPr="00E37FBE">
        <w:rPr>
          <w:u w:val="none"/>
        </w:rPr>
        <w:t xml:space="preserve"> </w:t>
      </w:r>
      <w:r w:rsidR="00784AE2" w:rsidRPr="00E37FBE">
        <w:rPr>
          <w:u w:val="none"/>
        </w:rPr>
        <w:t>f</w:t>
      </w:r>
      <w:r w:rsidRPr="00E37FBE">
        <w:rPr>
          <w:u w:val="none"/>
        </w:rPr>
        <w:t xml:space="preserve">lows </w:t>
      </w:r>
      <w:r w:rsidR="006A7234" w:rsidRPr="00E37FBE">
        <w:rPr>
          <w:u w:val="none"/>
        </w:rPr>
        <w:t>shall</w:t>
      </w:r>
      <w:r w:rsidRPr="00E37FBE">
        <w:rPr>
          <w:u w:val="none"/>
        </w:rPr>
        <w:t xml:space="preserve"> be reported in column </w:t>
      </w:r>
      <w:r w:rsidR="00BD24C1" w:rsidRPr="00E37FBE">
        <w:rPr>
          <w:u w:val="none"/>
        </w:rPr>
        <w:t>290</w:t>
      </w:r>
      <w:r w:rsidRPr="00E37FBE">
        <w:rPr>
          <w:u w:val="none"/>
        </w:rPr>
        <w:t xml:space="preserve"> and </w:t>
      </w:r>
      <w:r w:rsidR="006A7234" w:rsidRPr="00E37FBE">
        <w:rPr>
          <w:u w:val="none"/>
        </w:rPr>
        <w:t>shall</w:t>
      </w:r>
      <w:r w:rsidRPr="00E37FBE">
        <w:rPr>
          <w:u w:val="none"/>
        </w:rPr>
        <w:t xml:space="preserve"> equal the sum of all ‘Net’ columns </w:t>
      </w:r>
      <w:r w:rsidR="0008780B" w:rsidRPr="00E37FBE">
        <w:rPr>
          <w:u w:val="none"/>
        </w:rPr>
        <w:t>number</w:t>
      </w:r>
      <w:r w:rsidR="001861B7" w:rsidRPr="00E37FBE">
        <w:rPr>
          <w:u w:val="none"/>
        </w:rPr>
        <w:t>ed</w:t>
      </w:r>
      <w:r w:rsidRPr="00E37FBE">
        <w:rPr>
          <w:u w:val="none"/>
        </w:rPr>
        <w:t xml:space="preserve"> </w:t>
      </w:r>
      <w:r w:rsidR="00C90DF5" w:rsidRPr="00E37FBE">
        <w:rPr>
          <w:u w:val="none"/>
        </w:rPr>
        <w:t>0</w:t>
      </w:r>
      <w:r w:rsidR="00BD24C1" w:rsidRPr="00E37FBE">
        <w:rPr>
          <w:u w:val="none"/>
        </w:rPr>
        <w:t>040</w:t>
      </w:r>
      <w:r w:rsidR="0008780B" w:rsidRPr="00E37FBE">
        <w:rPr>
          <w:u w:val="none"/>
        </w:rPr>
        <w:t>,</w:t>
      </w:r>
      <w:r w:rsidR="00BD24C1" w:rsidRPr="00E37FBE">
        <w:rPr>
          <w:u w:val="none"/>
        </w:rPr>
        <w:t xml:space="preserve"> </w:t>
      </w:r>
      <w:r w:rsidR="00C90DF5" w:rsidRPr="00E37FBE">
        <w:rPr>
          <w:u w:val="none"/>
        </w:rPr>
        <w:t>0</w:t>
      </w:r>
      <w:r w:rsidR="00BD24C1" w:rsidRPr="00E37FBE">
        <w:rPr>
          <w:u w:val="none"/>
        </w:rPr>
        <w:t>080</w:t>
      </w:r>
      <w:r w:rsidR="0008780B" w:rsidRPr="00E37FBE">
        <w:rPr>
          <w:u w:val="none"/>
        </w:rPr>
        <w:t xml:space="preserve">, </w:t>
      </w:r>
      <w:r w:rsidR="00C90DF5" w:rsidRPr="00E37FBE">
        <w:rPr>
          <w:u w:val="none"/>
        </w:rPr>
        <w:t>0</w:t>
      </w:r>
      <w:r w:rsidR="00BD24C1" w:rsidRPr="00E37FBE">
        <w:rPr>
          <w:u w:val="none"/>
        </w:rPr>
        <w:t>120</w:t>
      </w:r>
      <w:r w:rsidR="0008780B" w:rsidRPr="00E37FBE">
        <w:rPr>
          <w:u w:val="none"/>
        </w:rPr>
        <w:t xml:space="preserve">, </w:t>
      </w:r>
      <w:r w:rsidR="00C90DF5" w:rsidRPr="00E37FBE">
        <w:rPr>
          <w:u w:val="none"/>
        </w:rPr>
        <w:t>0</w:t>
      </w:r>
      <w:r w:rsidR="00BD24C1" w:rsidRPr="00E37FBE">
        <w:rPr>
          <w:u w:val="none"/>
        </w:rPr>
        <w:t>160</w:t>
      </w:r>
      <w:r w:rsidR="0008780B" w:rsidRPr="00E37FBE">
        <w:rPr>
          <w:u w:val="none"/>
        </w:rPr>
        <w:t xml:space="preserve">, </w:t>
      </w:r>
      <w:r w:rsidR="00C90DF5" w:rsidRPr="00E37FBE">
        <w:rPr>
          <w:u w:val="none"/>
        </w:rPr>
        <w:t>0</w:t>
      </w:r>
      <w:r w:rsidR="00BD24C1" w:rsidRPr="00E37FBE">
        <w:rPr>
          <w:u w:val="none"/>
        </w:rPr>
        <w:t>200</w:t>
      </w:r>
      <w:r w:rsidR="0008780B" w:rsidRPr="00E37FBE">
        <w:rPr>
          <w:u w:val="none"/>
        </w:rPr>
        <w:t xml:space="preserve">, </w:t>
      </w:r>
      <w:r w:rsidR="00C90DF5" w:rsidRPr="00E37FBE">
        <w:rPr>
          <w:u w:val="none"/>
        </w:rPr>
        <w:t>0</w:t>
      </w:r>
      <w:r w:rsidR="00BD24C1" w:rsidRPr="00E37FBE">
        <w:rPr>
          <w:u w:val="none"/>
        </w:rPr>
        <w:t>240</w:t>
      </w:r>
      <w:r w:rsidR="0008780B" w:rsidRPr="00E37FBE">
        <w:rPr>
          <w:u w:val="none"/>
        </w:rPr>
        <w:t xml:space="preserve"> and </w:t>
      </w:r>
      <w:r w:rsidR="00C90DF5" w:rsidRPr="00E37FBE">
        <w:rPr>
          <w:u w:val="none"/>
        </w:rPr>
        <w:t>0</w:t>
      </w:r>
      <w:r w:rsidR="00BD24C1" w:rsidRPr="00E37FBE">
        <w:rPr>
          <w:u w:val="none"/>
        </w:rPr>
        <w:t>280</w:t>
      </w:r>
      <w:r w:rsidR="00CF44ED" w:rsidRPr="00E37FBE">
        <w:rPr>
          <w:u w:val="none"/>
        </w:rPr>
        <w:t>.</w:t>
      </w:r>
    </w:p>
    <w:p w14:paraId="28B9B16F" w14:textId="7EEE4811" w:rsidR="00BD24C1" w:rsidRPr="00E37FBE" w:rsidRDefault="00DB3C37" w:rsidP="00927DCB">
      <w:pPr>
        <w:pStyle w:val="InstructionsText2"/>
        <w:numPr>
          <w:ilvl w:val="0"/>
          <w:numId w:val="8"/>
        </w:numPr>
        <w:rPr>
          <w:u w:val="none"/>
        </w:rPr>
      </w:pPr>
      <w:r w:rsidRPr="00E37FBE">
        <w:rPr>
          <w:u w:val="none"/>
        </w:rPr>
        <w:t>The average term of funding</w:t>
      </w:r>
      <w:r w:rsidR="0008780B" w:rsidRPr="00E37FBE">
        <w:rPr>
          <w:u w:val="none"/>
        </w:rPr>
        <w:t>,</w:t>
      </w:r>
      <w:r w:rsidRPr="00E37FBE">
        <w:rPr>
          <w:u w:val="none"/>
        </w:rPr>
        <w:t xml:space="preserve"> in days</w:t>
      </w:r>
      <w:r w:rsidR="0008780B" w:rsidRPr="00E37FBE">
        <w:rPr>
          <w:u w:val="none"/>
        </w:rPr>
        <w:t>,</w:t>
      </w:r>
      <w:r w:rsidRPr="00E37FBE">
        <w:rPr>
          <w:u w:val="none"/>
        </w:rPr>
        <w:t xml:space="preserve"> for maturing term funds </w:t>
      </w:r>
      <w:r w:rsidR="006A7234" w:rsidRPr="00E37FBE">
        <w:rPr>
          <w:u w:val="none"/>
        </w:rPr>
        <w:t>shall</w:t>
      </w:r>
      <w:r w:rsidRPr="00E37FBE">
        <w:rPr>
          <w:u w:val="none"/>
        </w:rPr>
        <w:t xml:space="preserve"> be reported in column </w:t>
      </w:r>
      <w:r w:rsidR="00C90DF5" w:rsidRPr="00E37FBE">
        <w:rPr>
          <w:u w:val="none"/>
        </w:rPr>
        <w:t>0</w:t>
      </w:r>
      <w:r w:rsidR="00BD24C1" w:rsidRPr="00E37FBE">
        <w:rPr>
          <w:u w:val="none"/>
        </w:rPr>
        <w:t>300</w:t>
      </w:r>
      <w:r w:rsidRPr="00E37FBE">
        <w:rPr>
          <w:u w:val="none"/>
        </w:rPr>
        <w:t>.</w:t>
      </w:r>
    </w:p>
    <w:p w14:paraId="76D8AD49" w14:textId="73AC67C3" w:rsidR="003E371A" w:rsidRPr="00E37FBE" w:rsidRDefault="003E371A" w:rsidP="00927DCB">
      <w:pPr>
        <w:pStyle w:val="InstructionsText2"/>
        <w:numPr>
          <w:ilvl w:val="0"/>
          <w:numId w:val="8"/>
        </w:numPr>
        <w:rPr>
          <w:u w:val="none"/>
        </w:rPr>
      </w:pPr>
      <w:r w:rsidRPr="00E37FBE">
        <w:rPr>
          <w:u w:val="none"/>
        </w:rPr>
        <w:t>The average term of funding</w:t>
      </w:r>
      <w:r w:rsidR="0008780B" w:rsidRPr="00E37FBE">
        <w:rPr>
          <w:u w:val="none"/>
        </w:rPr>
        <w:t>,</w:t>
      </w:r>
      <w:r w:rsidRPr="00E37FBE">
        <w:rPr>
          <w:u w:val="none"/>
        </w:rPr>
        <w:t xml:space="preserve"> in days</w:t>
      </w:r>
      <w:r w:rsidR="0008780B" w:rsidRPr="00E37FBE">
        <w:rPr>
          <w:u w:val="none"/>
        </w:rPr>
        <w:t>,</w:t>
      </w:r>
      <w:r w:rsidRPr="00E37FBE">
        <w:rPr>
          <w:u w:val="none"/>
        </w:rPr>
        <w:t xml:space="preserve"> of funds rolled over shall be reported in column </w:t>
      </w:r>
      <w:r w:rsidR="00C90DF5" w:rsidRPr="00E37FBE">
        <w:rPr>
          <w:u w:val="none"/>
        </w:rPr>
        <w:t>0</w:t>
      </w:r>
      <w:r w:rsidRPr="00E37FBE">
        <w:rPr>
          <w:u w:val="none"/>
        </w:rPr>
        <w:t>310</w:t>
      </w:r>
    </w:p>
    <w:p w14:paraId="717CD209" w14:textId="41C8DEE3" w:rsidR="00BD24C1" w:rsidRPr="00E37FBE" w:rsidRDefault="00DB3C37" w:rsidP="00927DCB">
      <w:pPr>
        <w:pStyle w:val="InstructionsText2"/>
        <w:numPr>
          <w:ilvl w:val="0"/>
          <w:numId w:val="8"/>
        </w:numPr>
        <w:rPr>
          <w:u w:val="none"/>
        </w:rPr>
      </w:pPr>
      <w:r w:rsidRPr="00E37FBE">
        <w:rPr>
          <w:u w:val="none"/>
        </w:rPr>
        <w:t xml:space="preserve"> The average term of funding</w:t>
      </w:r>
      <w:r w:rsidR="0008780B" w:rsidRPr="00E37FBE">
        <w:rPr>
          <w:u w:val="none"/>
        </w:rPr>
        <w:t>,</w:t>
      </w:r>
      <w:r w:rsidRPr="00E37FBE">
        <w:rPr>
          <w:u w:val="none"/>
        </w:rPr>
        <w:t xml:space="preserve"> in days</w:t>
      </w:r>
      <w:r w:rsidR="0008780B" w:rsidRPr="00E37FBE">
        <w:rPr>
          <w:u w:val="none"/>
        </w:rPr>
        <w:t>,</w:t>
      </w:r>
      <w:r w:rsidRPr="00E37FBE">
        <w:rPr>
          <w:u w:val="none"/>
        </w:rPr>
        <w:t xml:space="preserve"> for new term funds </w:t>
      </w:r>
      <w:r w:rsidR="006A7234" w:rsidRPr="00E37FBE">
        <w:rPr>
          <w:u w:val="none"/>
        </w:rPr>
        <w:t>shall</w:t>
      </w:r>
      <w:r w:rsidRPr="00E37FBE">
        <w:rPr>
          <w:u w:val="none"/>
        </w:rPr>
        <w:t xml:space="preserve"> be reported in column </w:t>
      </w:r>
      <w:r w:rsidR="00C90DF5" w:rsidRPr="00E37FBE">
        <w:rPr>
          <w:u w:val="none"/>
        </w:rPr>
        <w:t>0</w:t>
      </w:r>
      <w:r w:rsidR="00BD24C1" w:rsidRPr="00E37FBE">
        <w:rPr>
          <w:u w:val="none"/>
        </w:rPr>
        <w:t>320</w:t>
      </w:r>
      <w:r w:rsidRPr="00E37FBE">
        <w:rPr>
          <w:u w:val="none"/>
        </w:rPr>
        <w:t>.</w:t>
      </w:r>
    </w:p>
    <w:p w14:paraId="5C92A186" w14:textId="6F4BC0FE" w:rsidR="00A7751A" w:rsidRPr="00E37FBE" w:rsidRDefault="00A7751A" w:rsidP="00927DCB">
      <w:pPr>
        <w:pStyle w:val="InstructionsText2"/>
        <w:numPr>
          <w:ilvl w:val="0"/>
          <w:numId w:val="8"/>
        </w:numPr>
        <w:rPr>
          <w:u w:val="none"/>
        </w:rPr>
      </w:pPr>
      <w:r w:rsidRPr="00E37FBE">
        <w:rPr>
          <w:u w:val="none"/>
        </w:rPr>
        <w:t xml:space="preserve">The </w:t>
      </w:r>
      <w:r w:rsidR="00FA63BD" w:rsidRPr="00E37FBE">
        <w:rPr>
          <w:u w:val="none"/>
        </w:rPr>
        <w:t>’</w:t>
      </w:r>
      <w:r w:rsidRPr="00E37FBE">
        <w:rPr>
          <w:u w:val="none"/>
        </w:rPr>
        <w:t>Maturing</w:t>
      </w:r>
      <w:r w:rsidR="00FA63BD" w:rsidRPr="00E37FBE">
        <w:rPr>
          <w:u w:val="none"/>
        </w:rPr>
        <w:t>’</w:t>
      </w:r>
      <w:r w:rsidRPr="00E37FBE">
        <w:rPr>
          <w:u w:val="none"/>
        </w:rPr>
        <w:t xml:space="preserve"> amount </w:t>
      </w:r>
      <w:r w:rsidR="0008780B" w:rsidRPr="00E37FBE">
        <w:rPr>
          <w:u w:val="none"/>
        </w:rPr>
        <w:t xml:space="preserve">shall </w:t>
      </w:r>
      <w:r w:rsidRPr="00E37FBE">
        <w:rPr>
          <w:u w:val="none"/>
        </w:rPr>
        <w:t xml:space="preserve">comprise all liabilities that were contractually withdrawable by the provider of the funding or due on the relevant day in the reporting period. It </w:t>
      </w:r>
      <w:r w:rsidR="0008780B" w:rsidRPr="00E37FBE">
        <w:rPr>
          <w:u w:val="none"/>
        </w:rPr>
        <w:t xml:space="preserve">shall </w:t>
      </w:r>
      <w:r w:rsidRPr="00E37FBE">
        <w:rPr>
          <w:u w:val="none"/>
        </w:rPr>
        <w:t xml:space="preserve">always </w:t>
      </w:r>
      <w:r w:rsidR="0008780B" w:rsidRPr="00E37FBE">
        <w:rPr>
          <w:u w:val="none"/>
        </w:rPr>
        <w:t>be</w:t>
      </w:r>
      <w:r w:rsidRPr="00E37FBE">
        <w:rPr>
          <w:u w:val="none"/>
        </w:rPr>
        <w:t xml:space="preserve"> reported with a positive sign.</w:t>
      </w:r>
    </w:p>
    <w:p w14:paraId="004B6E12" w14:textId="539634DF" w:rsidR="00A7751A" w:rsidRPr="00E37FBE" w:rsidRDefault="00A7751A" w:rsidP="00927DCB">
      <w:pPr>
        <w:pStyle w:val="InstructionsText2"/>
        <w:numPr>
          <w:ilvl w:val="0"/>
          <w:numId w:val="8"/>
        </w:numPr>
        <w:rPr>
          <w:u w:val="none"/>
        </w:rPr>
      </w:pPr>
      <w:r w:rsidRPr="00E37FBE">
        <w:rPr>
          <w:u w:val="none"/>
        </w:rPr>
        <w:t xml:space="preserve">The </w:t>
      </w:r>
      <w:r w:rsidR="00FA63BD" w:rsidRPr="00E37FBE">
        <w:rPr>
          <w:u w:val="none"/>
        </w:rPr>
        <w:t>‘</w:t>
      </w:r>
      <w:r w:rsidRPr="00E37FBE">
        <w:rPr>
          <w:u w:val="none"/>
        </w:rPr>
        <w:t>Roll-over</w:t>
      </w:r>
      <w:r w:rsidR="00FA63BD" w:rsidRPr="00E37FBE">
        <w:rPr>
          <w:u w:val="none"/>
        </w:rPr>
        <w:t>’</w:t>
      </w:r>
      <w:r w:rsidRPr="00E37FBE">
        <w:rPr>
          <w:u w:val="none"/>
        </w:rPr>
        <w:t xml:space="preserve"> amount </w:t>
      </w:r>
      <w:r w:rsidR="0008780B" w:rsidRPr="00E37FBE">
        <w:rPr>
          <w:u w:val="none"/>
        </w:rPr>
        <w:t xml:space="preserve">shall </w:t>
      </w:r>
      <w:r w:rsidRPr="00E37FBE">
        <w:rPr>
          <w:u w:val="none"/>
        </w:rPr>
        <w:t xml:space="preserve">comprise the maturing amount as defined </w:t>
      </w:r>
      <w:r w:rsidR="001861B7" w:rsidRPr="00E37FBE">
        <w:rPr>
          <w:u w:val="none"/>
        </w:rPr>
        <w:t>in</w:t>
      </w:r>
      <w:r w:rsidR="00193B6D" w:rsidRPr="00E37FBE">
        <w:rPr>
          <w:u w:val="none"/>
        </w:rPr>
        <w:t xml:space="preserve"> </w:t>
      </w:r>
      <w:r w:rsidR="00672AAC" w:rsidRPr="00E37FBE">
        <w:rPr>
          <w:u w:val="none"/>
        </w:rPr>
        <w:t>points</w:t>
      </w:r>
      <w:r w:rsidR="00193B6D" w:rsidRPr="00E37FBE">
        <w:rPr>
          <w:u w:val="none"/>
        </w:rPr>
        <w:t xml:space="preserve"> 2 and 3 </w:t>
      </w:r>
      <w:r w:rsidRPr="00E37FBE">
        <w:rPr>
          <w:u w:val="none"/>
        </w:rPr>
        <w:t xml:space="preserve">that remains with the institution on the relevant day of the reporting period. It </w:t>
      </w:r>
      <w:r w:rsidR="0008780B" w:rsidRPr="00E37FBE">
        <w:rPr>
          <w:u w:val="none"/>
        </w:rPr>
        <w:t xml:space="preserve">shall </w:t>
      </w:r>
      <w:r w:rsidRPr="00E37FBE">
        <w:rPr>
          <w:u w:val="none"/>
        </w:rPr>
        <w:t xml:space="preserve">always </w:t>
      </w:r>
      <w:r w:rsidR="0008780B" w:rsidRPr="00E37FBE">
        <w:rPr>
          <w:u w:val="none"/>
        </w:rPr>
        <w:t xml:space="preserve">be </w:t>
      </w:r>
      <w:r w:rsidRPr="00E37FBE">
        <w:rPr>
          <w:u w:val="none"/>
        </w:rPr>
        <w:t xml:space="preserve">reported with a positive sign. Where the maturity of the funding </w:t>
      </w:r>
      <w:r w:rsidR="0008780B" w:rsidRPr="00E37FBE">
        <w:rPr>
          <w:u w:val="none"/>
        </w:rPr>
        <w:t xml:space="preserve">has </w:t>
      </w:r>
      <w:r w:rsidRPr="00E37FBE">
        <w:rPr>
          <w:u w:val="none"/>
        </w:rPr>
        <w:t xml:space="preserve">changed due to the roll-over event, the </w:t>
      </w:r>
      <w:r w:rsidR="00FA63BD" w:rsidRPr="00E37FBE">
        <w:rPr>
          <w:u w:val="none"/>
        </w:rPr>
        <w:t>‘</w:t>
      </w:r>
      <w:r w:rsidRPr="00E37FBE">
        <w:rPr>
          <w:u w:val="none"/>
        </w:rPr>
        <w:t>roll-over</w:t>
      </w:r>
      <w:r w:rsidR="00FA63BD" w:rsidRPr="00E37FBE">
        <w:rPr>
          <w:u w:val="none"/>
        </w:rPr>
        <w:t>’</w:t>
      </w:r>
      <w:r w:rsidRPr="00E37FBE">
        <w:rPr>
          <w:u w:val="none"/>
        </w:rPr>
        <w:t xml:space="preserve"> amount </w:t>
      </w:r>
      <w:r w:rsidR="0008780B" w:rsidRPr="00E37FBE">
        <w:rPr>
          <w:u w:val="none"/>
        </w:rPr>
        <w:t xml:space="preserve">shall </w:t>
      </w:r>
      <w:r w:rsidRPr="00E37FBE">
        <w:rPr>
          <w:u w:val="none"/>
        </w:rPr>
        <w:t xml:space="preserve">be reported in a time bucket </w:t>
      </w:r>
      <w:r w:rsidR="00611852" w:rsidRPr="00E37FBE">
        <w:rPr>
          <w:u w:val="none"/>
        </w:rPr>
        <w:t xml:space="preserve">in </w:t>
      </w:r>
      <w:r w:rsidRPr="00E37FBE">
        <w:rPr>
          <w:u w:val="none"/>
        </w:rPr>
        <w:t>accord</w:t>
      </w:r>
      <w:r w:rsidR="00611852" w:rsidRPr="00E37FBE">
        <w:rPr>
          <w:u w:val="none"/>
        </w:rPr>
        <w:t>ance with</w:t>
      </w:r>
      <w:r w:rsidRPr="00E37FBE">
        <w:rPr>
          <w:u w:val="none"/>
        </w:rPr>
        <w:t xml:space="preserve"> the new maturity.</w:t>
      </w:r>
    </w:p>
    <w:p w14:paraId="68CA5A97" w14:textId="694BA31F" w:rsidR="00A7751A" w:rsidRPr="00E37FBE" w:rsidRDefault="00A7751A" w:rsidP="00927DCB">
      <w:pPr>
        <w:pStyle w:val="InstructionsText2"/>
        <w:numPr>
          <w:ilvl w:val="0"/>
          <w:numId w:val="8"/>
        </w:numPr>
        <w:rPr>
          <w:u w:val="none"/>
        </w:rPr>
      </w:pPr>
      <w:r w:rsidRPr="00E37FBE">
        <w:rPr>
          <w:u w:val="none"/>
        </w:rPr>
        <w:t xml:space="preserve">The </w:t>
      </w:r>
      <w:r w:rsidR="00FA63BD" w:rsidRPr="00E37FBE">
        <w:rPr>
          <w:u w:val="none"/>
        </w:rPr>
        <w:t>‘</w:t>
      </w:r>
      <w:r w:rsidRPr="00E37FBE">
        <w:rPr>
          <w:u w:val="none"/>
        </w:rPr>
        <w:t>New funds</w:t>
      </w:r>
      <w:r w:rsidR="00FA63BD" w:rsidRPr="00E37FBE">
        <w:rPr>
          <w:u w:val="none"/>
        </w:rPr>
        <w:t>’</w:t>
      </w:r>
      <w:r w:rsidRPr="00E37FBE">
        <w:rPr>
          <w:u w:val="none"/>
        </w:rPr>
        <w:t xml:space="preserve"> amount </w:t>
      </w:r>
      <w:r w:rsidR="0008780B" w:rsidRPr="00E37FBE">
        <w:rPr>
          <w:u w:val="none"/>
        </w:rPr>
        <w:t xml:space="preserve">shall </w:t>
      </w:r>
      <w:r w:rsidRPr="00E37FBE">
        <w:rPr>
          <w:u w:val="none"/>
        </w:rPr>
        <w:t xml:space="preserve">comprise actual inflows of funding on the relevant day in the reporting period. It </w:t>
      </w:r>
      <w:r w:rsidR="0008780B" w:rsidRPr="00E37FBE">
        <w:rPr>
          <w:u w:val="none"/>
        </w:rPr>
        <w:t>shall</w:t>
      </w:r>
      <w:r w:rsidR="0075288E" w:rsidRPr="00E37FBE">
        <w:rPr>
          <w:u w:val="none"/>
        </w:rPr>
        <w:t xml:space="preserve"> </w:t>
      </w:r>
      <w:r w:rsidRPr="00E37FBE">
        <w:rPr>
          <w:u w:val="none"/>
        </w:rPr>
        <w:t xml:space="preserve">always </w:t>
      </w:r>
      <w:r w:rsidR="0008780B" w:rsidRPr="00E37FBE">
        <w:rPr>
          <w:u w:val="none"/>
        </w:rPr>
        <w:t xml:space="preserve">be </w:t>
      </w:r>
      <w:r w:rsidRPr="00E37FBE">
        <w:rPr>
          <w:u w:val="none"/>
        </w:rPr>
        <w:t>reported with a positive sign.</w:t>
      </w:r>
    </w:p>
    <w:p w14:paraId="36023996" w14:textId="11556421" w:rsidR="00A7751A" w:rsidRPr="00E37FBE" w:rsidRDefault="00A7751A" w:rsidP="00927DCB">
      <w:pPr>
        <w:pStyle w:val="InstructionsText2"/>
        <w:numPr>
          <w:ilvl w:val="0"/>
          <w:numId w:val="8"/>
        </w:numPr>
        <w:rPr>
          <w:u w:val="none"/>
        </w:rPr>
      </w:pPr>
      <w:r w:rsidRPr="00E37FBE">
        <w:rPr>
          <w:u w:val="none"/>
        </w:rPr>
        <w:t xml:space="preserve">The </w:t>
      </w:r>
      <w:r w:rsidR="00FA63BD" w:rsidRPr="00E37FBE">
        <w:rPr>
          <w:u w:val="none"/>
        </w:rPr>
        <w:t>‘</w:t>
      </w:r>
      <w:r w:rsidRPr="00E37FBE">
        <w:rPr>
          <w:u w:val="none"/>
        </w:rPr>
        <w:t>Net</w:t>
      </w:r>
      <w:r w:rsidR="00FA63BD" w:rsidRPr="00E37FBE">
        <w:rPr>
          <w:u w:val="none"/>
        </w:rPr>
        <w:t>’</w:t>
      </w:r>
      <w:r w:rsidRPr="00E37FBE">
        <w:rPr>
          <w:u w:val="none"/>
        </w:rPr>
        <w:t xml:space="preserve"> amount </w:t>
      </w:r>
      <w:r w:rsidR="0008780B" w:rsidRPr="00E37FBE">
        <w:rPr>
          <w:u w:val="none"/>
        </w:rPr>
        <w:t xml:space="preserve">shall be considered as </w:t>
      </w:r>
      <w:r w:rsidRPr="00E37FBE">
        <w:rPr>
          <w:u w:val="none"/>
        </w:rPr>
        <w:t>a change of funding within a particular original maturity time band on the relevant day of the reporting period</w:t>
      </w:r>
      <w:r w:rsidR="0008780B" w:rsidRPr="00E37FBE">
        <w:rPr>
          <w:u w:val="none"/>
        </w:rPr>
        <w:t>, and shall be calculat</w:t>
      </w:r>
      <w:r w:rsidR="00516E8A" w:rsidRPr="00E37FBE">
        <w:rPr>
          <w:u w:val="none"/>
        </w:rPr>
        <w:t>ed</w:t>
      </w:r>
      <w:r w:rsidR="0008780B" w:rsidRPr="00E37FBE">
        <w:rPr>
          <w:u w:val="none"/>
        </w:rPr>
        <w:t xml:space="preserve"> by adding in the </w:t>
      </w:r>
      <w:r w:rsidRPr="00E37FBE">
        <w:rPr>
          <w:u w:val="none"/>
        </w:rPr>
        <w:t xml:space="preserve">‘net’ column </w:t>
      </w:r>
      <w:r w:rsidR="0008780B" w:rsidRPr="00E37FBE">
        <w:rPr>
          <w:u w:val="none"/>
        </w:rPr>
        <w:t xml:space="preserve">the </w:t>
      </w:r>
      <w:r w:rsidRPr="00E37FBE">
        <w:rPr>
          <w:u w:val="none"/>
        </w:rPr>
        <w:t xml:space="preserve">new funds </w:t>
      </w:r>
      <w:r w:rsidR="0008780B" w:rsidRPr="00E37FBE">
        <w:rPr>
          <w:u w:val="none"/>
        </w:rPr>
        <w:t xml:space="preserve">plus the </w:t>
      </w:r>
      <w:r w:rsidRPr="00E37FBE">
        <w:rPr>
          <w:u w:val="none"/>
        </w:rPr>
        <w:t xml:space="preserve">roll over </w:t>
      </w:r>
      <w:r w:rsidR="0008780B" w:rsidRPr="00E37FBE">
        <w:rPr>
          <w:u w:val="none"/>
        </w:rPr>
        <w:t>funds minus the</w:t>
      </w:r>
      <w:r w:rsidRPr="00E37FBE">
        <w:rPr>
          <w:u w:val="none"/>
        </w:rPr>
        <w:t xml:space="preserve"> maturing</w:t>
      </w:r>
      <w:r w:rsidR="0008780B" w:rsidRPr="00E37FBE">
        <w:rPr>
          <w:u w:val="none"/>
        </w:rPr>
        <w:t xml:space="preserve"> funds</w:t>
      </w:r>
      <w:r w:rsidRPr="00E37FBE">
        <w:rPr>
          <w:u w:val="none"/>
        </w:rPr>
        <w:t>.</w:t>
      </w:r>
      <w:r w:rsidR="00AE6CE2">
        <w:rPr>
          <w:u w:val="none"/>
        </w:rPr>
        <w:t xml:space="preserve"> </w:t>
      </w:r>
    </w:p>
    <w:bookmarkEnd w:id="3"/>
    <w:bookmarkEnd w:id="4"/>
    <w:p w14:paraId="0E67F27B" w14:textId="64F4C758" w:rsidR="00ED41A4" w:rsidRPr="00E37FBE" w:rsidRDefault="00ED41A4" w:rsidP="00CC3091">
      <w:pPr>
        <w:pStyle w:val="InstructionsText2"/>
        <w:numPr>
          <w:ilvl w:val="0"/>
          <w:numId w:val="8"/>
        </w:numPr>
        <w:rPr>
          <w:u w:val="none"/>
        </w:rPr>
      </w:pPr>
      <w:r w:rsidRPr="00E37FBE">
        <w:rPr>
          <w:u w:val="none"/>
        </w:rPr>
        <w:t xml:space="preserve">Instructions concerning specific </w:t>
      </w:r>
      <w:r w:rsidR="00BC7B32" w:rsidRPr="00E37FBE">
        <w:rPr>
          <w:u w:val="none"/>
        </w:rPr>
        <w:t>columns</w:t>
      </w:r>
      <w:r w:rsidRPr="00E37FBE">
        <w:rPr>
          <w:u w:val="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7024"/>
      </w:tblGrid>
      <w:tr w:rsidR="00ED41A4" w:rsidRPr="00E37FBE" w14:paraId="24A3446B" w14:textId="77777777" w:rsidTr="005F4FE0">
        <w:trPr>
          <w:trHeight w:val="548"/>
        </w:trPr>
        <w:tc>
          <w:tcPr>
            <w:tcW w:w="729" w:type="pct"/>
            <w:shd w:val="clear" w:color="auto" w:fill="D9D9D9"/>
            <w:noWrap/>
            <w:vAlign w:val="center"/>
          </w:tcPr>
          <w:p w14:paraId="44CE1AFF" w14:textId="77777777" w:rsidR="00ED41A4" w:rsidRPr="00E37FBE" w:rsidRDefault="00ED41A4" w:rsidP="005F4FE0">
            <w:pPr>
              <w:spacing w:before="0" w:after="0"/>
              <w:jc w:val="left"/>
              <w:rPr>
                <w:rFonts w:ascii="Times New Roman" w:hAnsi="Times New Roman"/>
                <w:color w:val="000000"/>
                <w:szCs w:val="20"/>
                <w:lang w:eastAsia="en-GB"/>
              </w:rPr>
            </w:pPr>
            <w:r w:rsidRPr="00E37FBE">
              <w:rPr>
                <w:rStyle w:val="InstructionsTabelleText"/>
                <w:rFonts w:ascii="Times New Roman" w:hAnsi="Times New Roman"/>
                <w:color w:val="000000"/>
                <w:szCs w:val="20"/>
                <w:lang w:eastAsia="en-GB"/>
              </w:rPr>
              <w:lastRenderedPageBreak/>
              <w:t>Column</w:t>
            </w:r>
          </w:p>
        </w:tc>
        <w:tc>
          <w:tcPr>
            <w:tcW w:w="4271" w:type="pct"/>
            <w:shd w:val="clear" w:color="auto" w:fill="D9D9D9"/>
            <w:vAlign w:val="center"/>
          </w:tcPr>
          <w:p w14:paraId="31EE78F6" w14:textId="77777777" w:rsidR="00ED41A4" w:rsidRPr="00E37FBE" w:rsidRDefault="00ED41A4" w:rsidP="005F4FE0">
            <w:pPr>
              <w:spacing w:before="0" w:after="0"/>
              <w:jc w:val="left"/>
              <w:rPr>
                <w:rFonts w:ascii="Times New Roman" w:hAnsi="Times New Roman"/>
                <w:szCs w:val="20"/>
                <w:lang w:eastAsia="en-GB"/>
              </w:rPr>
            </w:pPr>
            <w:r w:rsidRPr="00E37FBE">
              <w:rPr>
                <w:rStyle w:val="InstructionsTabelleText"/>
                <w:rFonts w:ascii="Times New Roman" w:hAnsi="Times New Roman"/>
                <w:szCs w:val="20"/>
                <w:lang w:eastAsia="en-GB"/>
              </w:rPr>
              <w:t>Legal references and instructions</w:t>
            </w:r>
          </w:p>
        </w:tc>
      </w:tr>
      <w:tr w:rsidR="00ED41A4" w:rsidRPr="00E37FBE" w14:paraId="1F75C2D4" w14:textId="77777777" w:rsidTr="00ED41A4">
        <w:trPr>
          <w:trHeight w:val="765"/>
        </w:trPr>
        <w:tc>
          <w:tcPr>
            <w:tcW w:w="729" w:type="pct"/>
            <w:shd w:val="clear" w:color="auto" w:fill="auto"/>
            <w:noWrap/>
          </w:tcPr>
          <w:p w14:paraId="2684888D" w14:textId="6887441F" w:rsidR="00ED41A4" w:rsidRPr="00E37FBE" w:rsidRDefault="00BD24C1" w:rsidP="00BD24C1">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C90DF5" w:rsidRPr="00E37FBE">
              <w:rPr>
                <w:rFonts w:ascii="Times New Roman" w:hAnsi="Times New Roman"/>
                <w:color w:val="000000"/>
                <w:szCs w:val="20"/>
                <w:lang w:eastAsia="en-GB"/>
              </w:rPr>
              <w:t>0</w:t>
            </w:r>
            <w:r w:rsidRPr="00E37FBE">
              <w:rPr>
                <w:rFonts w:ascii="Times New Roman" w:hAnsi="Times New Roman"/>
                <w:color w:val="000000"/>
                <w:szCs w:val="20"/>
                <w:lang w:eastAsia="en-GB"/>
              </w:rPr>
              <w:t xml:space="preserve">10 to </w:t>
            </w:r>
            <w:r w:rsidR="00C90DF5" w:rsidRPr="00E37FBE">
              <w:rPr>
                <w:rFonts w:ascii="Times New Roman" w:hAnsi="Times New Roman"/>
                <w:color w:val="000000"/>
                <w:szCs w:val="20"/>
                <w:lang w:eastAsia="en-GB"/>
              </w:rPr>
              <w:t>0</w:t>
            </w:r>
            <w:r w:rsidRPr="00E37FBE">
              <w:rPr>
                <w:rFonts w:ascii="Times New Roman" w:hAnsi="Times New Roman"/>
                <w:color w:val="000000"/>
                <w:szCs w:val="20"/>
                <w:lang w:eastAsia="en-GB"/>
              </w:rPr>
              <w:t>040</w:t>
            </w:r>
          </w:p>
        </w:tc>
        <w:tc>
          <w:tcPr>
            <w:tcW w:w="4271" w:type="pct"/>
            <w:shd w:val="clear" w:color="auto" w:fill="auto"/>
          </w:tcPr>
          <w:p w14:paraId="45774E3B" w14:textId="77777777" w:rsidR="00ED41A4" w:rsidRPr="00E37FBE" w:rsidRDefault="00BD24C1" w:rsidP="00193B6D">
            <w:pPr>
              <w:rPr>
                <w:rFonts w:ascii="Times New Roman" w:hAnsi="Times New Roman"/>
                <w:b/>
                <w:szCs w:val="20"/>
                <w:u w:val="single"/>
              </w:rPr>
            </w:pPr>
            <w:r w:rsidRPr="00E37FBE">
              <w:rPr>
                <w:rFonts w:ascii="Times New Roman" w:hAnsi="Times New Roman"/>
                <w:b/>
                <w:szCs w:val="20"/>
                <w:u w:val="single"/>
              </w:rPr>
              <w:t>Overnight</w:t>
            </w:r>
          </w:p>
          <w:p w14:paraId="0D011271" w14:textId="46252F0C" w:rsidR="00B83BF9" w:rsidRPr="00E37FBE" w:rsidRDefault="00ED41A4" w:rsidP="00193B6D">
            <w:pPr>
              <w:rPr>
                <w:rFonts w:ascii="Times New Roman" w:hAnsi="Times New Roman"/>
                <w:szCs w:val="20"/>
              </w:rPr>
            </w:pPr>
            <w:r w:rsidRPr="00E37FBE">
              <w:rPr>
                <w:rFonts w:ascii="Times New Roman" w:hAnsi="Times New Roman"/>
                <w:szCs w:val="20"/>
              </w:rPr>
              <w:t>T</w:t>
            </w:r>
            <w:r w:rsidR="008C5FE9" w:rsidRPr="00E37FBE">
              <w:rPr>
                <w:rFonts w:ascii="Times New Roman" w:hAnsi="Times New Roman"/>
                <w:szCs w:val="20"/>
              </w:rPr>
              <w:t>he t</w:t>
            </w:r>
            <w:r w:rsidRPr="00E37FBE">
              <w:rPr>
                <w:rFonts w:ascii="Times New Roman" w:hAnsi="Times New Roman"/>
                <w:szCs w:val="20"/>
              </w:rPr>
              <w:t xml:space="preserve">otal amount of funding maturing </w:t>
            </w:r>
            <w:r w:rsidR="006E50C4" w:rsidRPr="00E37FBE">
              <w:rPr>
                <w:rFonts w:ascii="Times New Roman" w:hAnsi="Times New Roman"/>
                <w:szCs w:val="20"/>
              </w:rPr>
              <w:t>on</w:t>
            </w:r>
            <w:r w:rsidR="006D7E61" w:rsidRPr="00E37FBE">
              <w:rPr>
                <w:rFonts w:ascii="Times New Roman" w:hAnsi="Times New Roman"/>
                <w:szCs w:val="20"/>
              </w:rPr>
              <w:t xml:space="preserve"> the</w:t>
            </w:r>
            <w:r w:rsidR="008D06D7" w:rsidRPr="00E37FBE">
              <w:rPr>
                <w:rFonts w:ascii="Times New Roman" w:hAnsi="Times New Roman"/>
                <w:szCs w:val="20"/>
              </w:rPr>
              <w:t xml:space="preserve"> </w:t>
            </w:r>
            <w:r w:rsidR="004B1998" w:rsidRPr="00E37FBE">
              <w:rPr>
                <w:rFonts w:ascii="Times New Roman" w:hAnsi="Times New Roman"/>
                <w:szCs w:val="20"/>
              </w:rPr>
              <w:t>relevant</w:t>
            </w:r>
            <w:r w:rsidR="008D06D7" w:rsidRPr="00E37FBE">
              <w:rPr>
                <w:rFonts w:ascii="Times New Roman" w:hAnsi="Times New Roman"/>
                <w:szCs w:val="20"/>
              </w:rPr>
              <w:t xml:space="preserve"> day of the reporting period</w:t>
            </w:r>
            <w:r w:rsidR="00BF3AAF" w:rsidRPr="00E37FBE">
              <w:rPr>
                <w:rFonts w:ascii="Times New Roman" w:hAnsi="Times New Roman"/>
                <w:szCs w:val="20"/>
              </w:rPr>
              <w:t xml:space="preserve"> with </w:t>
            </w:r>
            <w:r w:rsidR="006C6F24" w:rsidRPr="00E37FBE">
              <w:rPr>
                <w:rFonts w:ascii="Times New Roman" w:hAnsi="Times New Roman"/>
                <w:szCs w:val="20"/>
              </w:rPr>
              <w:t>an</w:t>
            </w:r>
            <w:r w:rsidR="00BF3AAF" w:rsidRPr="00E37FBE">
              <w:rPr>
                <w:rFonts w:ascii="Times New Roman" w:hAnsi="Times New Roman"/>
                <w:szCs w:val="20"/>
              </w:rPr>
              <w:t xml:space="preserve"> </w:t>
            </w:r>
            <w:r w:rsidR="008D06D7" w:rsidRPr="00E37FBE">
              <w:rPr>
                <w:rFonts w:ascii="Times New Roman" w:hAnsi="Times New Roman"/>
                <w:szCs w:val="20"/>
              </w:rPr>
              <w:t xml:space="preserve">overnight original maturity </w:t>
            </w:r>
            <w:r w:rsidR="006A7234" w:rsidRPr="00E37FBE">
              <w:rPr>
                <w:rFonts w:ascii="Times New Roman" w:hAnsi="Times New Roman"/>
                <w:szCs w:val="20"/>
              </w:rPr>
              <w:t>shall</w:t>
            </w:r>
            <w:r w:rsidRPr="00E37FBE">
              <w:rPr>
                <w:rFonts w:ascii="Times New Roman" w:hAnsi="Times New Roman"/>
                <w:szCs w:val="20"/>
              </w:rPr>
              <w:t xml:space="preserve"> be reported in column </w:t>
            </w:r>
            <w:r w:rsidR="00C90DF5" w:rsidRPr="00E37FBE">
              <w:rPr>
                <w:rFonts w:ascii="Times New Roman" w:hAnsi="Times New Roman"/>
                <w:szCs w:val="20"/>
              </w:rPr>
              <w:t>0</w:t>
            </w:r>
            <w:r w:rsidR="00B83BF9" w:rsidRPr="00E37FBE">
              <w:rPr>
                <w:rFonts w:ascii="Times New Roman" w:hAnsi="Times New Roman"/>
                <w:szCs w:val="20"/>
              </w:rPr>
              <w:t>010</w:t>
            </w:r>
            <w:r w:rsidR="00AE0498" w:rsidRPr="00E37FBE">
              <w:rPr>
                <w:rFonts w:ascii="Times New Roman" w:hAnsi="Times New Roman"/>
                <w:szCs w:val="20"/>
              </w:rPr>
              <w:t xml:space="preserve"> </w:t>
            </w:r>
            <w:r w:rsidRPr="00E37FBE">
              <w:rPr>
                <w:rFonts w:ascii="Times New Roman" w:hAnsi="Times New Roman"/>
                <w:szCs w:val="20"/>
              </w:rPr>
              <w:t>of line item 1.1-1.31. For months with less than 31 days</w:t>
            </w:r>
            <w:r w:rsidR="008D06D7" w:rsidRPr="00E37FBE">
              <w:rPr>
                <w:rFonts w:ascii="Times New Roman" w:hAnsi="Times New Roman"/>
                <w:szCs w:val="20"/>
              </w:rPr>
              <w:t xml:space="preserve"> </w:t>
            </w:r>
            <w:r w:rsidR="00EF78E3" w:rsidRPr="00E37FBE">
              <w:rPr>
                <w:rFonts w:ascii="Times New Roman" w:hAnsi="Times New Roman"/>
                <w:szCs w:val="20"/>
              </w:rPr>
              <w:t>as well as for weekends</w:t>
            </w:r>
            <w:r w:rsidRPr="00E37FBE">
              <w:rPr>
                <w:rFonts w:ascii="Times New Roman" w:hAnsi="Times New Roman"/>
                <w:szCs w:val="20"/>
              </w:rPr>
              <w:t xml:space="preserve">, irrelevant lines </w:t>
            </w:r>
            <w:r w:rsidR="006A7234" w:rsidRPr="00E37FBE">
              <w:rPr>
                <w:rFonts w:ascii="Times New Roman" w:hAnsi="Times New Roman"/>
                <w:szCs w:val="20"/>
              </w:rPr>
              <w:t>shall</w:t>
            </w:r>
            <w:r w:rsidRPr="00E37FBE">
              <w:rPr>
                <w:rFonts w:ascii="Times New Roman" w:hAnsi="Times New Roman"/>
                <w:szCs w:val="20"/>
              </w:rPr>
              <w:t xml:space="preserve"> be</w:t>
            </w:r>
            <w:r w:rsidR="008D06D7" w:rsidRPr="00E37FBE">
              <w:rPr>
                <w:rFonts w:ascii="Times New Roman" w:hAnsi="Times New Roman"/>
                <w:szCs w:val="20"/>
              </w:rPr>
              <w:t xml:space="preserve"> </w:t>
            </w:r>
            <w:r w:rsidR="009C1A02" w:rsidRPr="00E37FBE">
              <w:rPr>
                <w:rFonts w:ascii="Times New Roman" w:hAnsi="Times New Roman"/>
                <w:szCs w:val="20"/>
              </w:rPr>
              <w:t>left empty</w:t>
            </w:r>
            <w:r w:rsidR="008D06D7" w:rsidRPr="00E37FBE">
              <w:rPr>
                <w:rFonts w:ascii="Times New Roman" w:hAnsi="Times New Roman"/>
                <w:szCs w:val="20"/>
              </w:rPr>
              <w:t>.</w:t>
            </w:r>
          </w:p>
          <w:p w14:paraId="7D2D26D4" w14:textId="79E1BEFF" w:rsidR="003E371A" w:rsidRPr="00E37FBE" w:rsidRDefault="003E371A" w:rsidP="00193B6D">
            <w:pPr>
              <w:rPr>
                <w:rFonts w:ascii="Times New Roman" w:hAnsi="Times New Roman"/>
                <w:szCs w:val="20"/>
              </w:rPr>
            </w:pPr>
            <w:r w:rsidRPr="00E37FBE">
              <w:rPr>
                <w:rFonts w:ascii="Times New Roman" w:hAnsi="Times New Roman"/>
                <w:szCs w:val="20"/>
              </w:rPr>
              <w:t xml:space="preserve">The total amount of funding rolled-over </w:t>
            </w:r>
            <w:r w:rsidR="006E50C4" w:rsidRPr="00E37FBE">
              <w:rPr>
                <w:rFonts w:ascii="Times New Roman" w:hAnsi="Times New Roman"/>
                <w:szCs w:val="20"/>
              </w:rPr>
              <w:t>on</w:t>
            </w:r>
            <w:r w:rsidR="006D7E61" w:rsidRPr="00E37FBE">
              <w:rPr>
                <w:rFonts w:ascii="Times New Roman" w:hAnsi="Times New Roman"/>
                <w:szCs w:val="20"/>
              </w:rPr>
              <w:t xml:space="preserve"> the</w:t>
            </w:r>
            <w:r w:rsidR="00055633" w:rsidRPr="00E37FBE">
              <w:rPr>
                <w:rFonts w:ascii="Times New Roman" w:hAnsi="Times New Roman"/>
                <w:szCs w:val="20"/>
              </w:rPr>
              <w:t xml:space="preserve"> </w:t>
            </w:r>
            <w:r w:rsidR="004B1998" w:rsidRPr="00E37FBE">
              <w:rPr>
                <w:rFonts w:ascii="Times New Roman" w:hAnsi="Times New Roman"/>
                <w:szCs w:val="20"/>
              </w:rPr>
              <w:t xml:space="preserve">relevant </w:t>
            </w:r>
            <w:r w:rsidR="00055633" w:rsidRPr="00E37FBE">
              <w:rPr>
                <w:rFonts w:ascii="Times New Roman" w:hAnsi="Times New Roman"/>
                <w:szCs w:val="20"/>
              </w:rPr>
              <w:t>day</w:t>
            </w:r>
            <w:r w:rsidR="00BF3AAF" w:rsidRPr="00E37FBE">
              <w:rPr>
                <w:rFonts w:ascii="Times New Roman" w:hAnsi="Times New Roman"/>
                <w:szCs w:val="20"/>
              </w:rPr>
              <w:t xml:space="preserve"> of the reporting period with </w:t>
            </w:r>
            <w:r w:rsidR="006C6F24" w:rsidRPr="00E37FBE">
              <w:rPr>
                <w:rFonts w:ascii="Times New Roman" w:hAnsi="Times New Roman"/>
                <w:szCs w:val="20"/>
              </w:rPr>
              <w:t>an</w:t>
            </w:r>
            <w:r w:rsidR="00055633" w:rsidRPr="00E37FBE">
              <w:rPr>
                <w:rFonts w:ascii="Times New Roman" w:hAnsi="Times New Roman"/>
                <w:szCs w:val="20"/>
              </w:rPr>
              <w:t xml:space="preserve"> overnight original maturity </w:t>
            </w:r>
            <w:r w:rsidRPr="00E37FBE">
              <w:rPr>
                <w:rFonts w:ascii="Times New Roman" w:hAnsi="Times New Roman"/>
                <w:szCs w:val="20"/>
              </w:rPr>
              <w:t>shall be reported in column 0</w:t>
            </w:r>
            <w:r w:rsidR="00C90DF5" w:rsidRPr="00E37FBE">
              <w:rPr>
                <w:rFonts w:ascii="Times New Roman" w:hAnsi="Times New Roman"/>
                <w:szCs w:val="20"/>
              </w:rPr>
              <w:t>0</w:t>
            </w:r>
            <w:r w:rsidRPr="00E37FBE">
              <w:rPr>
                <w:rFonts w:ascii="Times New Roman" w:hAnsi="Times New Roman"/>
                <w:szCs w:val="20"/>
              </w:rPr>
              <w:t>20 of line item 1.1-1.31.</w:t>
            </w:r>
          </w:p>
          <w:p w14:paraId="4837928B" w14:textId="6B449134" w:rsidR="00ED41A4" w:rsidRPr="00E37FBE" w:rsidRDefault="00ED41A4" w:rsidP="00193B6D">
            <w:pPr>
              <w:rPr>
                <w:rFonts w:ascii="Times New Roman" w:hAnsi="Times New Roman"/>
                <w:szCs w:val="20"/>
              </w:rPr>
            </w:pPr>
            <w:r w:rsidRPr="00E37FBE">
              <w:rPr>
                <w:rFonts w:ascii="Times New Roman" w:hAnsi="Times New Roman"/>
                <w:szCs w:val="20"/>
              </w:rPr>
              <w:t>T</w:t>
            </w:r>
            <w:r w:rsidR="008C5FE9" w:rsidRPr="00E37FBE">
              <w:rPr>
                <w:rFonts w:ascii="Times New Roman" w:hAnsi="Times New Roman"/>
                <w:szCs w:val="20"/>
              </w:rPr>
              <w:t>he t</w:t>
            </w:r>
            <w:r w:rsidRPr="00E37FBE">
              <w:rPr>
                <w:rFonts w:ascii="Times New Roman" w:hAnsi="Times New Roman"/>
                <w:szCs w:val="20"/>
              </w:rPr>
              <w:t xml:space="preserve">otal amount of new funding </w:t>
            </w:r>
            <w:r w:rsidR="00D60F58" w:rsidRPr="00E37FBE">
              <w:rPr>
                <w:rFonts w:ascii="Times New Roman" w:hAnsi="Times New Roman"/>
                <w:szCs w:val="20"/>
              </w:rPr>
              <w:t xml:space="preserve">obtained </w:t>
            </w:r>
            <w:r w:rsidR="006E50C4" w:rsidRPr="00E37FBE">
              <w:rPr>
                <w:rFonts w:ascii="Times New Roman" w:hAnsi="Times New Roman"/>
                <w:szCs w:val="20"/>
              </w:rPr>
              <w:t>on</w:t>
            </w:r>
            <w:r w:rsidR="006D7E61" w:rsidRPr="00E37FBE">
              <w:rPr>
                <w:rFonts w:ascii="Times New Roman" w:hAnsi="Times New Roman"/>
                <w:szCs w:val="20"/>
              </w:rPr>
              <w:t xml:space="preserve"> the</w:t>
            </w:r>
            <w:r w:rsidR="00055633" w:rsidRPr="00E37FBE">
              <w:rPr>
                <w:rFonts w:ascii="Times New Roman" w:hAnsi="Times New Roman"/>
                <w:szCs w:val="20"/>
              </w:rPr>
              <w:t xml:space="preserve"> </w:t>
            </w:r>
            <w:r w:rsidR="004B1998" w:rsidRPr="00E37FBE">
              <w:rPr>
                <w:rFonts w:ascii="Times New Roman" w:hAnsi="Times New Roman"/>
                <w:szCs w:val="20"/>
              </w:rPr>
              <w:t>relevant</w:t>
            </w:r>
            <w:r w:rsidR="00055633" w:rsidRPr="00E37FBE">
              <w:rPr>
                <w:rFonts w:ascii="Times New Roman" w:hAnsi="Times New Roman"/>
                <w:szCs w:val="20"/>
              </w:rPr>
              <w:t xml:space="preserve"> day</w:t>
            </w:r>
            <w:r w:rsidR="00BF3AAF" w:rsidRPr="00E37FBE">
              <w:rPr>
                <w:rFonts w:ascii="Times New Roman" w:hAnsi="Times New Roman"/>
                <w:szCs w:val="20"/>
              </w:rPr>
              <w:t xml:space="preserve"> of the reporting period with </w:t>
            </w:r>
            <w:r w:rsidR="006C6F24" w:rsidRPr="00E37FBE">
              <w:rPr>
                <w:rFonts w:ascii="Times New Roman" w:hAnsi="Times New Roman"/>
                <w:szCs w:val="20"/>
              </w:rPr>
              <w:t>an</w:t>
            </w:r>
            <w:r w:rsidR="00055633" w:rsidRPr="00E37FBE">
              <w:rPr>
                <w:rFonts w:ascii="Times New Roman" w:hAnsi="Times New Roman"/>
                <w:szCs w:val="20"/>
              </w:rPr>
              <w:t xml:space="preserve"> overnight original maturity </w:t>
            </w:r>
            <w:r w:rsidR="006A7234" w:rsidRPr="00E37FBE">
              <w:rPr>
                <w:rFonts w:ascii="Times New Roman" w:hAnsi="Times New Roman"/>
                <w:szCs w:val="20"/>
              </w:rPr>
              <w:t>shall</w:t>
            </w:r>
            <w:r w:rsidRPr="00E37FBE">
              <w:rPr>
                <w:rFonts w:ascii="Times New Roman" w:hAnsi="Times New Roman"/>
                <w:szCs w:val="20"/>
              </w:rPr>
              <w:t xml:space="preserve"> be reported in column </w:t>
            </w:r>
            <w:r w:rsidR="00B83BF9" w:rsidRPr="00E37FBE">
              <w:rPr>
                <w:rFonts w:ascii="Times New Roman" w:hAnsi="Times New Roman"/>
                <w:szCs w:val="20"/>
              </w:rPr>
              <w:t>0</w:t>
            </w:r>
            <w:r w:rsidR="00C90DF5" w:rsidRPr="00E37FBE">
              <w:rPr>
                <w:rFonts w:ascii="Times New Roman" w:hAnsi="Times New Roman"/>
                <w:szCs w:val="20"/>
              </w:rPr>
              <w:t>0</w:t>
            </w:r>
            <w:r w:rsidR="00B83BF9" w:rsidRPr="00E37FBE">
              <w:rPr>
                <w:rFonts w:ascii="Times New Roman" w:hAnsi="Times New Roman"/>
                <w:szCs w:val="20"/>
              </w:rPr>
              <w:t>30</w:t>
            </w:r>
            <w:r w:rsidRPr="00E37FBE">
              <w:rPr>
                <w:rFonts w:ascii="Times New Roman" w:hAnsi="Times New Roman"/>
                <w:szCs w:val="20"/>
              </w:rPr>
              <w:t xml:space="preserve"> of line item 1.1-1.31.</w:t>
            </w:r>
          </w:p>
          <w:p w14:paraId="16FDBE2F" w14:textId="01510436" w:rsidR="00ED41A4" w:rsidRPr="00E37FBE" w:rsidRDefault="00ED41A4" w:rsidP="00193B6D">
            <w:pPr>
              <w:rPr>
                <w:rFonts w:ascii="Times New Roman" w:hAnsi="Times New Roman"/>
                <w:szCs w:val="20"/>
              </w:rPr>
            </w:pPr>
            <w:r w:rsidRPr="00E37FBE">
              <w:rPr>
                <w:rFonts w:ascii="Times New Roman" w:hAnsi="Times New Roman"/>
                <w:szCs w:val="20"/>
              </w:rPr>
              <w:t>The net difference between</w:t>
            </w:r>
            <w:r w:rsidR="001B6D1B" w:rsidRPr="00E37FBE">
              <w:rPr>
                <w:rFonts w:ascii="Times New Roman" w:hAnsi="Times New Roman"/>
                <w:szCs w:val="20"/>
              </w:rPr>
              <w:t>, on the one hand,</w:t>
            </w:r>
            <w:r w:rsidRPr="00E37FBE">
              <w:rPr>
                <w:rFonts w:ascii="Times New Roman" w:hAnsi="Times New Roman"/>
                <w:szCs w:val="20"/>
              </w:rPr>
              <w:t xml:space="preserve"> maturing daily funding and</w:t>
            </w:r>
            <w:r w:rsidR="001B6D1B" w:rsidRPr="00E37FBE">
              <w:rPr>
                <w:rFonts w:ascii="Times New Roman" w:hAnsi="Times New Roman"/>
                <w:szCs w:val="20"/>
              </w:rPr>
              <w:t>, on the other hand,</w:t>
            </w:r>
            <w:r w:rsidRPr="00E37FBE">
              <w:rPr>
                <w:rFonts w:ascii="Times New Roman" w:hAnsi="Times New Roman"/>
                <w:szCs w:val="20"/>
              </w:rPr>
              <w:t xml:space="preserve"> </w:t>
            </w:r>
            <w:r w:rsidR="00D34AC4" w:rsidRPr="00E37FBE">
              <w:rPr>
                <w:rFonts w:ascii="Times New Roman" w:hAnsi="Times New Roman"/>
                <w:szCs w:val="20"/>
              </w:rPr>
              <w:t xml:space="preserve">roll-overs plus </w:t>
            </w:r>
            <w:r w:rsidRPr="00E37FBE">
              <w:rPr>
                <w:rFonts w:ascii="Times New Roman" w:hAnsi="Times New Roman"/>
                <w:szCs w:val="20"/>
              </w:rPr>
              <w:t xml:space="preserve">new daily funding </w:t>
            </w:r>
            <w:r w:rsidR="00224CAE" w:rsidRPr="00E37FBE">
              <w:rPr>
                <w:rFonts w:ascii="Times New Roman" w:hAnsi="Times New Roman"/>
                <w:szCs w:val="20"/>
              </w:rPr>
              <w:t xml:space="preserve">obtained </w:t>
            </w:r>
            <w:r w:rsidR="006A7234" w:rsidRPr="00E37FBE">
              <w:rPr>
                <w:rFonts w:ascii="Times New Roman" w:hAnsi="Times New Roman"/>
                <w:szCs w:val="20"/>
              </w:rPr>
              <w:t>shall</w:t>
            </w:r>
            <w:r w:rsidRPr="00E37FBE">
              <w:rPr>
                <w:rFonts w:ascii="Times New Roman" w:hAnsi="Times New Roman"/>
                <w:szCs w:val="20"/>
              </w:rPr>
              <w:t xml:space="preserve"> be reported in column </w:t>
            </w:r>
            <w:r w:rsidR="00C90DF5" w:rsidRPr="00E37FBE">
              <w:rPr>
                <w:rFonts w:ascii="Times New Roman" w:hAnsi="Times New Roman"/>
                <w:szCs w:val="20"/>
              </w:rPr>
              <w:t>0</w:t>
            </w:r>
            <w:r w:rsidR="00B83BF9" w:rsidRPr="00E37FBE">
              <w:rPr>
                <w:rFonts w:ascii="Times New Roman" w:hAnsi="Times New Roman"/>
                <w:szCs w:val="20"/>
              </w:rPr>
              <w:t>040</w:t>
            </w:r>
            <w:r w:rsidRPr="00E37FBE">
              <w:rPr>
                <w:rFonts w:ascii="Times New Roman" w:hAnsi="Times New Roman"/>
                <w:szCs w:val="20"/>
              </w:rPr>
              <w:t xml:space="preserve"> of line item 1.1-1.31.</w:t>
            </w:r>
          </w:p>
        </w:tc>
      </w:tr>
      <w:tr w:rsidR="00ED41A4" w:rsidRPr="00E37FBE" w14:paraId="66A496F1" w14:textId="77777777" w:rsidTr="00ED41A4">
        <w:trPr>
          <w:trHeight w:val="765"/>
        </w:trPr>
        <w:tc>
          <w:tcPr>
            <w:tcW w:w="729" w:type="pct"/>
            <w:shd w:val="clear" w:color="auto" w:fill="auto"/>
            <w:noWrap/>
          </w:tcPr>
          <w:p w14:paraId="03C009DF" w14:textId="4976C613" w:rsidR="00ED41A4" w:rsidRPr="00E37FBE" w:rsidRDefault="00BD24C1" w:rsidP="00BD24C1">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C90DF5" w:rsidRPr="00E37FBE">
              <w:rPr>
                <w:rFonts w:ascii="Times New Roman" w:hAnsi="Times New Roman"/>
                <w:color w:val="000000"/>
                <w:szCs w:val="20"/>
                <w:lang w:eastAsia="en-GB"/>
              </w:rPr>
              <w:t>0</w:t>
            </w:r>
            <w:r w:rsidRPr="00E37FBE">
              <w:rPr>
                <w:rFonts w:ascii="Times New Roman" w:hAnsi="Times New Roman"/>
                <w:color w:val="000000"/>
                <w:szCs w:val="20"/>
                <w:lang w:eastAsia="en-GB"/>
              </w:rPr>
              <w:t xml:space="preserve">50 to </w:t>
            </w:r>
            <w:r w:rsidR="00C90DF5" w:rsidRPr="00E37FBE">
              <w:rPr>
                <w:rFonts w:ascii="Times New Roman" w:hAnsi="Times New Roman"/>
                <w:color w:val="000000"/>
                <w:szCs w:val="20"/>
                <w:lang w:eastAsia="en-GB"/>
              </w:rPr>
              <w:t>0</w:t>
            </w:r>
            <w:r w:rsidRPr="00E37FBE">
              <w:rPr>
                <w:rFonts w:ascii="Times New Roman" w:hAnsi="Times New Roman"/>
                <w:color w:val="000000"/>
                <w:szCs w:val="20"/>
                <w:lang w:eastAsia="en-GB"/>
              </w:rPr>
              <w:t>080</w:t>
            </w:r>
          </w:p>
        </w:tc>
        <w:tc>
          <w:tcPr>
            <w:tcW w:w="4271" w:type="pct"/>
            <w:shd w:val="clear" w:color="auto" w:fill="auto"/>
          </w:tcPr>
          <w:p w14:paraId="79477518" w14:textId="77777777" w:rsidR="00ED41A4" w:rsidRPr="00E37FBE" w:rsidRDefault="00ED41A4" w:rsidP="00193B6D">
            <w:pPr>
              <w:rPr>
                <w:rFonts w:ascii="Times New Roman" w:hAnsi="Times New Roman"/>
                <w:b/>
                <w:szCs w:val="20"/>
                <w:u w:val="single"/>
              </w:rPr>
            </w:pPr>
            <w:r w:rsidRPr="00E37FBE">
              <w:rPr>
                <w:rFonts w:ascii="Times New Roman" w:hAnsi="Times New Roman"/>
                <w:b/>
                <w:szCs w:val="20"/>
                <w:u w:val="single"/>
              </w:rPr>
              <w:t>&gt; 1 day ≤ 7 days</w:t>
            </w:r>
          </w:p>
          <w:p w14:paraId="456405B1" w14:textId="7B9BDFAD" w:rsidR="00ED41A4" w:rsidRPr="00E37FBE" w:rsidRDefault="00ED41A4" w:rsidP="00193B6D">
            <w:pPr>
              <w:rPr>
                <w:rFonts w:ascii="Times New Roman" w:hAnsi="Times New Roman"/>
                <w:szCs w:val="20"/>
              </w:rPr>
            </w:pPr>
            <w:r w:rsidRPr="00E37FBE">
              <w:rPr>
                <w:rFonts w:ascii="Times New Roman" w:hAnsi="Times New Roman"/>
                <w:szCs w:val="20"/>
              </w:rPr>
              <w:t>T</w:t>
            </w:r>
            <w:r w:rsidR="008C5FE9" w:rsidRPr="00E37FBE">
              <w:rPr>
                <w:rFonts w:ascii="Times New Roman" w:hAnsi="Times New Roman"/>
                <w:szCs w:val="20"/>
              </w:rPr>
              <w:t>he t</w:t>
            </w:r>
            <w:r w:rsidRPr="00E37FBE">
              <w:rPr>
                <w:rFonts w:ascii="Times New Roman" w:hAnsi="Times New Roman"/>
                <w:szCs w:val="20"/>
              </w:rPr>
              <w:t xml:space="preserve">otal amount of funding maturing </w:t>
            </w:r>
            <w:r w:rsidR="0004271F" w:rsidRPr="00E37FBE">
              <w:rPr>
                <w:rFonts w:ascii="Times New Roman" w:hAnsi="Times New Roman"/>
                <w:szCs w:val="20"/>
              </w:rPr>
              <w:t>on the relevant day</w:t>
            </w:r>
            <w:r w:rsidR="00BF3AAF" w:rsidRPr="00E37FBE">
              <w:rPr>
                <w:rFonts w:ascii="Times New Roman" w:hAnsi="Times New Roman"/>
                <w:szCs w:val="20"/>
              </w:rPr>
              <w:t xml:space="preserve"> of the reporting period with </w:t>
            </w:r>
            <w:r w:rsidR="001B6D1B" w:rsidRPr="00E37FBE">
              <w:rPr>
                <w:rFonts w:ascii="Times New Roman" w:hAnsi="Times New Roman"/>
                <w:szCs w:val="20"/>
              </w:rPr>
              <w:t>an</w:t>
            </w:r>
            <w:r w:rsidR="0004271F" w:rsidRPr="00E37FBE">
              <w:rPr>
                <w:rFonts w:ascii="Times New Roman" w:hAnsi="Times New Roman"/>
                <w:szCs w:val="20"/>
              </w:rPr>
              <w:t xml:space="preserve"> original maturity between one day and one week</w:t>
            </w:r>
            <w:r w:rsidRPr="00E37FBE">
              <w:rPr>
                <w:rFonts w:ascii="Times New Roman" w:hAnsi="Times New Roman"/>
                <w:szCs w:val="20"/>
              </w:rPr>
              <w:t xml:space="preserve"> </w:t>
            </w:r>
            <w:r w:rsidR="006A7234" w:rsidRPr="00E37FBE">
              <w:rPr>
                <w:rFonts w:ascii="Times New Roman" w:hAnsi="Times New Roman"/>
                <w:szCs w:val="20"/>
              </w:rPr>
              <w:t>shall</w:t>
            </w:r>
            <w:r w:rsidRPr="00E37FBE">
              <w:rPr>
                <w:rFonts w:ascii="Times New Roman" w:hAnsi="Times New Roman"/>
                <w:szCs w:val="20"/>
              </w:rPr>
              <w:t xml:space="preserve"> be reported in column </w:t>
            </w:r>
            <w:r w:rsidR="00B83BF9" w:rsidRPr="00E37FBE">
              <w:rPr>
                <w:rFonts w:ascii="Times New Roman" w:hAnsi="Times New Roman"/>
                <w:szCs w:val="20"/>
              </w:rPr>
              <w:t>0</w:t>
            </w:r>
            <w:r w:rsidR="00C90DF5" w:rsidRPr="00E37FBE">
              <w:rPr>
                <w:rFonts w:ascii="Times New Roman" w:hAnsi="Times New Roman"/>
                <w:szCs w:val="20"/>
              </w:rPr>
              <w:t>0</w:t>
            </w:r>
            <w:r w:rsidR="00B83BF9" w:rsidRPr="00E37FBE">
              <w:rPr>
                <w:rFonts w:ascii="Times New Roman" w:hAnsi="Times New Roman"/>
                <w:szCs w:val="20"/>
              </w:rPr>
              <w:t>50</w:t>
            </w:r>
            <w:r w:rsidRPr="00E37FBE">
              <w:rPr>
                <w:rFonts w:ascii="Times New Roman" w:hAnsi="Times New Roman"/>
                <w:szCs w:val="20"/>
              </w:rPr>
              <w:t xml:space="preserve"> of line item 1.1-1.31. For months with less than 31 days</w:t>
            </w:r>
            <w:r w:rsidR="00EF78E3" w:rsidRPr="00E37FBE">
              <w:rPr>
                <w:rFonts w:ascii="Times New Roman" w:hAnsi="Times New Roman"/>
                <w:szCs w:val="20"/>
              </w:rPr>
              <w:t xml:space="preserve"> as well as for weekends</w:t>
            </w:r>
            <w:r w:rsidRPr="00E37FBE">
              <w:rPr>
                <w:rFonts w:ascii="Times New Roman" w:hAnsi="Times New Roman"/>
                <w:szCs w:val="20"/>
              </w:rPr>
              <w:t xml:space="preserve">, irrelevant lines </w:t>
            </w:r>
            <w:r w:rsidR="006A7234" w:rsidRPr="00E37FBE">
              <w:rPr>
                <w:rFonts w:ascii="Times New Roman" w:hAnsi="Times New Roman"/>
                <w:szCs w:val="20"/>
              </w:rPr>
              <w:t>shall</w:t>
            </w:r>
            <w:r w:rsidRPr="00E37FBE">
              <w:rPr>
                <w:rFonts w:ascii="Times New Roman" w:hAnsi="Times New Roman"/>
                <w:szCs w:val="20"/>
              </w:rPr>
              <w:t xml:space="preserve"> be</w:t>
            </w:r>
            <w:r w:rsidR="009C1A02" w:rsidRPr="00E37FBE">
              <w:rPr>
                <w:rFonts w:ascii="Times New Roman" w:hAnsi="Times New Roman"/>
                <w:szCs w:val="20"/>
              </w:rPr>
              <w:t xml:space="preserve"> left empty</w:t>
            </w:r>
            <w:r w:rsidRPr="00E37FBE">
              <w:rPr>
                <w:rFonts w:ascii="Times New Roman" w:hAnsi="Times New Roman"/>
                <w:szCs w:val="20"/>
              </w:rPr>
              <w:t>.</w:t>
            </w:r>
          </w:p>
          <w:p w14:paraId="293B2767" w14:textId="378670DE" w:rsidR="003E371A" w:rsidRPr="00E37FBE" w:rsidRDefault="003E371A" w:rsidP="00193B6D">
            <w:pPr>
              <w:rPr>
                <w:rFonts w:ascii="Times New Roman" w:hAnsi="Times New Roman"/>
                <w:szCs w:val="20"/>
              </w:rPr>
            </w:pPr>
            <w:r w:rsidRPr="00E37FBE">
              <w:rPr>
                <w:rFonts w:ascii="Times New Roman" w:hAnsi="Times New Roman"/>
                <w:szCs w:val="20"/>
              </w:rPr>
              <w:t xml:space="preserve">The total amount of funding rolled-over </w:t>
            </w:r>
            <w:r w:rsidR="0080226A" w:rsidRPr="00E37FBE">
              <w:rPr>
                <w:rFonts w:ascii="Times New Roman" w:hAnsi="Times New Roman"/>
                <w:szCs w:val="20"/>
              </w:rPr>
              <w:t xml:space="preserve">on the relevant day of the reporting period with </w:t>
            </w:r>
            <w:r w:rsidR="001B6D1B" w:rsidRPr="00E37FBE">
              <w:rPr>
                <w:rFonts w:ascii="Times New Roman" w:hAnsi="Times New Roman"/>
                <w:szCs w:val="20"/>
              </w:rPr>
              <w:t>an</w:t>
            </w:r>
            <w:r w:rsidR="0080226A" w:rsidRPr="00E37FBE">
              <w:rPr>
                <w:rFonts w:ascii="Times New Roman" w:hAnsi="Times New Roman"/>
                <w:szCs w:val="20"/>
              </w:rPr>
              <w:t xml:space="preserve"> original maturity between one day and one week </w:t>
            </w:r>
            <w:r w:rsidRPr="00E37FBE">
              <w:rPr>
                <w:rFonts w:ascii="Times New Roman" w:hAnsi="Times New Roman"/>
                <w:szCs w:val="20"/>
              </w:rPr>
              <w:t>shall be reported in column 0</w:t>
            </w:r>
            <w:r w:rsidR="00C90DF5" w:rsidRPr="00E37FBE">
              <w:rPr>
                <w:rFonts w:ascii="Times New Roman" w:hAnsi="Times New Roman"/>
                <w:szCs w:val="20"/>
              </w:rPr>
              <w:t>0</w:t>
            </w:r>
            <w:r w:rsidRPr="00E37FBE">
              <w:rPr>
                <w:rFonts w:ascii="Times New Roman" w:hAnsi="Times New Roman"/>
                <w:szCs w:val="20"/>
              </w:rPr>
              <w:t>60 of line item 1.1-1.31.</w:t>
            </w:r>
          </w:p>
          <w:p w14:paraId="5D635490" w14:textId="2D826550" w:rsidR="00ED41A4" w:rsidRPr="00E37FBE" w:rsidRDefault="00ED41A4" w:rsidP="00193B6D">
            <w:pPr>
              <w:rPr>
                <w:rFonts w:ascii="Times New Roman" w:hAnsi="Times New Roman"/>
                <w:szCs w:val="20"/>
              </w:rPr>
            </w:pPr>
            <w:r w:rsidRPr="00E37FBE">
              <w:rPr>
                <w:rFonts w:ascii="Times New Roman" w:hAnsi="Times New Roman"/>
                <w:szCs w:val="20"/>
              </w:rPr>
              <w:t>T</w:t>
            </w:r>
            <w:r w:rsidR="008C5FE9" w:rsidRPr="00E37FBE">
              <w:rPr>
                <w:rFonts w:ascii="Times New Roman" w:hAnsi="Times New Roman"/>
                <w:szCs w:val="20"/>
              </w:rPr>
              <w:t>he t</w:t>
            </w:r>
            <w:r w:rsidRPr="00E37FBE">
              <w:rPr>
                <w:rFonts w:ascii="Times New Roman" w:hAnsi="Times New Roman"/>
                <w:szCs w:val="20"/>
              </w:rPr>
              <w:t xml:space="preserve">otal amount of new funding </w:t>
            </w:r>
            <w:r w:rsidR="00D60F58" w:rsidRPr="00E37FBE">
              <w:rPr>
                <w:rFonts w:ascii="Times New Roman" w:hAnsi="Times New Roman"/>
                <w:szCs w:val="20"/>
              </w:rPr>
              <w:t xml:space="preserve">obtained </w:t>
            </w:r>
            <w:r w:rsidR="0080226A" w:rsidRPr="00E37FBE">
              <w:rPr>
                <w:rFonts w:ascii="Times New Roman" w:hAnsi="Times New Roman"/>
                <w:szCs w:val="20"/>
              </w:rPr>
              <w:t xml:space="preserve">on the relevant day of the reporting period with </w:t>
            </w:r>
            <w:r w:rsidR="001B6D1B" w:rsidRPr="00E37FBE">
              <w:rPr>
                <w:rFonts w:ascii="Times New Roman" w:hAnsi="Times New Roman"/>
                <w:szCs w:val="20"/>
              </w:rPr>
              <w:t>an</w:t>
            </w:r>
            <w:r w:rsidR="0080226A" w:rsidRPr="00E37FBE">
              <w:rPr>
                <w:rFonts w:ascii="Times New Roman" w:hAnsi="Times New Roman"/>
                <w:szCs w:val="20"/>
              </w:rPr>
              <w:t xml:space="preserve"> original maturity between one day and one week</w:t>
            </w:r>
            <w:r w:rsidRPr="00E37FBE">
              <w:rPr>
                <w:rFonts w:ascii="Times New Roman" w:hAnsi="Times New Roman"/>
                <w:szCs w:val="20"/>
              </w:rPr>
              <w:t xml:space="preserve"> </w:t>
            </w:r>
            <w:r w:rsidR="006A7234" w:rsidRPr="00E37FBE">
              <w:rPr>
                <w:rFonts w:ascii="Times New Roman" w:hAnsi="Times New Roman"/>
                <w:szCs w:val="20"/>
              </w:rPr>
              <w:t>shall</w:t>
            </w:r>
            <w:r w:rsidRPr="00E37FBE">
              <w:rPr>
                <w:rFonts w:ascii="Times New Roman" w:hAnsi="Times New Roman"/>
                <w:szCs w:val="20"/>
              </w:rPr>
              <w:t xml:space="preserve"> be reported in column </w:t>
            </w:r>
            <w:r w:rsidR="00C90DF5" w:rsidRPr="00E37FBE">
              <w:rPr>
                <w:rFonts w:ascii="Times New Roman" w:hAnsi="Times New Roman"/>
                <w:szCs w:val="20"/>
              </w:rPr>
              <w:t>00</w:t>
            </w:r>
            <w:r w:rsidR="00B83BF9" w:rsidRPr="00E37FBE">
              <w:rPr>
                <w:rFonts w:ascii="Times New Roman" w:hAnsi="Times New Roman"/>
                <w:szCs w:val="20"/>
              </w:rPr>
              <w:t>70</w:t>
            </w:r>
            <w:r w:rsidRPr="00E37FBE">
              <w:rPr>
                <w:rFonts w:ascii="Times New Roman" w:hAnsi="Times New Roman"/>
                <w:szCs w:val="20"/>
              </w:rPr>
              <w:t xml:space="preserve"> of line item 1.1-1.31.</w:t>
            </w:r>
          </w:p>
          <w:p w14:paraId="46AFF05A" w14:textId="7B5C9634" w:rsidR="00ED41A4" w:rsidRPr="00E37FBE" w:rsidRDefault="00ED41A4" w:rsidP="00193B6D">
            <w:pPr>
              <w:rPr>
                <w:rFonts w:ascii="Times New Roman" w:hAnsi="Times New Roman"/>
                <w:b/>
                <w:szCs w:val="20"/>
                <w:u w:val="single"/>
              </w:rPr>
            </w:pPr>
            <w:r w:rsidRPr="00E37FBE">
              <w:rPr>
                <w:rFonts w:ascii="Times New Roman" w:hAnsi="Times New Roman"/>
                <w:szCs w:val="20"/>
              </w:rPr>
              <w:t>The net difference between</w:t>
            </w:r>
            <w:r w:rsidR="001B6D1B" w:rsidRPr="00E37FBE">
              <w:rPr>
                <w:rFonts w:ascii="Times New Roman" w:hAnsi="Times New Roman"/>
                <w:szCs w:val="20"/>
              </w:rPr>
              <w:t>, on the one hand,</w:t>
            </w:r>
            <w:r w:rsidRPr="00E37FBE">
              <w:rPr>
                <w:rFonts w:ascii="Times New Roman" w:hAnsi="Times New Roman"/>
                <w:szCs w:val="20"/>
              </w:rPr>
              <w:t xml:space="preserve"> maturing funding and</w:t>
            </w:r>
            <w:r w:rsidR="001B6D1B" w:rsidRPr="00E37FBE">
              <w:rPr>
                <w:rFonts w:ascii="Times New Roman" w:hAnsi="Times New Roman"/>
                <w:szCs w:val="20"/>
              </w:rPr>
              <w:t xml:space="preserve">, on the other hand, </w:t>
            </w:r>
            <w:r w:rsidR="00D34AC4" w:rsidRPr="00E37FBE">
              <w:rPr>
                <w:rFonts w:ascii="Times New Roman" w:hAnsi="Times New Roman"/>
                <w:szCs w:val="20"/>
              </w:rPr>
              <w:t xml:space="preserve">roll-overs plus </w:t>
            </w:r>
            <w:r w:rsidRPr="00E37FBE">
              <w:rPr>
                <w:rFonts w:ascii="Times New Roman" w:hAnsi="Times New Roman"/>
                <w:szCs w:val="20"/>
              </w:rPr>
              <w:t xml:space="preserve">new funding </w:t>
            </w:r>
            <w:r w:rsidR="00D60F58" w:rsidRPr="00E37FBE">
              <w:rPr>
                <w:rFonts w:ascii="Times New Roman" w:hAnsi="Times New Roman"/>
                <w:szCs w:val="20"/>
              </w:rPr>
              <w:t xml:space="preserve">obtained </w:t>
            </w:r>
            <w:r w:rsidR="006A7234" w:rsidRPr="00E37FBE">
              <w:rPr>
                <w:rFonts w:ascii="Times New Roman" w:hAnsi="Times New Roman"/>
                <w:szCs w:val="20"/>
              </w:rPr>
              <w:t>shall</w:t>
            </w:r>
            <w:r w:rsidRPr="00E37FBE">
              <w:rPr>
                <w:rFonts w:ascii="Times New Roman" w:hAnsi="Times New Roman"/>
                <w:szCs w:val="20"/>
              </w:rPr>
              <w:t xml:space="preserve"> be reported in column </w:t>
            </w:r>
            <w:r w:rsidR="00B83BF9" w:rsidRPr="00E37FBE">
              <w:rPr>
                <w:rFonts w:ascii="Times New Roman" w:hAnsi="Times New Roman"/>
                <w:szCs w:val="20"/>
              </w:rPr>
              <w:t>0</w:t>
            </w:r>
            <w:r w:rsidR="00C90DF5" w:rsidRPr="00E37FBE">
              <w:rPr>
                <w:rFonts w:ascii="Times New Roman" w:hAnsi="Times New Roman"/>
                <w:szCs w:val="20"/>
              </w:rPr>
              <w:t>0</w:t>
            </w:r>
            <w:r w:rsidR="00B83BF9" w:rsidRPr="00E37FBE">
              <w:rPr>
                <w:rFonts w:ascii="Times New Roman" w:hAnsi="Times New Roman"/>
                <w:szCs w:val="20"/>
              </w:rPr>
              <w:t>80</w:t>
            </w:r>
            <w:r w:rsidRPr="00E37FBE">
              <w:rPr>
                <w:rFonts w:ascii="Times New Roman" w:hAnsi="Times New Roman"/>
                <w:szCs w:val="20"/>
              </w:rPr>
              <w:t xml:space="preserve"> of line item 1.1-1.31.</w:t>
            </w:r>
          </w:p>
        </w:tc>
      </w:tr>
      <w:tr w:rsidR="00ED41A4" w:rsidRPr="00E37FBE" w14:paraId="7A4EE419" w14:textId="77777777" w:rsidTr="00ED41A4">
        <w:trPr>
          <w:trHeight w:val="765"/>
        </w:trPr>
        <w:tc>
          <w:tcPr>
            <w:tcW w:w="729" w:type="pct"/>
            <w:shd w:val="clear" w:color="auto" w:fill="auto"/>
            <w:noWrap/>
          </w:tcPr>
          <w:p w14:paraId="533F8B1E" w14:textId="1FBD812A" w:rsidR="00ED41A4" w:rsidRPr="00E37FBE" w:rsidRDefault="00C90DF5" w:rsidP="00BD24C1">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BD24C1" w:rsidRPr="00E37FBE">
              <w:rPr>
                <w:rFonts w:ascii="Times New Roman" w:hAnsi="Times New Roman"/>
                <w:color w:val="000000"/>
                <w:szCs w:val="20"/>
                <w:lang w:eastAsia="en-GB"/>
              </w:rPr>
              <w:t xml:space="preserve">090 to </w:t>
            </w:r>
            <w:r w:rsidRPr="00E37FBE">
              <w:rPr>
                <w:rFonts w:ascii="Times New Roman" w:hAnsi="Times New Roman"/>
                <w:color w:val="000000"/>
                <w:szCs w:val="20"/>
                <w:lang w:eastAsia="en-GB"/>
              </w:rPr>
              <w:t>0</w:t>
            </w:r>
            <w:r w:rsidR="00BD24C1" w:rsidRPr="00E37FBE">
              <w:rPr>
                <w:rFonts w:ascii="Times New Roman" w:hAnsi="Times New Roman"/>
                <w:color w:val="000000"/>
                <w:szCs w:val="20"/>
                <w:lang w:eastAsia="en-GB"/>
              </w:rPr>
              <w:t>120</w:t>
            </w:r>
          </w:p>
        </w:tc>
        <w:tc>
          <w:tcPr>
            <w:tcW w:w="4271" w:type="pct"/>
            <w:shd w:val="clear" w:color="auto" w:fill="auto"/>
          </w:tcPr>
          <w:p w14:paraId="47C8E97F" w14:textId="77777777" w:rsidR="00ED41A4" w:rsidRPr="00E37FBE" w:rsidRDefault="00ED41A4" w:rsidP="00193B6D">
            <w:pPr>
              <w:rPr>
                <w:rFonts w:ascii="Times New Roman" w:hAnsi="Times New Roman"/>
                <w:b/>
                <w:szCs w:val="20"/>
                <w:u w:val="single"/>
              </w:rPr>
            </w:pPr>
            <w:r w:rsidRPr="00E37FBE">
              <w:rPr>
                <w:rFonts w:ascii="Times New Roman" w:hAnsi="Times New Roman"/>
                <w:b/>
                <w:szCs w:val="20"/>
                <w:u w:val="single"/>
              </w:rPr>
              <w:t>&gt;7days ≤ 14 days</w:t>
            </w:r>
          </w:p>
          <w:p w14:paraId="01B280B0" w14:textId="5023F473" w:rsidR="007C6B89" w:rsidRPr="00E37FBE" w:rsidRDefault="007C6B89" w:rsidP="00193B6D">
            <w:pPr>
              <w:rPr>
                <w:rFonts w:ascii="Times New Roman" w:hAnsi="Times New Roman"/>
                <w:szCs w:val="20"/>
              </w:rPr>
            </w:pPr>
            <w:r w:rsidRPr="00E37FBE">
              <w:rPr>
                <w:rFonts w:ascii="Times New Roman" w:hAnsi="Times New Roman"/>
                <w:szCs w:val="20"/>
              </w:rPr>
              <w:t>T</w:t>
            </w:r>
            <w:r w:rsidR="008C5FE9" w:rsidRPr="00E37FBE">
              <w:rPr>
                <w:rFonts w:ascii="Times New Roman" w:hAnsi="Times New Roman"/>
                <w:szCs w:val="20"/>
              </w:rPr>
              <w:t>he t</w:t>
            </w:r>
            <w:r w:rsidRPr="00E37FBE">
              <w:rPr>
                <w:rFonts w:ascii="Times New Roman" w:hAnsi="Times New Roman"/>
                <w:szCs w:val="20"/>
              </w:rPr>
              <w:t xml:space="preserve">otal amount of funding maturing </w:t>
            </w:r>
            <w:r w:rsidR="00FE09A8" w:rsidRPr="00E37FBE">
              <w:rPr>
                <w:rFonts w:ascii="Times New Roman" w:hAnsi="Times New Roman"/>
                <w:szCs w:val="20"/>
              </w:rPr>
              <w:t xml:space="preserve">on the relevant day of the reporting period with </w:t>
            </w:r>
            <w:r w:rsidR="001B6D1B" w:rsidRPr="00E37FBE">
              <w:rPr>
                <w:rFonts w:ascii="Times New Roman" w:hAnsi="Times New Roman"/>
                <w:szCs w:val="20"/>
              </w:rPr>
              <w:t>an</w:t>
            </w:r>
            <w:r w:rsidR="00FE09A8" w:rsidRPr="00E37FBE">
              <w:rPr>
                <w:rFonts w:ascii="Times New Roman" w:hAnsi="Times New Roman"/>
                <w:szCs w:val="20"/>
              </w:rPr>
              <w:t xml:space="preserve"> original maturity </w:t>
            </w:r>
            <w:r w:rsidRPr="00E37FBE">
              <w:rPr>
                <w:rFonts w:ascii="Times New Roman" w:hAnsi="Times New Roman"/>
                <w:szCs w:val="20"/>
              </w:rPr>
              <w:t xml:space="preserve">between one week and two weeks </w:t>
            </w:r>
            <w:r w:rsidR="006A7234" w:rsidRPr="00E37FBE">
              <w:rPr>
                <w:rFonts w:ascii="Times New Roman" w:hAnsi="Times New Roman"/>
                <w:szCs w:val="20"/>
              </w:rPr>
              <w:t>shall</w:t>
            </w:r>
            <w:r w:rsidRPr="00E37FBE">
              <w:rPr>
                <w:rFonts w:ascii="Times New Roman" w:hAnsi="Times New Roman"/>
                <w:szCs w:val="20"/>
              </w:rPr>
              <w:t xml:space="preserve"> be reported in column </w:t>
            </w:r>
            <w:r w:rsidR="00B83BF9" w:rsidRPr="00E37FBE">
              <w:rPr>
                <w:rFonts w:ascii="Times New Roman" w:hAnsi="Times New Roman"/>
                <w:szCs w:val="20"/>
              </w:rPr>
              <w:t>0</w:t>
            </w:r>
            <w:r w:rsidR="00C90DF5" w:rsidRPr="00E37FBE">
              <w:rPr>
                <w:rFonts w:ascii="Times New Roman" w:hAnsi="Times New Roman"/>
                <w:szCs w:val="20"/>
              </w:rPr>
              <w:t>0</w:t>
            </w:r>
            <w:r w:rsidR="00B83BF9" w:rsidRPr="00E37FBE">
              <w:rPr>
                <w:rFonts w:ascii="Times New Roman" w:hAnsi="Times New Roman"/>
                <w:szCs w:val="20"/>
              </w:rPr>
              <w:t>90</w:t>
            </w:r>
            <w:r w:rsidRPr="00E37FBE">
              <w:rPr>
                <w:rFonts w:ascii="Times New Roman" w:hAnsi="Times New Roman"/>
                <w:szCs w:val="20"/>
              </w:rPr>
              <w:t xml:space="preserve"> of line item 1.1-1.31. For months with less than 31 days</w:t>
            </w:r>
            <w:r w:rsidR="00FE09A8" w:rsidRPr="00E37FBE">
              <w:rPr>
                <w:rFonts w:ascii="Times New Roman" w:hAnsi="Times New Roman"/>
                <w:szCs w:val="20"/>
              </w:rPr>
              <w:t xml:space="preserve"> as well as for weekends</w:t>
            </w:r>
            <w:r w:rsidRPr="00E37FBE">
              <w:rPr>
                <w:rFonts w:ascii="Times New Roman" w:hAnsi="Times New Roman"/>
                <w:szCs w:val="20"/>
              </w:rPr>
              <w:t xml:space="preserve">, irrelevant lines </w:t>
            </w:r>
            <w:r w:rsidR="006A7234" w:rsidRPr="00E37FBE">
              <w:rPr>
                <w:rFonts w:ascii="Times New Roman" w:hAnsi="Times New Roman"/>
                <w:szCs w:val="20"/>
              </w:rPr>
              <w:t>shall</w:t>
            </w:r>
            <w:r w:rsidRPr="00E37FBE">
              <w:rPr>
                <w:rFonts w:ascii="Times New Roman" w:hAnsi="Times New Roman"/>
                <w:szCs w:val="20"/>
              </w:rPr>
              <w:t xml:space="preserve"> be</w:t>
            </w:r>
            <w:r w:rsidR="009C1A02" w:rsidRPr="00E37FBE">
              <w:rPr>
                <w:rFonts w:ascii="Times New Roman" w:hAnsi="Times New Roman"/>
                <w:szCs w:val="20"/>
              </w:rPr>
              <w:t xml:space="preserve"> left empty</w:t>
            </w:r>
            <w:r w:rsidRPr="00E37FBE">
              <w:rPr>
                <w:rFonts w:ascii="Times New Roman" w:hAnsi="Times New Roman"/>
                <w:szCs w:val="20"/>
              </w:rPr>
              <w:t>.</w:t>
            </w:r>
          </w:p>
          <w:p w14:paraId="37FF815B" w14:textId="5B38CB82" w:rsidR="003E371A" w:rsidRPr="00E37FBE" w:rsidRDefault="003E371A" w:rsidP="00193B6D">
            <w:pPr>
              <w:rPr>
                <w:rFonts w:ascii="Times New Roman" w:hAnsi="Times New Roman"/>
                <w:szCs w:val="20"/>
              </w:rPr>
            </w:pPr>
            <w:r w:rsidRPr="00E37FBE">
              <w:rPr>
                <w:rFonts w:ascii="Times New Roman" w:hAnsi="Times New Roman"/>
                <w:szCs w:val="20"/>
              </w:rPr>
              <w:t xml:space="preserve">The total amount of funding rolled-over </w:t>
            </w:r>
            <w:r w:rsidR="00756AD5" w:rsidRPr="00E37FBE">
              <w:rPr>
                <w:rFonts w:ascii="Times New Roman" w:hAnsi="Times New Roman"/>
                <w:szCs w:val="20"/>
              </w:rPr>
              <w:t xml:space="preserve">on the relevant day of the reporting period with </w:t>
            </w:r>
            <w:r w:rsidR="001B6D1B" w:rsidRPr="00E37FBE">
              <w:rPr>
                <w:rFonts w:ascii="Times New Roman" w:hAnsi="Times New Roman"/>
                <w:szCs w:val="20"/>
              </w:rPr>
              <w:t>an</w:t>
            </w:r>
            <w:r w:rsidR="00756AD5" w:rsidRPr="00E37FBE">
              <w:rPr>
                <w:rFonts w:ascii="Times New Roman" w:hAnsi="Times New Roman"/>
                <w:szCs w:val="20"/>
              </w:rPr>
              <w:t xml:space="preserve"> original maturity</w:t>
            </w:r>
            <w:r w:rsidR="00756AD5" w:rsidRPr="00E37FBE" w:rsidDel="00756AD5">
              <w:rPr>
                <w:rFonts w:ascii="Times New Roman" w:hAnsi="Times New Roman"/>
                <w:szCs w:val="20"/>
              </w:rPr>
              <w:t xml:space="preserve"> </w:t>
            </w:r>
            <w:r w:rsidR="00756AD5" w:rsidRPr="00E37FBE">
              <w:rPr>
                <w:rFonts w:ascii="Times New Roman" w:hAnsi="Times New Roman"/>
                <w:szCs w:val="20"/>
              </w:rPr>
              <w:t xml:space="preserve">between one week and two weeks </w:t>
            </w:r>
            <w:r w:rsidRPr="00E37FBE">
              <w:rPr>
                <w:rFonts w:ascii="Times New Roman" w:hAnsi="Times New Roman"/>
                <w:szCs w:val="20"/>
              </w:rPr>
              <w:t xml:space="preserve">shall be reported in column </w:t>
            </w:r>
            <w:r w:rsidR="00633C7F" w:rsidRPr="00E37FBE">
              <w:rPr>
                <w:rFonts w:ascii="Times New Roman" w:hAnsi="Times New Roman"/>
                <w:szCs w:val="20"/>
              </w:rPr>
              <w:t>0</w:t>
            </w:r>
            <w:r w:rsidRPr="00E37FBE">
              <w:rPr>
                <w:rFonts w:ascii="Times New Roman" w:hAnsi="Times New Roman"/>
                <w:szCs w:val="20"/>
              </w:rPr>
              <w:t>100 of line item 1.1-1.31.</w:t>
            </w:r>
          </w:p>
          <w:p w14:paraId="60125A59" w14:textId="19085EB9" w:rsidR="007C6B89" w:rsidRPr="00E37FBE" w:rsidRDefault="007C6B89" w:rsidP="00193B6D">
            <w:pPr>
              <w:rPr>
                <w:rFonts w:ascii="Times New Roman" w:hAnsi="Times New Roman"/>
                <w:szCs w:val="20"/>
              </w:rPr>
            </w:pPr>
            <w:r w:rsidRPr="00E37FBE">
              <w:rPr>
                <w:rFonts w:ascii="Times New Roman" w:hAnsi="Times New Roman"/>
                <w:szCs w:val="20"/>
              </w:rPr>
              <w:t>T</w:t>
            </w:r>
            <w:r w:rsidR="008C5FE9" w:rsidRPr="00E37FBE">
              <w:rPr>
                <w:rFonts w:ascii="Times New Roman" w:hAnsi="Times New Roman"/>
                <w:szCs w:val="20"/>
              </w:rPr>
              <w:t>he t</w:t>
            </w:r>
            <w:r w:rsidRPr="00E37FBE">
              <w:rPr>
                <w:rFonts w:ascii="Times New Roman" w:hAnsi="Times New Roman"/>
                <w:szCs w:val="20"/>
              </w:rPr>
              <w:t xml:space="preserve">otal amount of new funding </w:t>
            </w:r>
            <w:r w:rsidR="00D60F58" w:rsidRPr="00E37FBE">
              <w:rPr>
                <w:rFonts w:ascii="Times New Roman" w:hAnsi="Times New Roman"/>
                <w:szCs w:val="20"/>
              </w:rPr>
              <w:t xml:space="preserve">obtained </w:t>
            </w:r>
            <w:r w:rsidR="002B49E8" w:rsidRPr="00E37FBE">
              <w:rPr>
                <w:rFonts w:ascii="Times New Roman" w:hAnsi="Times New Roman"/>
                <w:szCs w:val="20"/>
              </w:rPr>
              <w:t xml:space="preserve">on the relevant day of the reporting period with </w:t>
            </w:r>
            <w:r w:rsidR="001B6D1B" w:rsidRPr="00E37FBE">
              <w:rPr>
                <w:rFonts w:ascii="Times New Roman" w:hAnsi="Times New Roman"/>
                <w:szCs w:val="20"/>
              </w:rPr>
              <w:t>an</w:t>
            </w:r>
            <w:r w:rsidR="002B49E8" w:rsidRPr="00E37FBE">
              <w:rPr>
                <w:rFonts w:ascii="Times New Roman" w:hAnsi="Times New Roman"/>
                <w:szCs w:val="20"/>
              </w:rPr>
              <w:t xml:space="preserve"> original maturity</w:t>
            </w:r>
            <w:r w:rsidR="002B49E8" w:rsidRPr="00E37FBE" w:rsidDel="002B49E8">
              <w:rPr>
                <w:rFonts w:ascii="Times New Roman" w:hAnsi="Times New Roman"/>
                <w:szCs w:val="20"/>
              </w:rPr>
              <w:t xml:space="preserve"> </w:t>
            </w:r>
            <w:r w:rsidRPr="00E37FBE">
              <w:rPr>
                <w:rFonts w:ascii="Times New Roman" w:hAnsi="Times New Roman"/>
                <w:szCs w:val="20"/>
              </w:rPr>
              <w:t xml:space="preserve">between one week and two weeks </w:t>
            </w:r>
            <w:r w:rsidR="006A7234" w:rsidRPr="00E37FBE">
              <w:rPr>
                <w:rFonts w:ascii="Times New Roman" w:hAnsi="Times New Roman"/>
                <w:szCs w:val="20"/>
              </w:rPr>
              <w:t>shall</w:t>
            </w:r>
            <w:r w:rsidRPr="00E37FBE">
              <w:rPr>
                <w:rFonts w:ascii="Times New Roman" w:hAnsi="Times New Roman"/>
                <w:szCs w:val="20"/>
              </w:rPr>
              <w:t xml:space="preserve"> be reported in column </w:t>
            </w:r>
            <w:r w:rsidR="00633C7F" w:rsidRPr="00E37FBE">
              <w:rPr>
                <w:rFonts w:ascii="Times New Roman" w:hAnsi="Times New Roman"/>
                <w:szCs w:val="20"/>
              </w:rPr>
              <w:t>0</w:t>
            </w:r>
            <w:r w:rsidR="00B83BF9" w:rsidRPr="00E37FBE">
              <w:rPr>
                <w:rFonts w:ascii="Times New Roman" w:hAnsi="Times New Roman"/>
                <w:szCs w:val="20"/>
              </w:rPr>
              <w:t>110</w:t>
            </w:r>
            <w:r w:rsidRPr="00E37FBE">
              <w:rPr>
                <w:rFonts w:ascii="Times New Roman" w:hAnsi="Times New Roman"/>
                <w:szCs w:val="20"/>
              </w:rPr>
              <w:t xml:space="preserve"> of line item 1.1-1.31.</w:t>
            </w:r>
          </w:p>
          <w:p w14:paraId="3B20F474" w14:textId="19889FBD" w:rsidR="00ED41A4" w:rsidRPr="00E37FBE" w:rsidRDefault="007C6B89" w:rsidP="00193B6D">
            <w:pPr>
              <w:rPr>
                <w:rFonts w:ascii="Times New Roman" w:hAnsi="Times New Roman"/>
                <w:b/>
                <w:szCs w:val="20"/>
                <w:u w:val="single"/>
              </w:rPr>
            </w:pPr>
            <w:r w:rsidRPr="00E37FBE">
              <w:rPr>
                <w:rFonts w:ascii="Times New Roman" w:hAnsi="Times New Roman"/>
                <w:szCs w:val="20"/>
              </w:rPr>
              <w:t>The net difference between</w:t>
            </w:r>
            <w:r w:rsidR="001B6D1B" w:rsidRPr="00E37FBE">
              <w:rPr>
                <w:rFonts w:ascii="Times New Roman" w:hAnsi="Times New Roman"/>
                <w:szCs w:val="20"/>
              </w:rPr>
              <w:t>, on the one hand,</w:t>
            </w:r>
            <w:r w:rsidRPr="00E37FBE">
              <w:rPr>
                <w:rFonts w:ascii="Times New Roman" w:hAnsi="Times New Roman"/>
                <w:szCs w:val="20"/>
              </w:rPr>
              <w:t xml:space="preserve"> maturing funding and</w:t>
            </w:r>
            <w:r w:rsidR="001B6D1B" w:rsidRPr="00E37FBE">
              <w:rPr>
                <w:rFonts w:ascii="Times New Roman" w:hAnsi="Times New Roman"/>
                <w:szCs w:val="20"/>
              </w:rPr>
              <w:t>, on the other hand,</w:t>
            </w:r>
            <w:r w:rsidRPr="00E37FBE">
              <w:rPr>
                <w:rFonts w:ascii="Times New Roman" w:hAnsi="Times New Roman"/>
                <w:szCs w:val="20"/>
              </w:rPr>
              <w:t xml:space="preserve"> </w:t>
            </w:r>
            <w:r w:rsidR="00D34AC4" w:rsidRPr="00E37FBE">
              <w:rPr>
                <w:rFonts w:ascii="Times New Roman" w:hAnsi="Times New Roman"/>
                <w:szCs w:val="20"/>
              </w:rPr>
              <w:t xml:space="preserve">roll-overs plus </w:t>
            </w:r>
            <w:r w:rsidRPr="00E37FBE">
              <w:rPr>
                <w:rFonts w:ascii="Times New Roman" w:hAnsi="Times New Roman"/>
                <w:szCs w:val="20"/>
              </w:rPr>
              <w:t xml:space="preserve">new funding </w:t>
            </w:r>
            <w:r w:rsidR="00D60F58" w:rsidRPr="00E37FBE">
              <w:rPr>
                <w:rFonts w:ascii="Times New Roman" w:hAnsi="Times New Roman"/>
                <w:szCs w:val="20"/>
              </w:rPr>
              <w:t>obtained</w:t>
            </w:r>
            <w:r w:rsidR="008E1DE8" w:rsidRPr="00E37FBE">
              <w:rPr>
                <w:rFonts w:ascii="Times New Roman" w:hAnsi="Times New Roman"/>
                <w:szCs w:val="20"/>
              </w:rPr>
              <w:t>,</w:t>
            </w:r>
            <w:r w:rsidR="00D60F58" w:rsidRPr="00E37FBE">
              <w:rPr>
                <w:rFonts w:ascii="Times New Roman" w:hAnsi="Times New Roman"/>
                <w:szCs w:val="20"/>
              </w:rPr>
              <w:t xml:space="preserve"> </w:t>
            </w:r>
            <w:r w:rsidR="006A7234" w:rsidRPr="00E37FBE">
              <w:rPr>
                <w:rFonts w:ascii="Times New Roman" w:hAnsi="Times New Roman"/>
                <w:szCs w:val="20"/>
              </w:rPr>
              <w:t>shall</w:t>
            </w:r>
            <w:r w:rsidRPr="00E37FBE">
              <w:rPr>
                <w:rFonts w:ascii="Times New Roman" w:hAnsi="Times New Roman"/>
                <w:szCs w:val="20"/>
              </w:rPr>
              <w:t xml:space="preserve"> be reported in column </w:t>
            </w:r>
            <w:r w:rsidR="00C90DF5" w:rsidRPr="00E37FBE">
              <w:rPr>
                <w:rFonts w:ascii="Times New Roman" w:hAnsi="Times New Roman"/>
                <w:szCs w:val="20"/>
              </w:rPr>
              <w:t>0</w:t>
            </w:r>
            <w:r w:rsidR="00B83BF9" w:rsidRPr="00E37FBE">
              <w:rPr>
                <w:rFonts w:ascii="Times New Roman" w:hAnsi="Times New Roman"/>
                <w:szCs w:val="20"/>
              </w:rPr>
              <w:t>120</w:t>
            </w:r>
            <w:r w:rsidRPr="00E37FBE">
              <w:rPr>
                <w:rFonts w:ascii="Times New Roman" w:hAnsi="Times New Roman"/>
                <w:szCs w:val="20"/>
              </w:rPr>
              <w:t xml:space="preserve"> of line item 1.1-1.31</w:t>
            </w:r>
            <w:r w:rsidR="00ED41A4" w:rsidRPr="00E37FBE">
              <w:rPr>
                <w:rFonts w:ascii="Times New Roman" w:hAnsi="Times New Roman"/>
                <w:szCs w:val="20"/>
              </w:rPr>
              <w:t>.</w:t>
            </w:r>
          </w:p>
        </w:tc>
      </w:tr>
      <w:tr w:rsidR="00ED41A4" w:rsidRPr="00E37FBE" w14:paraId="4111D590" w14:textId="77777777" w:rsidTr="00ED41A4">
        <w:trPr>
          <w:trHeight w:val="765"/>
        </w:trPr>
        <w:tc>
          <w:tcPr>
            <w:tcW w:w="729" w:type="pct"/>
            <w:shd w:val="clear" w:color="auto" w:fill="auto"/>
            <w:noWrap/>
          </w:tcPr>
          <w:p w14:paraId="3F918ABE" w14:textId="486D4A1E" w:rsidR="00ED41A4" w:rsidRPr="00E37FBE" w:rsidRDefault="00C90DF5" w:rsidP="00BD24C1">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BD24C1" w:rsidRPr="00E37FBE">
              <w:rPr>
                <w:rFonts w:ascii="Times New Roman" w:hAnsi="Times New Roman"/>
                <w:color w:val="000000"/>
                <w:szCs w:val="20"/>
                <w:lang w:eastAsia="en-GB"/>
              </w:rPr>
              <w:t xml:space="preserve">130 to </w:t>
            </w:r>
            <w:r w:rsidRPr="00E37FBE">
              <w:rPr>
                <w:rFonts w:ascii="Times New Roman" w:hAnsi="Times New Roman"/>
                <w:color w:val="000000"/>
                <w:szCs w:val="20"/>
                <w:lang w:eastAsia="en-GB"/>
              </w:rPr>
              <w:t>0</w:t>
            </w:r>
            <w:r w:rsidR="00BD24C1" w:rsidRPr="00E37FBE">
              <w:rPr>
                <w:rFonts w:ascii="Times New Roman" w:hAnsi="Times New Roman"/>
                <w:color w:val="000000"/>
                <w:szCs w:val="20"/>
                <w:lang w:eastAsia="en-GB"/>
              </w:rPr>
              <w:t>160</w:t>
            </w:r>
          </w:p>
        </w:tc>
        <w:tc>
          <w:tcPr>
            <w:tcW w:w="4271" w:type="pct"/>
            <w:shd w:val="clear" w:color="auto" w:fill="auto"/>
          </w:tcPr>
          <w:p w14:paraId="4D847802" w14:textId="77777777" w:rsidR="00ED41A4" w:rsidRPr="00E37FBE" w:rsidRDefault="00ED41A4" w:rsidP="00193B6D">
            <w:pPr>
              <w:rPr>
                <w:rFonts w:ascii="Times New Roman" w:hAnsi="Times New Roman"/>
                <w:b/>
                <w:szCs w:val="20"/>
                <w:u w:val="single"/>
              </w:rPr>
            </w:pPr>
            <w:r w:rsidRPr="00E37FBE">
              <w:rPr>
                <w:rFonts w:ascii="Times New Roman" w:hAnsi="Times New Roman"/>
                <w:b/>
                <w:szCs w:val="20"/>
                <w:u w:val="single"/>
              </w:rPr>
              <w:t>&gt;14 days ≤ 1 month</w:t>
            </w:r>
          </w:p>
          <w:p w14:paraId="6DFCCE86" w14:textId="3B483DEE" w:rsidR="007C6B89" w:rsidRPr="00E37FBE" w:rsidRDefault="007C6B89" w:rsidP="00193B6D">
            <w:pPr>
              <w:rPr>
                <w:rFonts w:ascii="Times New Roman" w:hAnsi="Times New Roman"/>
                <w:szCs w:val="20"/>
              </w:rPr>
            </w:pPr>
            <w:r w:rsidRPr="00E37FBE">
              <w:rPr>
                <w:rFonts w:ascii="Times New Roman" w:hAnsi="Times New Roman"/>
                <w:szCs w:val="20"/>
              </w:rPr>
              <w:t>T</w:t>
            </w:r>
            <w:r w:rsidR="008C5FE9" w:rsidRPr="00E37FBE">
              <w:rPr>
                <w:rFonts w:ascii="Times New Roman" w:hAnsi="Times New Roman"/>
                <w:szCs w:val="20"/>
              </w:rPr>
              <w:t>he t</w:t>
            </w:r>
            <w:r w:rsidRPr="00E37FBE">
              <w:rPr>
                <w:rFonts w:ascii="Times New Roman" w:hAnsi="Times New Roman"/>
                <w:szCs w:val="20"/>
              </w:rPr>
              <w:t xml:space="preserve">otal amount of funding maturing </w:t>
            </w:r>
            <w:r w:rsidR="00271F35" w:rsidRPr="00E37FBE">
              <w:rPr>
                <w:rFonts w:ascii="Times New Roman" w:hAnsi="Times New Roman"/>
                <w:szCs w:val="20"/>
              </w:rPr>
              <w:t xml:space="preserve">on the relevant day of the reporting period with </w:t>
            </w:r>
            <w:r w:rsidR="001B6D1B" w:rsidRPr="00E37FBE">
              <w:rPr>
                <w:rFonts w:ascii="Times New Roman" w:hAnsi="Times New Roman"/>
                <w:szCs w:val="20"/>
              </w:rPr>
              <w:t>an</w:t>
            </w:r>
            <w:r w:rsidR="00271F35" w:rsidRPr="00E37FBE">
              <w:rPr>
                <w:rFonts w:ascii="Times New Roman" w:hAnsi="Times New Roman"/>
                <w:szCs w:val="20"/>
              </w:rPr>
              <w:t xml:space="preserve"> original maturity </w:t>
            </w:r>
            <w:r w:rsidRPr="00E37FBE">
              <w:rPr>
                <w:rFonts w:ascii="Times New Roman" w:hAnsi="Times New Roman"/>
                <w:szCs w:val="20"/>
              </w:rPr>
              <w:t xml:space="preserve">between two weeks and one month </w:t>
            </w:r>
            <w:r w:rsidR="006A7234" w:rsidRPr="00E37FBE">
              <w:rPr>
                <w:rFonts w:ascii="Times New Roman" w:hAnsi="Times New Roman"/>
                <w:szCs w:val="20"/>
              </w:rPr>
              <w:t>shall</w:t>
            </w:r>
            <w:r w:rsidRPr="00E37FBE">
              <w:rPr>
                <w:rFonts w:ascii="Times New Roman" w:hAnsi="Times New Roman"/>
                <w:szCs w:val="20"/>
              </w:rPr>
              <w:t xml:space="preserve"> be reported in column </w:t>
            </w:r>
            <w:r w:rsidR="00C90DF5" w:rsidRPr="00E37FBE">
              <w:rPr>
                <w:rFonts w:ascii="Times New Roman" w:hAnsi="Times New Roman"/>
                <w:szCs w:val="20"/>
              </w:rPr>
              <w:t>0</w:t>
            </w:r>
            <w:r w:rsidR="00B83BF9" w:rsidRPr="00E37FBE">
              <w:rPr>
                <w:rFonts w:ascii="Times New Roman" w:hAnsi="Times New Roman"/>
                <w:szCs w:val="20"/>
              </w:rPr>
              <w:t>130</w:t>
            </w:r>
            <w:r w:rsidRPr="00E37FBE">
              <w:rPr>
                <w:rFonts w:ascii="Times New Roman" w:hAnsi="Times New Roman"/>
                <w:szCs w:val="20"/>
              </w:rPr>
              <w:t xml:space="preserve"> of line item 1.1-1.31. For months with less than 31 days</w:t>
            </w:r>
            <w:r w:rsidR="00271F35" w:rsidRPr="00E37FBE">
              <w:rPr>
                <w:rFonts w:ascii="Times New Roman" w:hAnsi="Times New Roman"/>
                <w:szCs w:val="20"/>
              </w:rPr>
              <w:t xml:space="preserve"> as well as for </w:t>
            </w:r>
            <w:r w:rsidR="00784C4E" w:rsidRPr="00E37FBE">
              <w:rPr>
                <w:rFonts w:ascii="Times New Roman" w:hAnsi="Times New Roman"/>
                <w:szCs w:val="20"/>
              </w:rPr>
              <w:t>weekends</w:t>
            </w:r>
            <w:r w:rsidRPr="00E37FBE">
              <w:rPr>
                <w:rFonts w:ascii="Times New Roman" w:hAnsi="Times New Roman"/>
                <w:szCs w:val="20"/>
              </w:rPr>
              <w:t xml:space="preserve">, irrelevant lines </w:t>
            </w:r>
            <w:r w:rsidR="006A7234" w:rsidRPr="00E37FBE">
              <w:rPr>
                <w:rFonts w:ascii="Times New Roman" w:hAnsi="Times New Roman"/>
                <w:szCs w:val="20"/>
              </w:rPr>
              <w:t>shall</w:t>
            </w:r>
            <w:r w:rsidRPr="00E37FBE">
              <w:rPr>
                <w:rFonts w:ascii="Times New Roman" w:hAnsi="Times New Roman"/>
                <w:szCs w:val="20"/>
              </w:rPr>
              <w:t xml:space="preserve"> be</w:t>
            </w:r>
            <w:r w:rsidR="009C1A02" w:rsidRPr="00E37FBE">
              <w:rPr>
                <w:rFonts w:ascii="Times New Roman" w:hAnsi="Times New Roman"/>
                <w:szCs w:val="20"/>
              </w:rPr>
              <w:t xml:space="preserve"> left empty</w:t>
            </w:r>
            <w:r w:rsidRPr="00E37FBE">
              <w:rPr>
                <w:rFonts w:ascii="Times New Roman" w:hAnsi="Times New Roman"/>
                <w:szCs w:val="20"/>
              </w:rPr>
              <w:t>.</w:t>
            </w:r>
          </w:p>
          <w:p w14:paraId="168BD6CE" w14:textId="7007C9B1" w:rsidR="003E371A" w:rsidRPr="00E37FBE" w:rsidRDefault="003E371A" w:rsidP="00193B6D">
            <w:pPr>
              <w:rPr>
                <w:rFonts w:ascii="Times New Roman" w:hAnsi="Times New Roman"/>
                <w:szCs w:val="20"/>
              </w:rPr>
            </w:pPr>
            <w:r w:rsidRPr="00E37FBE">
              <w:rPr>
                <w:rFonts w:ascii="Times New Roman" w:hAnsi="Times New Roman"/>
                <w:szCs w:val="20"/>
              </w:rPr>
              <w:lastRenderedPageBreak/>
              <w:t xml:space="preserve">The total amount of funding rolled-over </w:t>
            </w:r>
            <w:r w:rsidR="00B4190D" w:rsidRPr="00E37FBE">
              <w:rPr>
                <w:rFonts w:ascii="Times New Roman" w:hAnsi="Times New Roman"/>
                <w:szCs w:val="20"/>
              </w:rPr>
              <w:t xml:space="preserve">on the relevant day of the reporting period with </w:t>
            </w:r>
            <w:r w:rsidR="001B6D1B" w:rsidRPr="00E37FBE">
              <w:rPr>
                <w:rFonts w:ascii="Times New Roman" w:hAnsi="Times New Roman"/>
                <w:szCs w:val="20"/>
              </w:rPr>
              <w:t>an</w:t>
            </w:r>
            <w:r w:rsidR="00B4190D" w:rsidRPr="00E37FBE">
              <w:rPr>
                <w:rFonts w:ascii="Times New Roman" w:hAnsi="Times New Roman"/>
                <w:szCs w:val="20"/>
              </w:rPr>
              <w:t xml:space="preserve"> original maturity between two weeks and one month </w:t>
            </w:r>
            <w:r w:rsidRPr="00E37FBE">
              <w:rPr>
                <w:rFonts w:ascii="Times New Roman" w:hAnsi="Times New Roman"/>
                <w:szCs w:val="20"/>
              </w:rPr>
              <w:t xml:space="preserve">shall be reported in column </w:t>
            </w:r>
            <w:r w:rsidR="00C90DF5" w:rsidRPr="00E37FBE">
              <w:rPr>
                <w:rFonts w:ascii="Times New Roman" w:hAnsi="Times New Roman"/>
                <w:szCs w:val="20"/>
              </w:rPr>
              <w:t>0</w:t>
            </w:r>
            <w:r w:rsidRPr="00E37FBE">
              <w:rPr>
                <w:rFonts w:ascii="Times New Roman" w:hAnsi="Times New Roman"/>
                <w:szCs w:val="20"/>
              </w:rPr>
              <w:t>140 of line item 1.1-1.31.</w:t>
            </w:r>
          </w:p>
          <w:p w14:paraId="0DBC5483" w14:textId="6B45A083" w:rsidR="007C6B89" w:rsidRPr="00E37FBE" w:rsidRDefault="007C6B89" w:rsidP="00193B6D">
            <w:pPr>
              <w:rPr>
                <w:rFonts w:ascii="Times New Roman" w:hAnsi="Times New Roman"/>
                <w:szCs w:val="20"/>
              </w:rPr>
            </w:pPr>
            <w:r w:rsidRPr="00E37FBE">
              <w:rPr>
                <w:rFonts w:ascii="Times New Roman" w:hAnsi="Times New Roman"/>
                <w:szCs w:val="20"/>
              </w:rPr>
              <w:t>T</w:t>
            </w:r>
            <w:r w:rsidR="008C5FE9" w:rsidRPr="00E37FBE">
              <w:rPr>
                <w:rFonts w:ascii="Times New Roman" w:hAnsi="Times New Roman"/>
                <w:szCs w:val="20"/>
              </w:rPr>
              <w:t>he t</w:t>
            </w:r>
            <w:r w:rsidRPr="00E37FBE">
              <w:rPr>
                <w:rFonts w:ascii="Times New Roman" w:hAnsi="Times New Roman"/>
                <w:szCs w:val="20"/>
              </w:rPr>
              <w:t xml:space="preserve">otal amount of new funding </w:t>
            </w:r>
            <w:r w:rsidR="00D60F58" w:rsidRPr="00E37FBE">
              <w:rPr>
                <w:rFonts w:ascii="Times New Roman" w:hAnsi="Times New Roman"/>
                <w:szCs w:val="20"/>
              </w:rPr>
              <w:t xml:space="preserve">obtained </w:t>
            </w:r>
            <w:r w:rsidR="00B4190D" w:rsidRPr="00E37FBE">
              <w:rPr>
                <w:rFonts w:ascii="Times New Roman" w:hAnsi="Times New Roman"/>
                <w:szCs w:val="20"/>
              </w:rPr>
              <w:t xml:space="preserve">on the relevant day of the reporting period with </w:t>
            </w:r>
            <w:r w:rsidR="001B6D1B" w:rsidRPr="00E37FBE">
              <w:rPr>
                <w:rFonts w:ascii="Times New Roman" w:hAnsi="Times New Roman"/>
                <w:szCs w:val="20"/>
              </w:rPr>
              <w:t>an</w:t>
            </w:r>
            <w:r w:rsidR="00B4190D" w:rsidRPr="00E37FBE">
              <w:rPr>
                <w:rFonts w:ascii="Times New Roman" w:hAnsi="Times New Roman"/>
                <w:szCs w:val="20"/>
              </w:rPr>
              <w:t xml:space="preserve"> original maturity </w:t>
            </w:r>
            <w:r w:rsidRPr="00E37FBE">
              <w:rPr>
                <w:rFonts w:ascii="Times New Roman" w:hAnsi="Times New Roman"/>
                <w:szCs w:val="20"/>
              </w:rPr>
              <w:t xml:space="preserve">between two weeks and one month </w:t>
            </w:r>
            <w:r w:rsidR="006A7234" w:rsidRPr="00E37FBE">
              <w:rPr>
                <w:rFonts w:ascii="Times New Roman" w:hAnsi="Times New Roman"/>
                <w:szCs w:val="20"/>
              </w:rPr>
              <w:t>shall</w:t>
            </w:r>
            <w:r w:rsidRPr="00E37FBE">
              <w:rPr>
                <w:rFonts w:ascii="Times New Roman" w:hAnsi="Times New Roman"/>
                <w:szCs w:val="20"/>
              </w:rPr>
              <w:t xml:space="preserve"> be reported in column </w:t>
            </w:r>
            <w:r w:rsidR="00C90DF5" w:rsidRPr="00E37FBE">
              <w:rPr>
                <w:rFonts w:ascii="Times New Roman" w:hAnsi="Times New Roman"/>
                <w:szCs w:val="20"/>
              </w:rPr>
              <w:t>0</w:t>
            </w:r>
            <w:r w:rsidR="00B83BF9" w:rsidRPr="00E37FBE">
              <w:rPr>
                <w:rFonts w:ascii="Times New Roman" w:hAnsi="Times New Roman"/>
                <w:szCs w:val="20"/>
              </w:rPr>
              <w:t>150</w:t>
            </w:r>
            <w:r w:rsidRPr="00E37FBE">
              <w:rPr>
                <w:rFonts w:ascii="Times New Roman" w:hAnsi="Times New Roman"/>
                <w:szCs w:val="20"/>
              </w:rPr>
              <w:t xml:space="preserve"> of line item 1.1-1.31.</w:t>
            </w:r>
          </w:p>
          <w:p w14:paraId="0D02D77F" w14:textId="442746A6" w:rsidR="00ED41A4" w:rsidRPr="00E37FBE" w:rsidRDefault="007C6B89" w:rsidP="00193B6D">
            <w:pPr>
              <w:rPr>
                <w:rFonts w:ascii="Times New Roman" w:hAnsi="Times New Roman"/>
                <w:b/>
                <w:szCs w:val="20"/>
                <w:u w:val="single"/>
              </w:rPr>
            </w:pPr>
            <w:r w:rsidRPr="00E37FBE">
              <w:rPr>
                <w:rFonts w:ascii="Times New Roman" w:hAnsi="Times New Roman"/>
                <w:szCs w:val="20"/>
              </w:rPr>
              <w:t>The net difference between</w:t>
            </w:r>
            <w:r w:rsidR="001B6D1B" w:rsidRPr="00E37FBE">
              <w:rPr>
                <w:rFonts w:ascii="Times New Roman" w:hAnsi="Times New Roman"/>
                <w:szCs w:val="20"/>
              </w:rPr>
              <w:t>, on the one hand,</w:t>
            </w:r>
            <w:r w:rsidRPr="00E37FBE">
              <w:rPr>
                <w:rFonts w:ascii="Times New Roman" w:hAnsi="Times New Roman"/>
                <w:szCs w:val="20"/>
              </w:rPr>
              <w:t xml:space="preserve"> maturing funding and</w:t>
            </w:r>
            <w:r w:rsidR="001B6D1B" w:rsidRPr="00E37FBE">
              <w:rPr>
                <w:rFonts w:ascii="Times New Roman" w:hAnsi="Times New Roman"/>
                <w:szCs w:val="20"/>
              </w:rPr>
              <w:t>, on the other hand,</w:t>
            </w:r>
            <w:r w:rsidRPr="00E37FBE">
              <w:rPr>
                <w:rFonts w:ascii="Times New Roman" w:hAnsi="Times New Roman"/>
                <w:szCs w:val="20"/>
              </w:rPr>
              <w:t xml:space="preserve"> </w:t>
            </w:r>
            <w:r w:rsidR="00D34AC4" w:rsidRPr="00E37FBE">
              <w:rPr>
                <w:rFonts w:ascii="Times New Roman" w:hAnsi="Times New Roman"/>
                <w:szCs w:val="20"/>
              </w:rPr>
              <w:t xml:space="preserve">roll-overs plus </w:t>
            </w:r>
            <w:r w:rsidRPr="00E37FBE">
              <w:rPr>
                <w:rFonts w:ascii="Times New Roman" w:hAnsi="Times New Roman"/>
                <w:szCs w:val="20"/>
              </w:rPr>
              <w:t xml:space="preserve">new funding </w:t>
            </w:r>
            <w:r w:rsidR="00D60F58" w:rsidRPr="00E37FBE">
              <w:rPr>
                <w:rFonts w:ascii="Times New Roman" w:hAnsi="Times New Roman"/>
                <w:szCs w:val="20"/>
              </w:rPr>
              <w:t xml:space="preserve">obtained </w:t>
            </w:r>
            <w:r w:rsidR="006A7234" w:rsidRPr="00E37FBE">
              <w:rPr>
                <w:rFonts w:ascii="Times New Roman" w:hAnsi="Times New Roman"/>
                <w:szCs w:val="20"/>
              </w:rPr>
              <w:t>shall</w:t>
            </w:r>
            <w:r w:rsidRPr="00E37FBE">
              <w:rPr>
                <w:rFonts w:ascii="Times New Roman" w:hAnsi="Times New Roman"/>
                <w:szCs w:val="20"/>
              </w:rPr>
              <w:t xml:space="preserve"> be reported in column </w:t>
            </w:r>
            <w:r w:rsidR="00C90DF5" w:rsidRPr="00E37FBE">
              <w:rPr>
                <w:rFonts w:ascii="Times New Roman" w:hAnsi="Times New Roman"/>
                <w:szCs w:val="20"/>
              </w:rPr>
              <w:t>0</w:t>
            </w:r>
            <w:r w:rsidR="00B83BF9" w:rsidRPr="00E37FBE">
              <w:rPr>
                <w:rFonts w:ascii="Times New Roman" w:hAnsi="Times New Roman"/>
                <w:szCs w:val="20"/>
              </w:rPr>
              <w:t>160</w:t>
            </w:r>
            <w:r w:rsidRPr="00E37FBE">
              <w:rPr>
                <w:rFonts w:ascii="Times New Roman" w:hAnsi="Times New Roman"/>
                <w:szCs w:val="20"/>
              </w:rPr>
              <w:t xml:space="preserve"> of line item 1.1-1.31.</w:t>
            </w:r>
          </w:p>
        </w:tc>
      </w:tr>
      <w:tr w:rsidR="00ED41A4" w:rsidRPr="00E37FBE" w14:paraId="0A45C671" w14:textId="77777777" w:rsidTr="00ED41A4">
        <w:trPr>
          <w:trHeight w:val="765"/>
        </w:trPr>
        <w:tc>
          <w:tcPr>
            <w:tcW w:w="729" w:type="pct"/>
            <w:shd w:val="clear" w:color="auto" w:fill="auto"/>
            <w:noWrap/>
          </w:tcPr>
          <w:p w14:paraId="643AD884" w14:textId="68945A73" w:rsidR="00ED41A4" w:rsidRPr="00E37FBE" w:rsidRDefault="00C90DF5" w:rsidP="00BD24C1">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lastRenderedPageBreak/>
              <w:t>0</w:t>
            </w:r>
            <w:r w:rsidR="00BD24C1" w:rsidRPr="00E37FBE">
              <w:rPr>
                <w:rFonts w:ascii="Times New Roman" w:hAnsi="Times New Roman"/>
                <w:color w:val="000000"/>
                <w:szCs w:val="20"/>
                <w:lang w:eastAsia="en-GB"/>
              </w:rPr>
              <w:t xml:space="preserve">170 to </w:t>
            </w:r>
            <w:r w:rsidRPr="00E37FBE">
              <w:rPr>
                <w:rFonts w:ascii="Times New Roman" w:hAnsi="Times New Roman"/>
                <w:color w:val="000000"/>
                <w:szCs w:val="20"/>
                <w:lang w:eastAsia="en-GB"/>
              </w:rPr>
              <w:t>0</w:t>
            </w:r>
            <w:r w:rsidR="00BD24C1" w:rsidRPr="00E37FBE">
              <w:rPr>
                <w:rFonts w:ascii="Times New Roman" w:hAnsi="Times New Roman"/>
                <w:color w:val="000000"/>
                <w:szCs w:val="20"/>
                <w:lang w:eastAsia="en-GB"/>
              </w:rPr>
              <w:t>200</w:t>
            </w:r>
          </w:p>
        </w:tc>
        <w:tc>
          <w:tcPr>
            <w:tcW w:w="4271" w:type="pct"/>
            <w:shd w:val="clear" w:color="auto" w:fill="auto"/>
          </w:tcPr>
          <w:p w14:paraId="40912CAD" w14:textId="77777777" w:rsidR="00ED41A4" w:rsidRPr="00E37FBE" w:rsidRDefault="00ED41A4" w:rsidP="00193B6D">
            <w:pPr>
              <w:rPr>
                <w:rFonts w:ascii="Times New Roman" w:hAnsi="Times New Roman"/>
                <w:b/>
                <w:szCs w:val="20"/>
                <w:u w:val="single"/>
              </w:rPr>
            </w:pPr>
            <w:r w:rsidRPr="00E37FBE">
              <w:rPr>
                <w:rFonts w:ascii="Times New Roman" w:hAnsi="Times New Roman"/>
                <w:b/>
                <w:szCs w:val="20"/>
                <w:u w:val="single"/>
              </w:rPr>
              <w:t>&gt;1 Month ≤ 3 Months</w:t>
            </w:r>
          </w:p>
          <w:p w14:paraId="1C6BB1D5" w14:textId="757F683B" w:rsidR="007C6B89" w:rsidRPr="00E37FBE" w:rsidRDefault="007C6B89" w:rsidP="00193B6D">
            <w:pPr>
              <w:rPr>
                <w:rFonts w:ascii="Times New Roman" w:hAnsi="Times New Roman"/>
                <w:szCs w:val="20"/>
              </w:rPr>
            </w:pPr>
            <w:r w:rsidRPr="00E37FBE">
              <w:rPr>
                <w:rFonts w:ascii="Times New Roman" w:hAnsi="Times New Roman"/>
                <w:szCs w:val="20"/>
              </w:rPr>
              <w:t>T</w:t>
            </w:r>
            <w:r w:rsidR="008C5FE9" w:rsidRPr="00E37FBE">
              <w:rPr>
                <w:rFonts w:ascii="Times New Roman" w:hAnsi="Times New Roman"/>
                <w:szCs w:val="20"/>
              </w:rPr>
              <w:t>he t</w:t>
            </w:r>
            <w:r w:rsidRPr="00E37FBE">
              <w:rPr>
                <w:rFonts w:ascii="Times New Roman" w:hAnsi="Times New Roman"/>
                <w:szCs w:val="20"/>
              </w:rPr>
              <w:t xml:space="preserve">otal amount of funding maturing </w:t>
            </w:r>
            <w:r w:rsidR="00DF4384" w:rsidRPr="00E37FBE">
              <w:rPr>
                <w:rFonts w:ascii="Times New Roman" w:hAnsi="Times New Roman"/>
                <w:szCs w:val="20"/>
              </w:rPr>
              <w:t xml:space="preserve">on the relevant day of the reporting period with </w:t>
            </w:r>
            <w:r w:rsidR="001B6D1B" w:rsidRPr="00E37FBE">
              <w:rPr>
                <w:rFonts w:ascii="Times New Roman" w:hAnsi="Times New Roman"/>
                <w:szCs w:val="20"/>
              </w:rPr>
              <w:t>an</w:t>
            </w:r>
            <w:r w:rsidR="00DF4384" w:rsidRPr="00E37FBE">
              <w:rPr>
                <w:rFonts w:ascii="Times New Roman" w:hAnsi="Times New Roman"/>
                <w:szCs w:val="20"/>
              </w:rPr>
              <w:t xml:space="preserve"> original maturity </w:t>
            </w:r>
            <w:r w:rsidRPr="00E37FBE">
              <w:rPr>
                <w:rFonts w:ascii="Times New Roman" w:hAnsi="Times New Roman"/>
                <w:szCs w:val="20"/>
              </w:rPr>
              <w:t xml:space="preserve">between one month and three months </w:t>
            </w:r>
            <w:r w:rsidR="006A7234" w:rsidRPr="00E37FBE">
              <w:rPr>
                <w:rFonts w:ascii="Times New Roman" w:hAnsi="Times New Roman"/>
                <w:szCs w:val="20"/>
              </w:rPr>
              <w:t>shall</w:t>
            </w:r>
            <w:r w:rsidRPr="00E37FBE">
              <w:rPr>
                <w:rFonts w:ascii="Times New Roman" w:hAnsi="Times New Roman"/>
                <w:szCs w:val="20"/>
              </w:rPr>
              <w:t xml:space="preserve"> be reported in column </w:t>
            </w:r>
            <w:r w:rsidR="00C90DF5" w:rsidRPr="00E37FBE">
              <w:rPr>
                <w:rFonts w:ascii="Times New Roman" w:hAnsi="Times New Roman"/>
                <w:szCs w:val="20"/>
              </w:rPr>
              <w:t>0</w:t>
            </w:r>
            <w:r w:rsidR="00B83BF9" w:rsidRPr="00E37FBE">
              <w:rPr>
                <w:rFonts w:ascii="Times New Roman" w:hAnsi="Times New Roman"/>
                <w:szCs w:val="20"/>
              </w:rPr>
              <w:t>170</w:t>
            </w:r>
            <w:r w:rsidRPr="00E37FBE">
              <w:rPr>
                <w:rFonts w:ascii="Times New Roman" w:hAnsi="Times New Roman"/>
                <w:szCs w:val="20"/>
              </w:rPr>
              <w:t xml:space="preserve"> of line item 1.1-1.31. For months with less than 31 days</w:t>
            </w:r>
            <w:r w:rsidR="00DF4384" w:rsidRPr="00E37FBE">
              <w:rPr>
                <w:rFonts w:ascii="Times New Roman" w:hAnsi="Times New Roman"/>
                <w:szCs w:val="20"/>
              </w:rPr>
              <w:t xml:space="preserve"> as well as </w:t>
            </w:r>
            <w:r w:rsidR="003354A5" w:rsidRPr="00E37FBE">
              <w:rPr>
                <w:rFonts w:ascii="Times New Roman" w:hAnsi="Times New Roman"/>
                <w:szCs w:val="20"/>
              </w:rPr>
              <w:t xml:space="preserve">for </w:t>
            </w:r>
            <w:r w:rsidR="00DF4384" w:rsidRPr="00E37FBE">
              <w:rPr>
                <w:rFonts w:ascii="Times New Roman" w:hAnsi="Times New Roman"/>
                <w:szCs w:val="20"/>
              </w:rPr>
              <w:t>weekends</w:t>
            </w:r>
            <w:r w:rsidRPr="00E37FBE">
              <w:rPr>
                <w:rFonts w:ascii="Times New Roman" w:hAnsi="Times New Roman"/>
                <w:szCs w:val="20"/>
              </w:rPr>
              <w:t xml:space="preserve">, irrelevant lines </w:t>
            </w:r>
            <w:r w:rsidR="006A7234" w:rsidRPr="00E37FBE">
              <w:rPr>
                <w:rFonts w:ascii="Times New Roman" w:hAnsi="Times New Roman"/>
                <w:szCs w:val="20"/>
              </w:rPr>
              <w:t>shall</w:t>
            </w:r>
            <w:r w:rsidRPr="00E37FBE">
              <w:rPr>
                <w:rFonts w:ascii="Times New Roman" w:hAnsi="Times New Roman"/>
                <w:szCs w:val="20"/>
              </w:rPr>
              <w:t xml:space="preserve"> be</w:t>
            </w:r>
            <w:r w:rsidR="009C1A02" w:rsidRPr="00E37FBE">
              <w:rPr>
                <w:rFonts w:ascii="Times New Roman" w:hAnsi="Times New Roman"/>
                <w:szCs w:val="20"/>
              </w:rPr>
              <w:t xml:space="preserve"> left empty</w:t>
            </w:r>
            <w:r w:rsidRPr="00E37FBE">
              <w:rPr>
                <w:rFonts w:ascii="Times New Roman" w:hAnsi="Times New Roman"/>
                <w:szCs w:val="20"/>
              </w:rPr>
              <w:t>.</w:t>
            </w:r>
          </w:p>
          <w:p w14:paraId="6A91E8B5" w14:textId="5A7B6811" w:rsidR="003E371A" w:rsidRPr="00E37FBE" w:rsidRDefault="003E371A" w:rsidP="00193B6D">
            <w:pPr>
              <w:rPr>
                <w:rFonts w:ascii="Times New Roman" w:hAnsi="Times New Roman"/>
                <w:szCs w:val="20"/>
              </w:rPr>
            </w:pPr>
            <w:r w:rsidRPr="00E37FBE">
              <w:rPr>
                <w:rFonts w:ascii="Times New Roman" w:hAnsi="Times New Roman"/>
                <w:szCs w:val="20"/>
              </w:rPr>
              <w:t xml:space="preserve">The total amount of funding rolled-over </w:t>
            </w:r>
            <w:r w:rsidR="00B75B03" w:rsidRPr="00E37FBE">
              <w:rPr>
                <w:rFonts w:ascii="Times New Roman" w:hAnsi="Times New Roman"/>
                <w:szCs w:val="20"/>
              </w:rPr>
              <w:t xml:space="preserve">on the relevant day of the reporting period with </w:t>
            </w:r>
            <w:r w:rsidR="001B6D1B" w:rsidRPr="00E37FBE">
              <w:rPr>
                <w:rFonts w:ascii="Times New Roman" w:hAnsi="Times New Roman"/>
                <w:szCs w:val="20"/>
              </w:rPr>
              <w:t>an</w:t>
            </w:r>
            <w:r w:rsidR="00B75B03" w:rsidRPr="00E37FBE">
              <w:rPr>
                <w:rFonts w:ascii="Times New Roman" w:hAnsi="Times New Roman"/>
                <w:szCs w:val="20"/>
              </w:rPr>
              <w:t xml:space="preserve"> original maturity between one month and three months </w:t>
            </w:r>
            <w:r w:rsidRPr="00E37FBE">
              <w:rPr>
                <w:rFonts w:ascii="Times New Roman" w:hAnsi="Times New Roman"/>
                <w:szCs w:val="20"/>
              </w:rPr>
              <w:t xml:space="preserve">shall be reported in column </w:t>
            </w:r>
            <w:r w:rsidR="00C90DF5" w:rsidRPr="00E37FBE">
              <w:rPr>
                <w:rFonts w:ascii="Times New Roman" w:hAnsi="Times New Roman"/>
                <w:szCs w:val="20"/>
              </w:rPr>
              <w:t>0</w:t>
            </w:r>
            <w:r w:rsidRPr="00E37FBE">
              <w:rPr>
                <w:rFonts w:ascii="Times New Roman" w:hAnsi="Times New Roman"/>
                <w:szCs w:val="20"/>
              </w:rPr>
              <w:t>180 of line item 1.1-1.31.</w:t>
            </w:r>
          </w:p>
          <w:p w14:paraId="7A9947A9" w14:textId="1B33C53B" w:rsidR="007C6B89" w:rsidRPr="00E37FBE" w:rsidRDefault="007C6B89" w:rsidP="00193B6D">
            <w:pPr>
              <w:rPr>
                <w:rFonts w:ascii="Times New Roman" w:hAnsi="Times New Roman"/>
                <w:szCs w:val="20"/>
              </w:rPr>
            </w:pPr>
            <w:r w:rsidRPr="00E37FBE">
              <w:rPr>
                <w:rFonts w:ascii="Times New Roman" w:hAnsi="Times New Roman"/>
                <w:szCs w:val="20"/>
              </w:rPr>
              <w:t>T</w:t>
            </w:r>
            <w:r w:rsidR="008C5FE9" w:rsidRPr="00E37FBE">
              <w:rPr>
                <w:rFonts w:ascii="Times New Roman" w:hAnsi="Times New Roman"/>
                <w:szCs w:val="20"/>
              </w:rPr>
              <w:t>he t</w:t>
            </w:r>
            <w:r w:rsidRPr="00E37FBE">
              <w:rPr>
                <w:rFonts w:ascii="Times New Roman" w:hAnsi="Times New Roman"/>
                <w:szCs w:val="20"/>
              </w:rPr>
              <w:t xml:space="preserve">otal amount of new funding </w:t>
            </w:r>
            <w:r w:rsidR="00224CAE" w:rsidRPr="00E37FBE">
              <w:rPr>
                <w:rFonts w:ascii="Times New Roman" w:hAnsi="Times New Roman"/>
                <w:szCs w:val="20"/>
              </w:rPr>
              <w:t xml:space="preserve">obtained </w:t>
            </w:r>
            <w:r w:rsidR="0052095B" w:rsidRPr="00E37FBE">
              <w:rPr>
                <w:rFonts w:ascii="Times New Roman" w:hAnsi="Times New Roman"/>
                <w:szCs w:val="20"/>
              </w:rPr>
              <w:t xml:space="preserve">on the relevant day of the reporting period with </w:t>
            </w:r>
            <w:r w:rsidR="001B6D1B" w:rsidRPr="00E37FBE">
              <w:rPr>
                <w:rFonts w:ascii="Times New Roman" w:hAnsi="Times New Roman"/>
                <w:szCs w:val="20"/>
              </w:rPr>
              <w:t>an</w:t>
            </w:r>
            <w:r w:rsidR="0052095B" w:rsidRPr="00E37FBE">
              <w:rPr>
                <w:rFonts w:ascii="Times New Roman" w:hAnsi="Times New Roman"/>
                <w:szCs w:val="20"/>
              </w:rPr>
              <w:t xml:space="preserve"> original maturity </w:t>
            </w:r>
            <w:r w:rsidRPr="00E37FBE">
              <w:rPr>
                <w:rFonts w:ascii="Times New Roman" w:hAnsi="Times New Roman"/>
                <w:szCs w:val="20"/>
              </w:rPr>
              <w:t xml:space="preserve">between one month and three months </w:t>
            </w:r>
            <w:r w:rsidR="006A7234" w:rsidRPr="00E37FBE">
              <w:rPr>
                <w:rFonts w:ascii="Times New Roman" w:hAnsi="Times New Roman"/>
                <w:szCs w:val="20"/>
              </w:rPr>
              <w:t>shall</w:t>
            </w:r>
            <w:r w:rsidRPr="00E37FBE">
              <w:rPr>
                <w:rFonts w:ascii="Times New Roman" w:hAnsi="Times New Roman"/>
                <w:szCs w:val="20"/>
              </w:rPr>
              <w:t xml:space="preserve"> be reported in column </w:t>
            </w:r>
            <w:r w:rsidR="00C90DF5" w:rsidRPr="00E37FBE">
              <w:rPr>
                <w:rFonts w:ascii="Times New Roman" w:hAnsi="Times New Roman"/>
                <w:szCs w:val="20"/>
              </w:rPr>
              <w:t>0</w:t>
            </w:r>
            <w:r w:rsidR="00B83BF9" w:rsidRPr="00E37FBE">
              <w:rPr>
                <w:rFonts w:ascii="Times New Roman" w:hAnsi="Times New Roman"/>
                <w:szCs w:val="20"/>
              </w:rPr>
              <w:t>190</w:t>
            </w:r>
            <w:r w:rsidRPr="00E37FBE">
              <w:rPr>
                <w:rFonts w:ascii="Times New Roman" w:hAnsi="Times New Roman"/>
                <w:szCs w:val="20"/>
              </w:rPr>
              <w:t xml:space="preserve"> of line item 1.1-1.31.</w:t>
            </w:r>
          </w:p>
          <w:p w14:paraId="655F0B6A" w14:textId="572310E6" w:rsidR="00ED41A4" w:rsidRPr="00E37FBE" w:rsidRDefault="007C6B89" w:rsidP="00193B6D">
            <w:pPr>
              <w:rPr>
                <w:rFonts w:ascii="Times New Roman" w:hAnsi="Times New Roman"/>
                <w:b/>
                <w:szCs w:val="20"/>
                <w:u w:val="single"/>
              </w:rPr>
            </w:pPr>
            <w:r w:rsidRPr="00E37FBE">
              <w:rPr>
                <w:rFonts w:ascii="Times New Roman" w:hAnsi="Times New Roman"/>
                <w:szCs w:val="20"/>
              </w:rPr>
              <w:t>The net difference between</w:t>
            </w:r>
            <w:r w:rsidR="001B6D1B" w:rsidRPr="00E37FBE">
              <w:rPr>
                <w:rFonts w:ascii="Times New Roman" w:hAnsi="Times New Roman"/>
                <w:szCs w:val="20"/>
              </w:rPr>
              <w:t>, on the one hand,</w:t>
            </w:r>
            <w:r w:rsidRPr="00E37FBE">
              <w:rPr>
                <w:rFonts w:ascii="Times New Roman" w:hAnsi="Times New Roman"/>
                <w:szCs w:val="20"/>
              </w:rPr>
              <w:t xml:space="preserve"> maturing funding and</w:t>
            </w:r>
            <w:r w:rsidR="001B6D1B" w:rsidRPr="00E37FBE">
              <w:rPr>
                <w:rFonts w:ascii="Times New Roman" w:hAnsi="Times New Roman"/>
                <w:szCs w:val="20"/>
              </w:rPr>
              <w:t>, on the other hand,</w:t>
            </w:r>
            <w:r w:rsidRPr="00E37FBE">
              <w:rPr>
                <w:rFonts w:ascii="Times New Roman" w:hAnsi="Times New Roman"/>
                <w:szCs w:val="20"/>
              </w:rPr>
              <w:t xml:space="preserve"> </w:t>
            </w:r>
            <w:r w:rsidR="00D34AC4" w:rsidRPr="00E37FBE">
              <w:rPr>
                <w:rFonts w:ascii="Times New Roman" w:hAnsi="Times New Roman"/>
                <w:szCs w:val="20"/>
              </w:rPr>
              <w:t xml:space="preserve">roll-overs plus </w:t>
            </w:r>
            <w:r w:rsidRPr="00E37FBE">
              <w:rPr>
                <w:rFonts w:ascii="Times New Roman" w:hAnsi="Times New Roman"/>
                <w:szCs w:val="20"/>
              </w:rPr>
              <w:t xml:space="preserve">new funding </w:t>
            </w:r>
            <w:r w:rsidR="00224CAE" w:rsidRPr="00E37FBE">
              <w:rPr>
                <w:rFonts w:ascii="Times New Roman" w:hAnsi="Times New Roman"/>
                <w:szCs w:val="20"/>
              </w:rPr>
              <w:t>obtained</w:t>
            </w:r>
            <w:r w:rsidR="008E1DE8" w:rsidRPr="00E37FBE">
              <w:rPr>
                <w:rFonts w:ascii="Times New Roman" w:hAnsi="Times New Roman"/>
                <w:szCs w:val="20"/>
              </w:rPr>
              <w:t>,</w:t>
            </w:r>
            <w:r w:rsidR="00224CAE" w:rsidRPr="00E37FBE">
              <w:rPr>
                <w:rFonts w:ascii="Times New Roman" w:hAnsi="Times New Roman"/>
                <w:szCs w:val="20"/>
              </w:rPr>
              <w:t xml:space="preserve"> </w:t>
            </w:r>
            <w:r w:rsidR="006A7234" w:rsidRPr="00E37FBE">
              <w:rPr>
                <w:rFonts w:ascii="Times New Roman" w:hAnsi="Times New Roman"/>
                <w:szCs w:val="20"/>
              </w:rPr>
              <w:t>shall</w:t>
            </w:r>
            <w:r w:rsidRPr="00E37FBE">
              <w:rPr>
                <w:rFonts w:ascii="Times New Roman" w:hAnsi="Times New Roman"/>
                <w:szCs w:val="20"/>
              </w:rPr>
              <w:t xml:space="preserve"> be reported in column </w:t>
            </w:r>
            <w:r w:rsidR="00C90DF5" w:rsidRPr="00E37FBE">
              <w:rPr>
                <w:rFonts w:ascii="Times New Roman" w:hAnsi="Times New Roman"/>
                <w:szCs w:val="20"/>
              </w:rPr>
              <w:t>0</w:t>
            </w:r>
            <w:r w:rsidR="00B83BF9" w:rsidRPr="00E37FBE">
              <w:rPr>
                <w:rFonts w:ascii="Times New Roman" w:hAnsi="Times New Roman"/>
                <w:szCs w:val="20"/>
              </w:rPr>
              <w:t>200</w:t>
            </w:r>
            <w:r w:rsidRPr="00E37FBE">
              <w:rPr>
                <w:rFonts w:ascii="Times New Roman" w:hAnsi="Times New Roman"/>
                <w:szCs w:val="20"/>
              </w:rPr>
              <w:t xml:space="preserve"> of line item 1.1-1.31.</w:t>
            </w:r>
          </w:p>
        </w:tc>
      </w:tr>
      <w:tr w:rsidR="00ED41A4" w:rsidRPr="00E37FBE" w14:paraId="0C7B73A0" w14:textId="77777777" w:rsidTr="00ED41A4">
        <w:trPr>
          <w:trHeight w:val="765"/>
        </w:trPr>
        <w:tc>
          <w:tcPr>
            <w:tcW w:w="729" w:type="pct"/>
            <w:shd w:val="clear" w:color="auto" w:fill="auto"/>
            <w:noWrap/>
          </w:tcPr>
          <w:p w14:paraId="31DA83DD" w14:textId="68560FBD" w:rsidR="00ED41A4" w:rsidRPr="00E37FBE" w:rsidRDefault="00C90DF5" w:rsidP="00BD24C1">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BD24C1" w:rsidRPr="00E37FBE">
              <w:rPr>
                <w:rFonts w:ascii="Times New Roman" w:hAnsi="Times New Roman"/>
                <w:color w:val="000000"/>
                <w:szCs w:val="20"/>
                <w:lang w:eastAsia="en-GB"/>
              </w:rPr>
              <w:t xml:space="preserve">210 to </w:t>
            </w:r>
            <w:r w:rsidRPr="00E37FBE">
              <w:rPr>
                <w:rFonts w:ascii="Times New Roman" w:hAnsi="Times New Roman"/>
                <w:color w:val="000000"/>
                <w:szCs w:val="20"/>
                <w:lang w:eastAsia="en-GB"/>
              </w:rPr>
              <w:t>0</w:t>
            </w:r>
            <w:r w:rsidR="00BD24C1" w:rsidRPr="00E37FBE">
              <w:rPr>
                <w:rFonts w:ascii="Times New Roman" w:hAnsi="Times New Roman"/>
                <w:color w:val="000000"/>
                <w:szCs w:val="20"/>
                <w:lang w:eastAsia="en-GB"/>
              </w:rPr>
              <w:t>240</w:t>
            </w:r>
          </w:p>
        </w:tc>
        <w:tc>
          <w:tcPr>
            <w:tcW w:w="4271" w:type="pct"/>
            <w:shd w:val="clear" w:color="auto" w:fill="auto"/>
          </w:tcPr>
          <w:p w14:paraId="27019293" w14:textId="77777777" w:rsidR="005A40BE" w:rsidRPr="00E37FBE" w:rsidRDefault="005A40BE" w:rsidP="00193B6D">
            <w:pPr>
              <w:rPr>
                <w:rFonts w:ascii="Times New Roman" w:hAnsi="Times New Roman"/>
                <w:b/>
                <w:szCs w:val="20"/>
                <w:u w:val="single"/>
              </w:rPr>
            </w:pPr>
            <w:r w:rsidRPr="00E37FBE">
              <w:rPr>
                <w:rFonts w:ascii="Times New Roman" w:hAnsi="Times New Roman"/>
                <w:b/>
                <w:szCs w:val="20"/>
                <w:u w:val="single"/>
              </w:rPr>
              <w:t>&gt;3 Months ≤ 6 Months</w:t>
            </w:r>
          </w:p>
          <w:p w14:paraId="0260CA5A" w14:textId="01087905" w:rsidR="006044FF" w:rsidRPr="00E37FBE" w:rsidRDefault="005A40BE" w:rsidP="00193B6D">
            <w:pPr>
              <w:rPr>
                <w:rFonts w:ascii="Times New Roman" w:hAnsi="Times New Roman"/>
                <w:szCs w:val="20"/>
              </w:rPr>
            </w:pPr>
            <w:r w:rsidRPr="00E37FBE">
              <w:rPr>
                <w:rFonts w:ascii="Times New Roman" w:hAnsi="Times New Roman"/>
                <w:szCs w:val="20"/>
              </w:rPr>
              <w:t>T</w:t>
            </w:r>
            <w:r w:rsidR="008C5FE9" w:rsidRPr="00E37FBE">
              <w:rPr>
                <w:rFonts w:ascii="Times New Roman" w:hAnsi="Times New Roman"/>
                <w:szCs w:val="20"/>
              </w:rPr>
              <w:t>he t</w:t>
            </w:r>
            <w:r w:rsidRPr="00E37FBE">
              <w:rPr>
                <w:rFonts w:ascii="Times New Roman" w:hAnsi="Times New Roman"/>
                <w:szCs w:val="20"/>
              </w:rPr>
              <w:t xml:space="preserve">otal amount of funding maturing </w:t>
            </w:r>
            <w:r w:rsidR="006044FF" w:rsidRPr="00E37FBE">
              <w:rPr>
                <w:rFonts w:ascii="Times New Roman" w:hAnsi="Times New Roman"/>
                <w:szCs w:val="20"/>
              </w:rPr>
              <w:t xml:space="preserve">on the relevant day of the reporting period with </w:t>
            </w:r>
            <w:r w:rsidR="001B6D1B" w:rsidRPr="00E37FBE">
              <w:rPr>
                <w:rFonts w:ascii="Times New Roman" w:hAnsi="Times New Roman"/>
                <w:szCs w:val="20"/>
              </w:rPr>
              <w:t>an</w:t>
            </w:r>
            <w:r w:rsidR="006044FF" w:rsidRPr="00E37FBE">
              <w:rPr>
                <w:rFonts w:ascii="Times New Roman" w:hAnsi="Times New Roman"/>
                <w:szCs w:val="20"/>
              </w:rPr>
              <w:t xml:space="preserve"> original maturity </w:t>
            </w:r>
            <w:r w:rsidRPr="00E37FBE">
              <w:rPr>
                <w:rFonts w:ascii="Times New Roman" w:hAnsi="Times New Roman"/>
                <w:szCs w:val="20"/>
              </w:rPr>
              <w:t xml:space="preserve">between three months and six months </w:t>
            </w:r>
            <w:r w:rsidR="006A7234" w:rsidRPr="00E37FBE">
              <w:rPr>
                <w:rFonts w:ascii="Times New Roman" w:hAnsi="Times New Roman"/>
                <w:szCs w:val="20"/>
              </w:rPr>
              <w:t>shall</w:t>
            </w:r>
            <w:r w:rsidRPr="00E37FBE">
              <w:rPr>
                <w:rFonts w:ascii="Times New Roman" w:hAnsi="Times New Roman"/>
                <w:szCs w:val="20"/>
              </w:rPr>
              <w:t xml:space="preserve"> be reported in column </w:t>
            </w:r>
            <w:r w:rsidR="00C90DF5" w:rsidRPr="00E37FBE">
              <w:rPr>
                <w:rFonts w:ascii="Times New Roman" w:hAnsi="Times New Roman"/>
                <w:szCs w:val="20"/>
              </w:rPr>
              <w:t>0</w:t>
            </w:r>
            <w:r w:rsidR="00B83BF9" w:rsidRPr="00E37FBE">
              <w:rPr>
                <w:rFonts w:ascii="Times New Roman" w:hAnsi="Times New Roman"/>
                <w:szCs w:val="20"/>
              </w:rPr>
              <w:t>210</w:t>
            </w:r>
            <w:r w:rsidRPr="00E37FBE">
              <w:rPr>
                <w:rFonts w:ascii="Times New Roman" w:hAnsi="Times New Roman"/>
                <w:szCs w:val="20"/>
              </w:rPr>
              <w:t xml:space="preserve"> of line item 1.1-1.31. For months with less than 31 days</w:t>
            </w:r>
            <w:r w:rsidR="006044FF" w:rsidRPr="00E37FBE">
              <w:rPr>
                <w:rFonts w:ascii="Times New Roman" w:hAnsi="Times New Roman"/>
                <w:szCs w:val="20"/>
              </w:rPr>
              <w:t xml:space="preserve"> as well as for weekends</w:t>
            </w:r>
            <w:r w:rsidRPr="00E37FBE">
              <w:rPr>
                <w:rFonts w:ascii="Times New Roman" w:hAnsi="Times New Roman"/>
                <w:szCs w:val="20"/>
              </w:rPr>
              <w:t xml:space="preserve">, irrelevant lines </w:t>
            </w:r>
            <w:r w:rsidR="006A7234" w:rsidRPr="00E37FBE">
              <w:rPr>
                <w:rFonts w:ascii="Times New Roman" w:hAnsi="Times New Roman"/>
                <w:szCs w:val="20"/>
              </w:rPr>
              <w:t>shall</w:t>
            </w:r>
            <w:r w:rsidRPr="00E37FBE">
              <w:rPr>
                <w:rFonts w:ascii="Times New Roman" w:hAnsi="Times New Roman"/>
                <w:szCs w:val="20"/>
              </w:rPr>
              <w:t xml:space="preserve"> be </w:t>
            </w:r>
            <w:r w:rsidR="00FC0D7C" w:rsidRPr="00E37FBE">
              <w:rPr>
                <w:rFonts w:ascii="Times New Roman" w:hAnsi="Times New Roman"/>
                <w:szCs w:val="20"/>
              </w:rPr>
              <w:t xml:space="preserve">left </w:t>
            </w:r>
            <w:r w:rsidR="009C1A02" w:rsidRPr="00E37FBE">
              <w:rPr>
                <w:rFonts w:ascii="Times New Roman" w:hAnsi="Times New Roman"/>
                <w:szCs w:val="20"/>
              </w:rPr>
              <w:t>empty</w:t>
            </w:r>
            <w:r w:rsidRPr="00E37FBE">
              <w:rPr>
                <w:rFonts w:ascii="Times New Roman" w:hAnsi="Times New Roman"/>
                <w:szCs w:val="20"/>
              </w:rPr>
              <w:t>.</w:t>
            </w:r>
          </w:p>
          <w:p w14:paraId="563F93F8" w14:textId="263DC9E2" w:rsidR="003E371A" w:rsidRPr="00E37FBE" w:rsidRDefault="003E371A" w:rsidP="00193B6D">
            <w:pPr>
              <w:rPr>
                <w:rFonts w:ascii="Times New Roman" w:hAnsi="Times New Roman"/>
                <w:szCs w:val="20"/>
              </w:rPr>
            </w:pPr>
            <w:r w:rsidRPr="00E37FBE">
              <w:rPr>
                <w:rFonts w:ascii="Times New Roman" w:hAnsi="Times New Roman"/>
                <w:szCs w:val="20"/>
              </w:rPr>
              <w:t xml:space="preserve">The total amount of funding rolled-over </w:t>
            </w:r>
            <w:r w:rsidR="006044FF" w:rsidRPr="00E37FBE">
              <w:rPr>
                <w:rFonts w:ascii="Times New Roman" w:hAnsi="Times New Roman"/>
                <w:szCs w:val="20"/>
              </w:rPr>
              <w:t xml:space="preserve">on the relevant day of the reporting period with </w:t>
            </w:r>
            <w:r w:rsidR="001B6D1B" w:rsidRPr="00E37FBE">
              <w:rPr>
                <w:rFonts w:ascii="Times New Roman" w:hAnsi="Times New Roman"/>
                <w:szCs w:val="20"/>
              </w:rPr>
              <w:t>an</w:t>
            </w:r>
            <w:r w:rsidR="006044FF" w:rsidRPr="00E37FBE">
              <w:rPr>
                <w:rFonts w:ascii="Times New Roman" w:hAnsi="Times New Roman"/>
                <w:szCs w:val="20"/>
              </w:rPr>
              <w:t xml:space="preserve"> original maturity between three months and six months </w:t>
            </w:r>
            <w:r w:rsidRPr="00E37FBE">
              <w:rPr>
                <w:rFonts w:ascii="Times New Roman" w:hAnsi="Times New Roman"/>
                <w:szCs w:val="20"/>
              </w:rPr>
              <w:t xml:space="preserve">shall be reported in column </w:t>
            </w:r>
            <w:r w:rsidR="00C90DF5" w:rsidRPr="00E37FBE">
              <w:rPr>
                <w:rFonts w:ascii="Times New Roman" w:hAnsi="Times New Roman"/>
                <w:szCs w:val="20"/>
              </w:rPr>
              <w:t>0</w:t>
            </w:r>
            <w:r w:rsidRPr="00E37FBE">
              <w:rPr>
                <w:rFonts w:ascii="Times New Roman" w:hAnsi="Times New Roman"/>
                <w:szCs w:val="20"/>
              </w:rPr>
              <w:t>220 of line item 1.1-1.31.</w:t>
            </w:r>
          </w:p>
          <w:p w14:paraId="601C708E" w14:textId="48140626" w:rsidR="005A40BE" w:rsidRPr="00E37FBE" w:rsidRDefault="005A40BE" w:rsidP="00193B6D">
            <w:pPr>
              <w:rPr>
                <w:rFonts w:ascii="Times New Roman" w:hAnsi="Times New Roman"/>
                <w:szCs w:val="20"/>
              </w:rPr>
            </w:pPr>
            <w:r w:rsidRPr="00E37FBE">
              <w:rPr>
                <w:rFonts w:ascii="Times New Roman" w:hAnsi="Times New Roman"/>
                <w:szCs w:val="20"/>
              </w:rPr>
              <w:t>T</w:t>
            </w:r>
            <w:r w:rsidR="008C5FE9" w:rsidRPr="00E37FBE">
              <w:rPr>
                <w:rFonts w:ascii="Times New Roman" w:hAnsi="Times New Roman"/>
                <w:szCs w:val="20"/>
              </w:rPr>
              <w:t>he t</w:t>
            </w:r>
            <w:r w:rsidRPr="00E37FBE">
              <w:rPr>
                <w:rFonts w:ascii="Times New Roman" w:hAnsi="Times New Roman"/>
                <w:szCs w:val="20"/>
              </w:rPr>
              <w:t xml:space="preserve">otal amount of new funding </w:t>
            </w:r>
            <w:r w:rsidR="00224CAE" w:rsidRPr="00E37FBE">
              <w:rPr>
                <w:rFonts w:ascii="Times New Roman" w:hAnsi="Times New Roman"/>
                <w:szCs w:val="20"/>
              </w:rPr>
              <w:t xml:space="preserve">obtained </w:t>
            </w:r>
            <w:r w:rsidR="006044FF" w:rsidRPr="00E37FBE">
              <w:rPr>
                <w:rFonts w:ascii="Times New Roman" w:hAnsi="Times New Roman"/>
                <w:szCs w:val="20"/>
              </w:rPr>
              <w:t xml:space="preserve">on the relevant day of the reporting period with </w:t>
            </w:r>
            <w:r w:rsidR="001B6D1B" w:rsidRPr="00E37FBE">
              <w:rPr>
                <w:rFonts w:ascii="Times New Roman" w:hAnsi="Times New Roman"/>
                <w:szCs w:val="20"/>
              </w:rPr>
              <w:t>an</w:t>
            </w:r>
            <w:r w:rsidR="006044FF" w:rsidRPr="00E37FBE">
              <w:rPr>
                <w:rFonts w:ascii="Times New Roman" w:hAnsi="Times New Roman"/>
                <w:szCs w:val="20"/>
              </w:rPr>
              <w:t xml:space="preserve"> original maturity </w:t>
            </w:r>
            <w:r w:rsidRPr="00E37FBE">
              <w:rPr>
                <w:rFonts w:ascii="Times New Roman" w:hAnsi="Times New Roman"/>
                <w:szCs w:val="20"/>
              </w:rPr>
              <w:t xml:space="preserve">between three months and six months </w:t>
            </w:r>
            <w:r w:rsidR="006A7234" w:rsidRPr="00E37FBE">
              <w:rPr>
                <w:rFonts w:ascii="Times New Roman" w:hAnsi="Times New Roman"/>
                <w:szCs w:val="20"/>
              </w:rPr>
              <w:t>shall</w:t>
            </w:r>
            <w:r w:rsidRPr="00E37FBE">
              <w:rPr>
                <w:rFonts w:ascii="Times New Roman" w:hAnsi="Times New Roman"/>
                <w:szCs w:val="20"/>
              </w:rPr>
              <w:t xml:space="preserve"> be reported in column </w:t>
            </w:r>
            <w:r w:rsidR="00C90DF5" w:rsidRPr="00E37FBE">
              <w:rPr>
                <w:rFonts w:ascii="Times New Roman" w:hAnsi="Times New Roman"/>
                <w:szCs w:val="20"/>
              </w:rPr>
              <w:t>0</w:t>
            </w:r>
            <w:r w:rsidR="00B83BF9" w:rsidRPr="00E37FBE">
              <w:rPr>
                <w:rFonts w:ascii="Times New Roman" w:hAnsi="Times New Roman"/>
                <w:szCs w:val="20"/>
              </w:rPr>
              <w:t>230</w:t>
            </w:r>
            <w:r w:rsidRPr="00E37FBE">
              <w:rPr>
                <w:rFonts w:ascii="Times New Roman" w:hAnsi="Times New Roman"/>
                <w:szCs w:val="20"/>
              </w:rPr>
              <w:t xml:space="preserve"> of line item 1.1-1.31.</w:t>
            </w:r>
          </w:p>
          <w:p w14:paraId="3E16D1CD" w14:textId="0E6E50F6" w:rsidR="00ED41A4" w:rsidRPr="00E37FBE" w:rsidRDefault="005A40BE" w:rsidP="00193B6D">
            <w:pPr>
              <w:rPr>
                <w:rFonts w:ascii="Times New Roman" w:hAnsi="Times New Roman"/>
                <w:b/>
                <w:szCs w:val="20"/>
                <w:u w:val="single"/>
              </w:rPr>
            </w:pPr>
            <w:r w:rsidRPr="00E37FBE">
              <w:rPr>
                <w:rFonts w:ascii="Times New Roman" w:hAnsi="Times New Roman"/>
                <w:szCs w:val="20"/>
              </w:rPr>
              <w:t>The net difference between</w:t>
            </w:r>
            <w:r w:rsidR="001B6D1B" w:rsidRPr="00E37FBE">
              <w:rPr>
                <w:rFonts w:ascii="Times New Roman" w:hAnsi="Times New Roman"/>
                <w:szCs w:val="20"/>
              </w:rPr>
              <w:t>, on the one hand,</w:t>
            </w:r>
            <w:r w:rsidRPr="00E37FBE">
              <w:rPr>
                <w:rFonts w:ascii="Times New Roman" w:hAnsi="Times New Roman"/>
                <w:szCs w:val="20"/>
              </w:rPr>
              <w:t xml:space="preserve"> maturing funding and</w:t>
            </w:r>
            <w:r w:rsidR="001B6D1B" w:rsidRPr="00E37FBE">
              <w:rPr>
                <w:rFonts w:ascii="Times New Roman" w:hAnsi="Times New Roman"/>
                <w:szCs w:val="20"/>
              </w:rPr>
              <w:t>, on the other hand,</w:t>
            </w:r>
            <w:r w:rsidRPr="00E37FBE">
              <w:rPr>
                <w:rFonts w:ascii="Times New Roman" w:hAnsi="Times New Roman"/>
                <w:szCs w:val="20"/>
              </w:rPr>
              <w:t xml:space="preserve"> </w:t>
            </w:r>
            <w:r w:rsidR="00D34AC4" w:rsidRPr="00E37FBE">
              <w:rPr>
                <w:rFonts w:ascii="Times New Roman" w:hAnsi="Times New Roman"/>
                <w:szCs w:val="20"/>
              </w:rPr>
              <w:t xml:space="preserve">roll-overs plus </w:t>
            </w:r>
            <w:r w:rsidRPr="00E37FBE">
              <w:rPr>
                <w:rFonts w:ascii="Times New Roman" w:hAnsi="Times New Roman"/>
                <w:szCs w:val="20"/>
              </w:rPr>
              <w:t xml:space="preserve">new funding </w:t>
            </w:r>
            <w:r w:rsidR="00224CAE" w:rsidRPr="00E37FBE">
              <w:rPr>
                <w:rFonts w:ascii="Times New Roman" w:hAnsi="Times New Roman"/>
                <w:szCs w:val="20"/>
              </w:rPr>
              <w:t>obtained</w:t>
            </w:r>
            <w:r w:rsidR="008E1DE8" w:rsidRPr="00E37FBE">
              <w:rPr>
                <w:rFonts w:ascii="Times New Roman" w:hAnsi="Times New Roman"/>
                <w:szCs w:val="20"/>
              </w:rPr>
              <w:t>,</w:t>
            </w:r>
            <w:r w:rsidR="00224CAE" w:rsidRPr="00E37FBE">
              <w:rPr>
                <w:rFonts w:ascii="Times New Roman" w:hAnsi="Times New Roman"/>
                <w:szCs w:val="20"/>
              </w:rPr>
              <w:t xml:space="preserve"> </w:t>
            </w:r>
            <w:r w:rsidR="006A7234" w:rsidRPr="00E37FBE">
              <w:rPr>
                <w:rFonts w:ascii="Times New Roman" w:hAnsi="Times New Roman"/>
                <w:szCs w:val="20"/>
              </w:rPr>
              <w:t>shall</w:t>
            </w:r>
            <w:r w:rsidRPr="00E37FBE">
              <w:rPr>
                <w:rFonts w:ascii="Times New Roman" w:hAnsi="Times New Roman"/>
                <w:szCs w:val="20"/>
              </w:rPr>
              <w:t xml:space="preserve"> be reported in column </w:t>
            </w:r>
            <w:r w:rsidR="00C90DF5" w:rsidRPr="00E37FBE">
              <w:rPr>
                <w:rFonts w:ascii="Times New Roman" w:hAnsi="Times New Roman"/>
                <w:szCs w:val="20"/>
              </w:rPr>
              <w:t>0</w:t>
            </w:r>
            <w:r w:rsidR="00B83BF9" w:rsidRPr="00E37FBE">
              <w:rPr>
                <w:rFonts w:ascii="Times New Roman" w:hAnsi="Times New Roman"/>
                <w:szCs w:val="20"/>
              </w:rPr>
              <w:t>240</w:t>
            </w:r>
            <w:r w:rsidRPr="00E37FBE">
              <w:rPr>
                <w:rFonts w:ascii="Times New Roman" w:hAnsi="Times New Roman"/>
                <w:szCs w:val="20"/>
              </w:rPr>
              <w:t xml:space="preserve"> of line item 1.1-1.31.</w:t>
            </w:r>
          </w:p>
        </w:tc>
      </w:tr>
      <w:tr w:rsidR="00ED41A4" w:rsidRPr="00E37FBE" w14:paraId="3D6EC655" w14:textId="77777777" w:rsidTr="00ED41A4">
        <w:trPr>
          <w:trHeight w:val="765"/>
        </w:trPr>
        <w:tc>
          <w:tcPr>
            <w:tcW w:w="729" w:type="pct"/>
            <w:shd w:val="clear" w:color="auto" w:fill="auto"/>
            <w:noWrap/>
          </w:tcPr>
          <w:p w14:paraId="770F85E8" w14:textId="68C86721" w:rsidR="00ED41A4" w:rsidRPr="00E37FBE" w:rsidRDefault="00C90DF5" w:rsidP="00BD24C1">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BD24C1" w:rsidRPr="00E37FBE">
              <w:rPr>
                <w:rFonts w:ascii="Times New Roman" w:hAnsi="Times New Roman"/>
                <w:color w:val="000000"/>
                <w:szCs w:val="20"/>
                <w:lang w:eastAsia="en-GB"/>
              </w:rPr>
              <w:t xml:space="preserve">250 to </w:t>
            </w:r>
            <w:r w:rsidRPr="00E37FBE">
              <w:rPr>
                <w:rFonts w:ascii="Times New Roman" w:hAnsi="Times New Roman"/>
                <w:color w:val="000000"/>
                <w:szCs w:val="20"/>
                <w:lang w:eastAsia="en-GB"/>
              </w:rPr>
              <w:t>0</w:t>
            </w:r>
            <w:r w:rsidR="00BD24C1" w:rsidRPr="00E37FBE">
              <w:rPr>
                <w:rFonts w:ascii="Times New Roman" w:hAnsi="Times New Roman"/>
                <w:color w:val="000000"/>
                <w:szCs w:val="20"/>
                <w:lang w:eastAsia="en-GB"/>
              </w:rPr>
              <w:t>280</w:t>
            </w:r>
          </w:p>
        </w:tc>
        <w:tc>
          <w:tcPr>
            <w:tcW w:w="4271" w:type="pct"/>
            <w:shd w:val="clear" w:color="auto" w:fill="auto"/>
          </w:tcPr>
          <w:p w14:paraId="29910BBF" w14:textId="77777777" w:rsidR="00ED41A4" w:rsidRPr="00E37FBE" w:rsidRDefault="005A40BE" w:rsidP="00193B6D">
            <w:pPr>
              <w:rPr>
                <w:rFonts w:ascii="Times New Roman" w:hAnsi="Times New Roman"/>
                <w:b/>
                <w:szCs w:val="20"/>
                <w:u w:val="single"/>
              </w:rPr>
            </w:pPr>
            <w:r w:rsidRPr="00E37FBE">
              <w:rPr>
                <w:rFonts w:ascii="Times New Roman" w:hAnsi="Times New Roman"/>
                <w:b/>
                <w:szCs w:val="20"/>
                <w:u w:val="single"/>
              </w:rPr>
              <w:t>&gt;</w:t>
            </w:r>
            <w:r w:rsidR="00ED41A4" w:rsidRPr="00E37FBE">
              <w:rPr>
                <w:rFonts w:ascii="Times New Roman" w:hAnsi="Times New Roman"/>
                <w:b/>
                <w:szCs w:val="20"/>
                <w:u w:val="single"/>
              </w:rPr>
              <w:t>6 Months</w:t>
            </w:r>
          </w:p>
          <w:p w14:paraId="3C7C589B" w14:textId="433DBEBB" w:rsidR="007C6B89" w:rsidRPr="00E37FBE" w:rsidRDefault="007C6B89" w:rsidP="00193B6D">
            <w:pPr>
              <w:rPr>
                <w:rFonts w:ascii="Times New Roman" w:hAnsi="Times New Roman"/>
                <w:szCs w:val="20"/>
              </w:rPr>
            </w:pPr>
            <w:r w:rsidRPr="00E37FBE">
              <w:rPr>
                <w:rFonts w:ascii="Times New Roman" w:hAnsi="Times New Roman"/>
                <w:szCs w:val="20"/>
              </w:rPr>
              <w:t>T</w:t>
            </w:r>
            <w:r w:rsidR="008C5FE9" w:rsidRPr="00E37FBE">
              <w:rPr>
                <w:rFonts w:ascii="Times New Roman" w:hAnsi="Times New Roman"/>
                <w:szCs w:val="20"/>
              </w:rPr>
              <w:t>he t</w:t>
            </w:r>
            <w:r w:rsidRPr="00E37FBE">
              <w:rPr>
                <w:rFonts w:ascii="Times New Roman" w:hAnsi="Times New Roman"/>
                <w:szCs w:val="20"/>
              </w:rPr>
              <w:t xml:space="preserve">otal amount of funding maturing </w:t>
            </w:r>
            <w:r w:rsidR="00A12862" w:rsidRPr="00E37FBE">
              <w:rPr>
                <w:rFonts w:ascii="Times New Roman" w:hAnsi="Times New Roman"/>
                <w:szCs w:val="20"/>
              </w:rPr>
              <w:t xml:space="preserve">on the relevant day of the reporting period with </w:t>
            </w:r>
            <w:r w:rsidR="001B6D1B" w:rsidRPr="00E37FBE">
              <w:rPr>
                <w:rFonts w:ascii="Times New Roman" w:hAnsi="Times New Roman"/>
                <w:szCs w:val="20"/>
              </w:rPr>
              <w:t>an</w:t>
            </w:r>
            <w:r w:rsidR="00A12862" w:rsidRPr="00E37FBE">
              <w:rPr>
                <w:rFonts w:ascii="Times New Roman" w:hAnsi="Times New Roman"/>
                <w:szCs w:val="20"/>
              </w:rPr>
              <w:t xml:space="preserve"> original maturity </w:t>
            </w:r>
            <w:r w:rsidR="005A40BE" w:rsidRPr="00E37FBE">
              <w:rPr>
                <w:rFonts w:ascii="Times New Roman" w:hAnsi="Times New Roman"/>
                <w:szCs w:val="20"/>
              </w:rPr>
              <w:t>beyond</w:t>
            </w:r>
            <w:r w:rsidRPr="00E37FBE">
              <w:rPr>
                <w:rFonts w:ascii="Times New Roman" w:hAnsi="Times New Roman"/>
                <w:szCs w:val="20"/>
              </w:rPr>
              <w:t xml:space="preserve"> six months </w:t>
            </w:r>
            <w:r w:rsidR="006A7234" w:rsidRPr="00E37FBE">
              <w:rPr>
                <w:rFonts w:ascii="Times New Roman" w:hAnsi="Times New Roman"/>
                <w:szCs w:val="20"/>
              </w:rPr>
              <w:t>shall</w:t>
            </w:r>
            <w:r w:rsidRPr="00E37FBE">
              <w:rPr>
                <w:rFonts w:ascii="Times New Roman" w:hAnsi="Times New Roman"/>
                <w:szCs w:val="20"/>
              </w:rPr>
              <w:t xml:space="preserve"> be reported in column </w:t>
            </w:r>
            <w:r w:rsidR="00C90DF5" w:rsidRPr="00E37FBE">
              <w:rPr>
                <w:rFonts w:ascii="Times New Roman" w:hAnsi="Times New Roman"/>
                <w:szCs w:val="20"/>
              </w:rPr>
              <w:t>0</w:t>
            </w:r>
            <w:r w:rsidR="00AC3BFE" w:rsidRPr="00E37FBE">
              <w:rPr>
                <w:rFonts w:ascii="Times New Roman" w:hAnsi="Times New Roman"/>
                <w:szCs w:val="20"/>
              </w:rPr>
              <w:t>250</w:t>
            </w:r>
            <w:r w:rsidRPr="00E37FBE">
              <w:rPr>
                <w:rFonts w:ascii="Times New Roman" w:hAnsi="Times New Roman"/>
                <w:szCs w:val="20"/>
              </w:rPr>
              <w:t xml:space="preserve"> of line item 1.1-1.31. For months with less than 31 days</w:t>
            </w:r>
            <w:r w:rsidR="00A12862" w:rsidRPr="00E37FBE">
              <w:rPr>
                <w:rFonts w:ascii="Times New Roman" w:hAnsi="Times New Roman"/>
                <w:szCs w:val="20"/>
              </w:rPr>
              <w:t xml:space="preserve"> as well as for weekends</w:t>
            </w:r>
            <w:r w:rsidRPr="00E37FBE">
              <w:rPr>
                <w:rFonts w:ascii="Times New Roman" w:hAnsi="Times New Roman"/>
                <w:szCs w:val="20"/>
              </w:rPr>
              <w:t xml:space="preserve">, irrelevant lines </w:t>
            </w:r>
            <w:r w:rsidR="006A7234" w:rsidRPr="00E37FBE">
              <w:rPr>
                <w:rFonts w:ascii="Times New Roman" w:hAnsi="Times New Roman"/>
                <w:szCs w:val="20"/>
              </w:rPr>
              <w:t>shall</w:t>
            </w:r>
            <w:r w:rsidRPr="00E37FBE">
              <w:rPr>
                <w:rFonts w:ascii="Times New Roman" w:hAnsi="Times New Roman"/>
                <w:szCs w:val="20"/>
              </w:rPr>
              <w:t xml:space="preserve"> be</w:t>
            </w:r>
            <w:r w:rsidR="009C1A02" w:rsidRPr="00E37FBE">
              <w:rPr>
                <w:rFonts w:ascii="Times New Roman" w:hAnsi="Times New Roman"/>
                <w:szCs w:val="20"/>
              </w:rPr>
              <w:t xml:space="preserve"> left empty</w:t>
            </w:r>
            <w:r w:rsidRPr="00E37FBE">
              <w:rPr>
                <w:rFonts w:ascii="Times New Roman" w:hAnsi="Times New Roman"/>
                <w:szCs w:val="20"/>
              </w:rPr>
              <w:t>.</w:t>
            </w:r>
          </w:p>
          <w:p w14:paraId="09601152" w14:textId="25476A9D" w:rsidR="003E371A" w:rsidRPr="00E37FBE" w:rsidRDefault="003E371A" w:rsidP="00193B6D">
            <w:pPr>
              <w:rPr>
                <w:rFonts w:ascii="Times New Roman" w:hAnsi="Times New Roman"/>
                <w:szCs w:val="20"/>
              </w:rPr>
            </w:pPr>
            <w:r w:rsidRPr="00E37FBE">
              <w:rPr>
                <w:rFonts w:ascii="Times New Roman" w:hAnsi="Times New Roman"/>
                <w:szCs w:val="20"/>
              </w:rPr>
              <w:t xml:space="preserve">The total amount of funding rolled-over </w:t>
            </w:r>
            <w:r w:rsidR="00A12862" w:rsidRPr="00E37FBE">
              <w:rPr>
                <w:rFonts w:ascii="Times New Roman" w:hAnsi="Times New Roman"/>
                <w:szCs w:val="20"/>
              </w:rPr>
              <w:t xml:space="preserve">on the relevant day of the reporting period with </w:t>
            </w:r>
            <w:r w:rsidR="001B6D1B" w:rsidRPr="00E37FBE">
              <w:rPr>
                <w:rFonts w:ascii="Times New Roman" w:hAnsi="Times New Roman"/>
                <w:szCs w:val="20"/>
              </w:rPr>
              <w:t>an</w:t>
            </w:r>
            <w:r w:rsidR="00A12862" w:rsidRPr="00E37FBE">
              <w:rPr>
                <w:rFonts w:ascii="Times New Roman" w:hAnsi="Times New Roman"/>
                <w:szCs w:val="20"/>
              </w:rPr>
              <w:t xml:space="preserve"> original maturity beyond six months </w:t>
            </w:r>
            <w:r w:rsidRPr="00E37FBE">
              <w:rPr>
                <w:rFonts w:ascii="Times New Roman" w:hAnsi="Times New Roman"/>
                <w:szCs w:val="20"/>
              </w:rPr>
              <w:t xml:space="preserve">shall be reported in column </w:t>
            </w:r>
            <w:r w:rsidR="00C90DF5" w:rsidRPr="00E37FBE">
              <w:rPr>
                <w:rFonts w:ascii="Times New Roman" w:hAnsi="Times New Roman"/>
                <w:szCs w:val="20"/>
              </w:rPr>
              <w:t>0</w:t>
            </w:r>
            <w:r w:rsidRPr="00E37FBE">
              <w:rPr>
                <w:rFonts w:ascii="Times New Roman" w:hAnsi="Times New Roman"/>
                <w:szCs w:val="20"/>
              </w:rPr>
              <w:t>260 of line item 1.1-1.31.</w:t>
            </w:r>
          </w:p>
          <w:p w14:paraId="4585368E" w14:textId="58DDCB2B" w:rsidR="007C6B89" w:rsidRPr="00E37FBE" w:rsidRDefault="007C6B89" w:rsidP="00193B6D">
            <w:pPr>
              <w:rPr>
                <w:rFonts w:ascii="Times New Roman" w:hAnsi="Times New Roman"/>
                <w:szCs w:val="20"/>
              </w:rPr>
            </w:pPr>
            <w:r w:rsidRPr="00E37FBE">
              <w:rPr>
                <w:rFonts w:ascii="Times New Roman" w:hAnsi="Times New Roman"/>
                <w:szCs w:val="20"/>
              </w:rPr>
              <w:t>T</w:t>
            </w:r>
            <w:r w:rsidR="008C5FE9" w:rsidRPr="00E37FBE">
              <w:rPr>
                <w:rFonts w:ascii="Times New Roman" w:hAnsi="Times New Roman"/>
                <w:szCs w:val="20"/>
              </w:rPr>
              <w:t>he t</w:t>
            </w:r>
            <w:r w:rsidRPr="00E37FBE">
              <w:rPr>
                <w:rFonts w:ascii="Times New Roman" w:hAnsi="Times New Roman"/>
                <w:szCs w:val="20"/>
              </w:rPr>
              <w:t xml:space="preserve">otal amount of new funding </w:t>
            </w:r>
            <w:r w:rsidR="00224CAE" w:rsidRPr="00E37FBE">
              <w:rPr>
                <w:rFonts w:ascii="Times New Roman" w:hAnsi="Times New Roman"/>
                <w:szCs w:val="20"/>
              </w:rPr>
              <w:t xml:space="preserve">obtained </w:t>
            </w:r>
            <w:r w:rsidR="00EF5386" w:rsidRPr="00E37FBE">
              <w:rPr>
                <w:rFonts w:ascii="Times New Roman" w:hAnsi="Times New Roman"/>
                <w:szCs w:val="20"/>
              </w:rPr>
              <w:t xml:space="preserve">on the relevant day of the reporting period with </w:t>
            </w:r>
            <w:r w:rsidR="001B6D1B" w:rsidRPr="00E37FBE">
              <w:rPr>
                <w:rFonts w:ascii="Times New Roman" w:hAnsi="Times New Roman"/>
                <w:szCs w:val="20"/>
              </w:rPr>
              <w:t>an</w:t>
            </w:r>
            <w:r w:rsidR="00EF5386" w:rsidRPr="00E37FBE">
              <w:rPr>
                <w:rFonts w:ascii="Times New Roman" w:hAnsi="Times New Roman"/>
                <w:szCs w:val="20"/>
              </w:rPr>
              <w:t xml:space="preserve"> original maturity </w:t>
            </w:r>
            <w:r w:rsidR="005A40BE" w:rsidRPr="00E37FBE">
              <w:rPr>
                <w:rFonts w:ascii="Times New Roman" w:hAnsi="Times New Roman"/>
                <w:szCs w:val="20"/>
              </w:rPr>
              <w:t>beyond</w:t>
            </w:r>
            <w:r w:rsidRPr="00E37FBE">
              <w:rPr>
                <w:rFonts w:ascii="Times New Roman" w:hAnsi="Times New Roman"/>
                <w:szCs w:val="20"/>
              </w:rPr>
              <w:t xml:space="preserve"> six months </w:t>
            </w:r>
            <w:r w:rsidR="006A7234" w:rsidRPr="00E37FBE">
              <w:rPr>
                <w:rFonts w:ascii="Times New Roman" w:hAnsi="Times New Roman"/>
                <w:szCs w:val="20"/>
              </w:rPr>
              <w:t>shall</w:t>
            </w:r>
            <w:r w:rsidRPr="00E37FBE">
              <w:rPr>
                <w:rFonts w:ascii="Times New Roman" w:hAnsi="Times New Roman"/>
                <w:szCs w:val="20"/>
              </w:rPr>
              <w:t xml:space="preserve"> be reported in column </w:t>
            </w:r>
            <w:r w:rsidR="00C90DF5" w:rsidRPr="00E37FBE">
              <w:rPr>
                <w:rFonts w:ascii="Times New Roman" w:hAnsi="Times New Roman"/>
                <w:szCs w:val="20"/>
              </w:rPr>
              <w:t>0</w:t>
            </w:r>
            <w:r w:rsidR="00AC3BFE" w:rsidRPr="00E37FBE">
              <w:rPr>
                <w:rFonts w:ascii="Times New Roman" w:hAnsi="Times New Roman"/>
                <w:szCs w:val="20"/>
              </w:rPr>
              <w:t>270</w:t>
            </w:r>
            <w:r w:rsidRPr="00E37FBE">
              <w:rPr>
                <w:rFonts w:ascii="Times New Roman" w:hAnsi="Times New Roman"/>
                <w:szCs w:val="20"/>
              </w:rPr>
              <w:t xml:space="preserve"> of line item 1.1-1.31.</w:t>
            </w:r>
          </w:p>
          <w:p w14:paraId="228AAF2B" w14:textId="3C1E7152" w:rsidR="00ED41A4" w:rsidRPr="00E37FBE" w:rsidRDefault="007C6B89" w:rsidP="00193B6D">
            <w:pPr>
              <w:rPr>
                <w:rFonts w:ascii="Times New Roman" w:hAnsi="Times New Roman"/>
                <w:b/>
                <w:szCs w:val="20"/>
                <w:u w:val="single"/>
              </w:rPr>
            </w:pPr>
            <w:r w:rsidRPr="00E37FBE">
              <w:rPr>
                <w:rFonts w:ascii="Times New Roman" w:hAnsi="Times New Roman"/>
                <w:szCs w:val="20"/>
              </w:rPr>
              <w:lastRenderedPageBreak/>
              <w:t>The net difference between</w:t>
            </w:r>
            <w:r w:rsidR="001B6D1B" w:rsidRPr="00E37FBE">
              <w:rPr>
                <w:rFonts w:ascii="Times New Roman" w:hAnsi="Times New Roman"/>
                <w:szCs w:val="20"/>
              </w:rPr>
              <w:t>, on the one hand,</w:t>
            </w:r>
            <w:r w:rsidRPr="00E37FBE">
              <w:rPr>
                <w:rFonts w:ascii="Times New Roman" w:hAnsi="Times New Roman"/>
                <w:szCs w:val="20"/>
              </w:rPr>
              <w:t xml:space="preserve"> maturing funding and</w:t>
            </w:r>
            <w:r w:rsidR="001B6D1B" w:rsidRPr="00E37FBE">
              <w:rPr>
                <w:rFonts w:ascii="Times New Roman" w:hAnsi="Times New Roman"/>
                <w:szCs w:val="20"/>
              </w:rPr>
              <w:t>, on the other hand,</w:t>
            </w:r>
            <w:r w:rsidRPr="00E37FBE">
              <w:rPr>
                <w:rFonts w:ascii="Times New Roman" w:hAnsi="Times New Roman"/>
                <w:szCs w:val="20"/>
              </w:rPr>
              <w:t xml:space="preserve"> </w:t>
            </w:r>
            <w:r w:rsidR="00D34AC4" w:rsidRPr="00E37FBE">
              <w:rPr>
                <w:rFonts w:ascii="Times New Roman" w:hAnsi="Times New Roman"/>
                <w:szCs w:val="20"/>
              </w:rPr>
              <w:t xml:space="preserve">roll-overs plus </w:t>
            </w:r>
            <w:r w:rsidRPr="00E37FBE">
              <w:rPr>
                <w:rFonts w:ascii="Times New Roman" w:hAnsi="Times New Roman"/>
                <w:szCs w:val="20"/>
              </w:rPr>
              <w:t xml:space="preserve">new funding </w:t>
            </w:r>
            <w:r w:rsidR="00224CAE" w:rsidRPr="00E37FBE">
              <w:rPr>
                <w:rFonts w:ascii="Times New Roman" w:hAnsi="Times New Roman"/>
                <w:szCs w:val="20"/>
              </w:rPr>
              <w:t>obtained</w:t>
            </w:r>
            <w:r w:rsidR="008E1DE8" w:rsidRPr="00E37FBE">
              <w:rPr>
                <w:rFonts w:ascii="Times New Roman" w:hAnsi="Times New Roman"/>
                <w:szCs w:val="20"/>
              </w:rPr>
              <w:t>,</w:t>
            </w:r>
            <w:r w:rsidR="00224CAE" w:rsidRPr="00E37FBE">
              <w:rPr>
                <w:rFonts w:ascii="Times New Roman" w:hAnsi="Times New Roman"/>
                <w:szCs w:val="20"/>
              </w:rPr>
              <w:t xml:space="preserve"> </w:t>
            </w:r>
            <w:r w:rsidR="006A7234" w:rsidRPr="00E37FBE">
              <w:rPr>
                <w:rFonts w:ascii="Times New Roman" w:hAnsi="Times New Roman"/>
                <w:szCs w:val="20"/>
              </w:rPr>
              <w:t>shall</w:t>
            </w:r>
            <w:r w:rsidRPr="00E37FBE">
              <w:rPr>
                <w:rFonts w:ascii="Times New Roman" w:hAnsi="Times New Roman"/>
                <w:szCs w:val="20"/>
              </w:rPr>
              <w:t xml:space="preserve"> be reported in column </w:t>
            </w:r>
            <w:r w:rsidR="00C90DF5" w:rsidRPr="00E37FBE">
              <w:rPr>
                <w:rFonts w:ascii="Times New Roman" w:hAnsi="Times New Roman"/>
                <w:szCs w:val="20"/>
              </w:rPr>
              <w:t>0</w:t>
            </w:r>
            <w:r w:rsidR="00AC3BFE" w:rsidRPr="00E37FBE">
              <w:rPr>
                <w:rFonts w:ascii="Times New Roman" w:hAnsi="Times New Roman"/>
                <w:szCs w:val="20"/>
              </w:rPr>
              <w:t>280</w:t>
            </w:r>
            <w:r w:rsidRPr="00E37FBE">
              <w:rPr>
                <w:rFonts w:ascii="Times New Roman" w:hAnsi="Times New Roman"/>
                <w:szCs w:val="20"/>
              </w:rPr>
              <w:t xml:space="preserve"> of line item 1.1-1.31.</w:t>
            </w:r>
          </w:p>
        </w:tc>
      </w:tr>
      <w:tr w:rsidR="00ED41A4" w:rsidRPr="00E37FBE" w14:paraId="26CA8238" w14:textId="77777777" w:rsidTr="00ED41A4">
        <w:trPr>
          <w:trHeight w:val="765"/>
        </w:trPr>
        <w:tc>
          <w:tcPr>
            <w:tcW w:w="729" w:type="pct"/>
            <w:shd w:val="clear" w:color="auto" w:fill="auto"/>
            <w:noWrap/>
          </w:tcPr>
          <w:p w14:paraId="5DBB902E" w14:textId="2A70BAFE" w:rsidR="00ED41A4" w:rsidRPr="00E37FBE" w:rsidRDefault="00C90DF5" w:rsidP="00BD24C1">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lastRenderedPageBreak/>
              <w:t>0</w:t>
            </w:r>
            <w:r w:rsidR="00BD24C1" w:rsidRPr="00E37FBE">
              <w:rPr>
                <w:rFonts w:ascii="Times New Roman" w:hAnsi="Times New Roman"/>
                <w:color w:val="000000"/>
                <w:szCs w:val="20"/>
                <w:lang w:eastAsia="en-GB"/>
              </w:rPr>
              <w:t>290</w:t>
            </w:r>
          </w:p>
        </w:tc>
        <w:tc>
          <w:tcPr>
            <w:tcW w:w="4271" w:type="pct"/>
            <w:shd w:val="clear" w:color="auto" w:fill="auto"/>
          </w:tcPr>
          <w:p w14:paraId="7F9724BA" w14:textId="77777777" w:rsidR="00ED41A4" w:rsidRPr="00E37FBE" w:rsidRDefault="00ED41A4" w:rsidP="00193B6D">
            <w:pPr>
              <w:rPr>
                <w:rFonts w:ascii="Times New Roman" w:hAnsi="Times New Roman"/>
                <w:b/>
                <w:szCs w:val="20"/>
                <w:u w:val="single"/>
              </w:rPr>
            </w:pPr>
            <w:r w:rsidRPr="00E37FBE">
              <w:rPr>
                <w:rFonts w:ascii="Times New Roman" w:hAnsi="Times New Roman"/>
                <w:b/>
                <w:szCs w:val="20"/>
                <w:u w:val="single"/>
              </w:rPr>
              <w:t>Total net cash</w:t>
            </w:r>
            <w:r w:rsidR="00007D41" w:rsidRPr="00E37FBE">
              <w:rPr>
                <w:rFonts w:ascii="Times New Roman" w:hAnsi="Times New Roman"/>
                <w:b/>
                <w:szCs w:val="20"/>
                <w:u w:val="single"/>
              </w:rPr>
              <w:t xml:space="preserve"> </w:t>
            </w:r>
            <w:r w:rsidRPr="00E37FBE">
              <w:rPr>
                <w:rFonts w:ascii="Times New Roman" w:hAnsi="Times New Roman"/>
                <w:b/>
                <w:szCs w:val="20"/>
                <w:u w:val="single"/>
              </w:rPr>
              <w:t>flows</w:t>
            </w:r>
          </w:p>
          <w:p w14:paraId="6468E29D" w14:textId="4F8BA686" w:rsidR="007C6B89" w:rsidRPr="00E37FBE" w:rsidRDefault="007C6B89" w:rsidP="001861B7">
            <w:pPr>
              <w:rPr>
                <w:rFonts w:ascii="Times New Roman" w:hAnsi="Times New Roman"/>
                <w:b/>
                <w:szCs w:val="20"/>
                <w:u w:val="single"/>
              </w:rPr>
            </w:pPr>
            <w:r w:rsidRPr="00E37FBE">
              <w:rPr>
                <w:rFonts w:ascii="Times New Roman" w:hAnsi="Times New Roman"/>
                <w:szCs w:val="20"/>
              </w:rPr>
              <w:t>T</w:t>
            </w:r>
            <w:r w:rsidR="008C5FE9" w:rsidRPr="00E37FBE">
              <w:rPr>
                <w:rFonts w:ascii="Times New Roman" w:hAnsi="Times New Roman"/>
                <w:szCs w:val="20"/>
              </w:rPr>
              <w:t>he t</w:t>
            </w:r>
            <w:r w:rsidRPr="00E37FBE">
              <w:rPr>
                <w:rFonts w:ascii="Times New Roman" w:hAnsi="Times New Roman"/>
                <w:szCs w:val="20"/>
              </w:rPr>
              <w:t>otal net cash</w:t>
            </w:r>
            <w:r w:rsidR="00007D41" w:rsidRPr="00E37FBE">
              <w:rPr>
                <w:rFonts w:ascii="Times New Roman" w:hAnsi="Times New Roman"/>
                <w:szCs w:val="20"/>
              </w:rPr>
              <w:t xml:space="preserve"> </w:t>
            </w:r>
            <w:r w:rsidRPr="00E37FBE">
              <w:rPr>
                <w:rFonts w:ascii="Times New Roman" w:hAnsi="Times New Roman"/>
                <w:szCs w:val="20"/>
              </w:rPr>
              <w:t xml:space="preserve">flows equal to the sum of all ‘Net’ columns </w:t>
            </w:r>
            <w:r w:rsidR="001861B7" w:rsidRPr="00E37FBE">
              <w:rPr>
                <w:rFonts w:ascii="Times New Roman" w:hAnsi="Times New Roman"/>
                <w:szCs w:val="20"/>
              </w:rPr>
              <w:t>numbered</w:t>
            </w:r>
            <w:r w:rsidRPr="00E37FBE">
              <w:rPr>
                <w:rFonts w:ascii="Times New Roman" w:hAnsi="Times New Roman"/>
                <w:szCs w:val="20"/>
              </w:rPr>
              <w:t xml:space="preserve"> </w:t>
            </w:r>
            <w:r w:rsidR="00AC3BFE" w:rsidRPr="00E37FBE">
              <w:rPr>
                <w:rFonts w:ascii="Times New Roman" w:hAnsi="Times New Roman"/>
                <w:szCs w:val="20"/>
              </w:rPr>
              <w:t>0</w:t>
            </w:r>
            <w:r w:rsidR="00C90DF5" w:rsidRPr="00E37FBE">
              <w:rPr>
                <w:rFonts w:ascii="Times New Roman" w:hAnsi="Times New Roman"/>
                <w:szCs w:val="20"/>
              </w:rPr>
              <w:t>0</w:t>
            </w:r>
            <w:r w:rsidR="00AC3BFE" w:rsidRPr="00E37FBE">
              <w:rPr>
                <w:rFonts w:ascii="Times New Roman" w:hAnsi="Times New Roman"/>
                <w:szCs w:val="20"/>
              </w:rPr>
              <w:t>40</w:t>
            </w:r>
            <w:r w:rsidR="001861B7" w:rsidRPr="00E37FBE">
              <w:rPr>
                <w:rFonts w:ascii="Times New Roman" w:hAnsi="Times New Roman"/>
                <w:szCs w:val="20"/>
              </w:rPr>
              <w:t xml:space="preserve">, </w:t>
            </w:r>
            <w:r w:rsidR="00C90DF5" w:rsidRPr="00E37FBE">
              <w:rPr>
                <w:rFonts w:ascii="Times New Roman" w:hAnsi="Times New Roman"/>
                <w:szCs w:val="20"/>
              </w:rPr>
              <w:t>0</w:t>
            </w:r>
            <w:r w:rsidR="00AC3BFE" w:rsidRPr="00E37FBE">
              <w:rPr>
                <w:rFonts w:ascii="Times New Roman" w:hAnsi="Times New Roman"/>
                <w:szCs w:val="20"/>
              </w:rPr>
              <w:t>080</w:t>
            </w:r>
            <w:r w:rsidR="001861B7" w:rsidRPr="00E37FBE">
              <w:rPr>
                <w:rFonts w:ascii="Times New Roman" w:hAnsi="Times New Roman"/>
                <w:szCs w:val="20"/>
              </w:rPr>
              <w:t xml:space="preserve">, </w:t>
            </w:r>
            <w:r w:rsidR="00C90DF5" w:rsidRPr="00E37FBE">
              <w:rPr>
                <w:rFonts w:ascii="Times New Roman" w:hAnsi="Times New Roman"/>
                <w:szCs w:val="20"/>
              </w:rPr>
              <w:t>0</w:t>
            </w:r>
            <w:r w:rsidR="00AC3BFE" w:rsidRPr="00E37FBE">
              <w:rPr>
                <w:rFonts w:ascii="Times New Roman" w:hAnsi="Times New Roman"/>
                <w:szCs w:val="20"/>
              </w:rPr>
              <w:t>120</w:t>
            </w:r>
            <w:r w:rsidR="001861B7" w:rsidRPr="00E37FBE">
              <w:rPr>
                <w:rFonts w:ascii="Times New Roman" w:hAnsi="Times New Roman"/>
                <w:szCs w:val="20"/>
              </w:rPr>
              <w:t xml:space="preserve">, </w:t>
            </w:r>
            <w:r w:rsidR="00C90DF5" w:rsidRPr="00E37FBE">
              <w:rPr>
                <w:rFonts w:ascii="Times New Roman" w:hAnsi="Times New Roman"/>
                <w:szCs w:val="20"/>
              </w:rPr>
              <w:t>0</w:t>
            </w:r>
            <w:r w:rsidR="00AC3BFE" w:rsidRPr="00E37FBE">
              <w:rPr>
                <w:rFonts w:ascii="Times New Roman" w:hAnsi="Times New Roman"/>
                <w:szCs w:val="20"/>
              </w:rPr>
              <w:t>160</w:t>
            </w:r>
            <w:r w:rsidR="001861B7" w:rsidRPr="00E37FBE">
              <w:rPr>
                <w:rFonts w:ascii="Times New Roman" w:hAnsi="Times New Roman"/>
                <w:szCs w:val="20"/>
              </w:rPr>
              <w:t xml:space="preserve">, </w:t>
            </w:r>
            <w:r w:rsidR="00C90DF5" w:rsidRPr="00E37FBE">
              <w:rPr>
                <w:rFonts w:ascii="Times New Roman" w:hAnsi="Times New Roman"/>
                <w:szCs w:val="20"/>
              </w:rPr>
              <w:t>0</w:t>
            </w:r>
            <w:r w:rsidR="00AC3BFE" w:rsidRPr="00E37FBE">
              <w:rPr>
                <w:rFonts w:ascii="Times New Roman" w:hAnsi="Times New Roman"/>
                <w:szCs w:val="20"/>
              </w:rPr>
              <w:t>200</w:t>
            </w:r>
            <w:r w:rsidR="001861B7" w:rsidRPr="00E37FBE">
              <w:rPr>
                <w:rFonts w:ascii="Times New Roman" w:hAnsi="Times New Roman"/>
                <w:szCs w:val="20"/>
              </w:rPr>
              <w:t xml:space="preserve">, </w:t>
            </w:r>
            <w:r w:rsidR="00C90DF5" w:rsidRPr="00E37FBE">
              <w:rPr>
                <w:rFonts w:ascii="Times New Roman" w:hAnsi="Times New Roman"/>
                <w:szCs w:val="20"/>
              </w:rPr>
              <w:t>0</w:t>
            </w:r>
            <w:r w:rsidR="00AC3BFE" w:rsidRPr="00E37FBE">
              <w:rPr>
                <w:rFonts w:ascii="Times New Roman" w:hAnsi="Times New Roman"/>
                <w:szCs w:val="20"/>
              </w:rPr>
              <w:t>240</w:t>
            </w:r>
            <w:r w:rsidR="001861B7" w:rsidRPr="00E37FBE">
              <w:rPr>
                <w:rFonts w:ascii="Times New Roman" w:hAnsi="Times New Roman"/>
                <w:szCs w:val="20"/>
              </w:rPr>
              <w:t xml:space="preserve">, </w:t>
            </w:r>
            <w:r w:rsidR="00C90DF5" w:rsidRPr="00E37FBE">
              <w:rPr>
                <w:rFonts w:ascii="Times New Roman" w:hAnsi="Times New Roman"/>
                <w:szCs w:val="20"/>
              </w:rPr>
              <w:t>0</w:t>
            </w:r>
            <w:r w:rsidR="00AC3BFE" w:rsidRPr="00E37FBE">
              <w:rPr>
                <w:rFonts w:ascii="Times New Roman" w:hAnsi="Times New Roman"/>
                <w:szCs w:val="20"/>
              </w:rPr>
              <w:t>280</w:t>
            </w:r>
            <w:r w:rsidR="001861B7" w:rsidRPr="00E37FBE">
              <w:rPr>
                <w:rFonts w:ascii="Times New Roman" w:hAnsi="Times New Roman"/>
                <w:szCs w:val="20"/>
              </w:rPr>
              <w:t>,</w:t>
            </w:r>
            <w:r w:rsidRPr="00E37FBE">
              <w:rPr>
                <w:rFonts w:ascii="Times New Roman" w:hAnsi="Times New Roman"/>
                <w:szCs w:val="20"/>
              </w:rPr>
              <w:t xml:space="preserve"> </w:t>
            </w:r>
            <w:r w:rsidR="006A7234" w:rsidRPr="00E37FBE">
              <w:rPr>
                <w:rFonts w:ascii="Times New Roman" w:hAnsi="Times New Roman"/>
                <w:szCs w:val="20"/>
              </w:rPr>
              <w:t>shall</w:t>
            </w:r>
            <w:r w:rsidRPr="00E37FBE">
              <w:rPr>
                <w:rFonts w:ascii="Times New Roman" w:hAnsi="Times New Roman"/>
                <w:szCs w:val="20"/>
              </w:rPr>
              <w:t xml:space="preserve"> be reported in column </w:t>
            </w:r>
            <w:r w:rsidR="00C90DF5" w:rsidRPr="00E37FBE">
              <w:rPr>
                <w:rFonts w:ascii="Times New Roman" w:hAnsi="Times New Roman"/>
                <w:szCs w:val="20"/>
              </w:rPr>
              <w:t>0</w:t>
            </w:r>
            <w:r w:rsidR="00AC3BFE" w:rsidRPr="00E37FBE">
              <w:rPr>
                <w:rFonts w:ascii="Times New Roman" w:hAnsi="Times New Roman"/>
                <w:szCs w:val="20"/>
              </w:rPr>
              <w:t>290</w:t>
            </w:r>
            <w:r w:rsidRPr="00E37FBE">
              <w:rPr>
                <w:rFonts w:ascii="Times New Roman" w:hAnsi="Times New Roman"/>
                <w:szCs w:val="20"/>
              </w:rPr>
              <w:t>.</w:t>
            </w:r>
          </w:p>
        </w:tc>
      </w:tr>
      <w:tr w:rsidR="00ED41A4" w:rsidRPr="00E37FBE" w14:paraId="18A531BD" w14:textId="77777777" w:rsidTr="00ED41A4">
        <w:trPr>
          <w:trHeight w:val="765"/>
        </w:trPr>
        <w:tc>
          <w:tcPr>
            <w:tcW w:w="729" w:type="pct"/>
            <w:shd w:val="clear" w:color="auto" w:fill="auto"/>
            <w:noWrap/>
          </w:tcPr>
          <w:p w14:paraId="41F26860" w14:textId="63406B78" w:rsidR="00ED41A4" w:rsidRPr="00E37FBE" w:rsidRDefault="00C90DF5" w:rsidP="002C0AF3">
            <w:pPr>
              <w:spacing w:before="0" w:after="0"/>
              <w:jc w:val="left"/>
              <w:rPr>
                <w:rFonts w:ascii="Times New Roman" w:hAnsi="Times New Roman"/>
                <w:color w:val="000000"/>
                <w:szCs w:val="20"/>
                <w:lang w:eastAsia="en-GB"/>
              </w:rPr>
            </w:pPr>
            <w:r w:rsidRPr="00E37FBE">
              <w:rPr>
                <w:rFonts w:ascii="Times New Roman" w:hAnsi="Times New Roman"/>
                <w:color w:val="000000"/>
                <w:szCs w:val="20"/>
                <w:lang w:eastAsia="en-GB"/>
              </w:rPr>
              <w:t>0</w:t>
            </w:r>
            <w:r w:rsidR="00BD24C1" w:rsidRPr="00E37FBE">
              <w:rPr>
                <w:rFonts w:ascii="Times New Roman" w:hAnsi="Times New Roman"/>
                <w:color w:val="000000"/>
                <w:szCs w:val="20"/>
                <w:lang w:eastAsia="en-GB"/>
              </w:rPr>
              <w:t xml:space="preserve">300 to </w:t>
            </w:r>
            <w:r w:rsidRPr="00E37FBE">
              <w:rPr>
                <w:rFonts w:ascii="Times New Roman" w:hAnsi="Times New Roman"/>
                <w:color w:val="000000"/>
                <w:szCs w:val="20"/>
                <w:lang w:eastAsia="en-GB"/>
              </w:rPr>
              <w:t>0</w:t>
            </w:r>
            <w:r w:rsidR="00BD24C1" w:rsidRPr="00E37FBE">
              <w:rPr>
                <w:rFonts w:ascii="Times New Roman" w:hAnsi="Times New Roman"/>
                <w:color w:val="000000"/>
                <w:szCs w:val="20"/>
                <w:lang w:eastAsia="en-GB"/>
              </w:rPr>
              <w:t>3</w:t>
            </w:r>
            <w:r w:rsidR="002C0AF3" w:rsidRPr="00E37FBE">
              <w:rPr>
                <w:rFonts w:ascii="Times New Roman" w:hAnsi="Times New Roman"/>
                <w:color w:val="000000"/>
                <w:szCs w:val="20"/>
                <w:lang w:eastAsia="en-GB"/>
              </w:rPr>
              <w:t>2</w:t>
            </w:r>
            <w:r w:rsidR="00BD24C1" w:rsidRPr="00E37FBE">
              <w:rPr>
                <w:rFonts w:ascii="Times New Roman" w:hAnsi="Times New Roman"/>
                <w:color w:val="000000"/>
                <w:szCs w:val="20"/>
                <w:lang w:eastAsia="en-GB"/>
              </w:rPr>
              <w:t>0</w:t>
            </w:r>
          </w:p>
        </w:tc>
        <w:tc>
          <w:tcPr>
            <w:tcW w:w="4271" w:type="pct"/>
            <w:shd w:val="clear" w:color="auto" w:fill="auto"/>
          </w:tcPr>
          <w:p w14:paraId="0B9AF00A" w14:textId="77777777" w:rsidR="00ED41A4" w:rsidRPr="00E37FBE" w:rsidRDefault="00ED41A4" w:rsidP="00193B6D">
            <w:pPr>
              <w:rPr>
                <w:rFonts w:ascii="Times New Roman" w:hAnsi="Times New Roman"/>
                <w:b/>
                <w:szCs w:val="20"/>
                <w:u w:val="single"/>
              </w:rPr>
            </w:pPr>
            <w:r w:rsidRPr="00E37FBE">
              <w:rPr>
                <w:rFonts w:ascii="Times New Roman" w:hAnsi="Times New Roman"/>
                <w:b/>
                <w:szCs w:val="20"/>
                <w:u w:val="single"/>
              </w:rPr>
              <w:t>Average Term (days)</w:t>
            </w:r>
          </w:p>
          <w:p w14:paraId="51F755D8" w14:textId="5AE9998A" w:rsidR="007C6B89" w:rsidRPr="00E37FBE" w:rsidRDefault="007C6B89" w:rsidP="00193B6D">
            <w:pPr>
              <w:rPr>
                <w:rFonts w:ascii="Times New Roman" w:hAnsi="Times New Roman"/>
                <w:b/>
                <w:szCs w:val="20"/>
                <w:u w:val="single"/>
              </w:rPr>
            </w:pPr>
            <w:r w:rsidRPr="00E37FBE">
              <w:rPr>
                <w:rFonts w:ascii="Times New Roman" w:hAnsi="Times New Roman"/>
                <w:szCs w:val="20"/>
              </w:rPr>
              <w:t>The weighted average term</w:t>
            </w:r>
            <w:r w:rsidR="001B6D1B" w:rsidRPr="00E37FBE">
              <w:rPr>
                <w:rFonts w:ascii="Times New Roman" w:hAnsi="Times New Roman"/>
                <w:szCs w:val="20"/>
              </w:rPr>
              <w:t>,</w:t>
            </w:r>
            <w:r w:rsidRPr="00E37FBE">
              <w:rPr>
                <w:rFonts w:ascii="Times New Roman" w:hAnsi="Times New Roman"/>
                <w:szCs w:val="20"/>
              </w:rPr>
              <w:t xml:space="preserve"> in days</w:t>
            </w:r>
            <w:r w:rsidR="001B6D1B" w:rsidRPr="00E37FBE">
              <w:rPr>
                <w:rFonts w:ascii="Times New Roman" w:hAnsi="Times New Roman"/>
                <w:szCs w:val="20"/>
              </w:rPr>
              <w:t>,</w:t>
            </w:r>
            <w:r w:rsidRPr="00E37FBE">
              <w:rPr>
                <w:rFonts w:ascii="Times New Roman" w:hAnsi="Times New Roman"/>
                <w:szCs w:val="20"/>
              </w:rPr>
              <w:t xml:space="preserve"> of all funds maturing </w:t>
            </w:r>
            <w:r w:rsidR="006A7234" w:rsidRPr="00E37FBE">
              <w:rPr>
                <w:rFonts w:ascii="Times New Roman" w:hAnsi="Times New Roman"/>
                <w:szCs w:val="20"/>
              </w:rPr>
              <w:t>shall</w:t>
            </w:r>
            <w:r w:rsidRPr="00E37FBE">
              <w:rPr>
                <w:rFonts w:ascii="Times New Roman" w:hAnsi="Times New Roman"/>
                <w:szCs w:val="20"/>
              </w:rPr>
              <w:t xml:space="preserve"> be reported in column </w:t>
            </w:r>
            <w:r w:rsidR="00C90DF5" w:rsidRPr="00E37FBE">
              <w:rPr>
                <w:rFonts w:ascii="Times New Roman" w:hAnsi="Times New Roman"/>
                <w:szCs w:val="20"/>
              </w:rPr>
              <w:t>0</w:t>
            </w:r>
            <w:r w:rsidR="00BD24C1" w:rsidRPr="00E37FBE">
              <w:rPr>
                <w:rFonts w:ascii="Times New Roman" w:hAnsi="Times New Roman"/>
                <w:szCs w:val="20"/>
              </w:rPr>
              <w:t>300</w:t>
            </w:r>
            <w:r w:rsidRPr="00E37FBE">
              <w:rPr>
                <w:rFonts w:ascii="Times New Roman" w:hAnsi="Times New Roman"/>
                <w:szCs w:val="20"/>
              </w:rPr>
              <w:t xml:space="preserve">. </w:t>
            </w:r>
            <w:r w:rsidR="003E371A" w:rsidRPr="00E37FBE">
              <w:rPr>
                <w:rFonts w:ascii="Times New Roman" w:hAnsi="Times New Roman"/>
                <w:szCs w:val="20"/>
              </w:rPr>
              <w:t>The weighted average term</w:t>
            </w:r>
            <w:r w:rsidR="001B6D1B" w:rsidRPr="00E37FBE">
              <w:rPr>
                <w:rFonts w:ascii="Times New Roman" w:hAnsi="Times New Roman"/>
                <w:szCs w:val="20"/>
              </w:rPr>
              <w:t>,</w:t>
            </w:r>
            <w:r w:rsidR="003E371A" w:rsidRPr="00E37FBE">
              <w:rPr>
                <w:rFonts w:ascii="Times New Roman" w:hAnsi="Times New Roman"/>
                <w:szCs w:val="20"/>
              </w:rPr>
              <w:t xml:space="preserve"> in days</w:t>
            </w:r>
            <w:r w:rsidR="001B6D1B" w:rsidRPr="00E37FBE">
              <w:rPr>
                <w:rFonts w:ascii="Times New Roman" w:hAnsi="Times New Roman"/>
                <w:szCs w:val="20"/>
              </w:rPr>
              <w:t>,</w:t>
            </w:r>
            <w:r w:rsidR="003E371A" w:rsidRPr="00E37FBE">
              <w:rPr>
                <w:rFonts w:ascii="Times New Roman" w:hAnsi="Times New Roman"/>
                <w:szCs w:val="20"/>
              </w:rPr>
              <w:t xml:space="preserve"> of all funds rolled over shall be reported in column </w:t>
            </w:r>
            <w:r w:rsidR="00C90DF5" w:rsidRPr="00E37FBE">
              <w:rPr>
                <w:rFonts w:ascii="Times New Roman" w:hAnsi="Times New Roman"/>
                <w:szCs w:val="20"/>
              </w:rPr>
              <w:t>0</w:t>
            </w:r>
            <w:r w:rsidR="003E371A" w:rsidRPr="00E37FBE">
              <w:rPr>
                <w:rFonts w:ascii="Times New Roman" w:hAnsi="Times New Roman"/>
                <w:szCs w:val="20"/>
              </w:rPr>
              <w:t xml:space="preserve">310, </w:t>
            </w:r>
            <w:r w:rsidRPr="00E37FBE">
              <w:rPr>
                <w:rFonts w:ascii="Times New Roman" w:hAnsi="Times New Roman"/>
                <w:szCs w:val="20"/>
              </w:rPr>
              <w:t>the weighted average term</w:t>
            </w:r>
            <w:r w:rsidR="001B6D1B" w:rsidRPr="00E37FBE">
              <w:rPr>
                <w:rFonts w:ascii="Times New Roman" w:hAnsi="Times New Roman"/>
                <w:szCs w:val="20"/>
              </w:rPr>
              <w:t>,</w:t>
            </w:r>
            <w:r w:rsidRPr="00E37FBE">
              <w:rPr>
                <w:rFonts w:ascii="Times New Roman" w:hAnsi="Times New Roman"/>
                <w:szCs w:val="20"/>
              </w:rPr>
              <w:t xml:space="preserve"> in days</w:t>
            </w:r>
            <w:r w:rsidR="001B6D1B" w:rsidRPr="00E37FBE">
              <w:rPr>
                <w:rFonts w:ascii="Times New Roman" w:hAnsi="Times New Roman"/>
                <w:szCs w:val="20"/>
              </w:rPr>
              <w:t>,</w:t>
            </w:r>
            <w:r w:rsidRPr="00E37FBE">
              <w:rPr>
                <w:rFonts w:ascii="Times New Roman" w:hAnsi="Times New Roman"/>
                <w:szCs w:val="20"/>
              </w:rPr>
              <w:t xml:space="preserve"> of all new funds </w:t>
            </w:r>
            <w:r w:rsidR="006A7234" w:rsidRPr="00E37FBE">
              <w:rPr>
                <w:rFonts w:ascii="Times New Roman" w:hAnsi="Times New Roman"/>
                <w:szCs w:val="20"/>
              </w:rPr>
              <w:t>shall</w:t>
            </w:r>
            <w:r w:rsidRPr="00E37FBE">
              <w:rPr>
                <w:rFonts w:ascii="Times New Roman" w:hAnsi="Times New Roman"/>
                <w:szCs w:val="20"/>
              </w:rPr>
              <w:t xml:space="preserve"> be reported in column </w:t>
            </w:r>
            <w:r w:rsidR="00C90DF5" w:rsidRPr="00E37FBE">
              <w:rPr>
                <w:rFonts w:ascii="Times New Roman" w:hAnsi="Times New Roman"/>
                <w:szCs w:val="20"/>
              </w:rPr>
              <w:t>0</w:t>
            </w:r>
            <w:r w:rsidR="00BD24C1" w:rsidRPr="00E37FBE">
              <w:rPr>
                <w:rFonts w:ascii="Times New Roman" w:hAnsi="Times New Roman"/>
                <w:szCs w:val="20"/>
              </w:rPr>
              <w:t>320</w:t>
            </w:r>
            <w:r w:rsidR="00C84012" w:rsidRPr="00E37FBE">
              <w:rPr>
                <w:rFonts w:ascii="Times New Roman" w:hAnsi="Times New Roman"/>
                <w:szCs w:val="20"/>
              </w:rPr>
              <w:t>.</w:t>
            </w:r>
          </w:p>
        </w:tc>
      </w:tr>
    </w:tbl>
    <w:p w14:paraId="1471D337" w14:textId="02B89222" w:rsidR="00ED41A4" w:rsidRPr="005B086D" w:rsidRDefault="008E1DE8" w:rsidP="004E79EF">
      <w:pPr>
        <w:pStyle w:val="InstructionsText2"/>
        <w:numPr>
          <w:ilvl w:val="0"/>
          <w:numId w:val="0"/>
        </w:numPr>
        <w:ind w:left="720"/>
        <w:rPr>
          <w:u w:val="none"/>
        </w:rPr>
      </w:pPr>
      <w:r w:rsidRPr="00E37FBE">
        <w:rPr>
          <w:u w:val="none"/>
        </w:rPr>
        <w:t>”</w:t>
      </w:r>
    </w:p>
    <w:sectPr w:rsidR="00ED41A4" w:rsidRPr="005B086D" w:rsidSect="00EA0D1D">
      <w:headerReference w:type="even" r:id="rId8"/>
      <w:footerReference w:type="default" r:id="rId9"/>
      <w:headerReference w:type="first" r:id="rId10"/>
      <w:footerReference w:type="first" r:id="rId11"/>
      <w:pgSz w:w="11906" w:h="16838"/>
      <w:pgMar w:top="1440" w:right="1800" w:bottom="1440" w:left="1800" w:header="1304"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282B55" w16cid:durableId="25C085F0"/>
  <w16cid:commentId w16cid:paraId="6136B79A" w16cid:durableId="25C08678"/>
  <w16cid:commentId w16cid:paraId="1AB2FA5B" w16cid:durableId="25C085F1"/>
  <w16cid:commentId w16cid:paraId="77A05480" w16cid:durableId="25C0869D"/>
  <w16cid:commentId w16cid:paraId="4B41F3FD" w16cid:durableId="25C085F2"/>
  <w16cid:commentId w16cid:paraId="57795F4D" w16cid:durableId="25C085F3"/>
  <w16cid:commentId w16cid:paraId="50279795" w16cid:durableId="25C08EEF"/>
  <w16cid:commentId w16cid:paraId="76729874" w16cid:durableId="25CB4C11"/>
  <w16cid:commentId w16cid:paraId="40403998" w16cid:durableId="25C085F4"/>
  <w16cid:commentId w16cid:paraId="173EA259" w16cid:durableId="25C085F5"/>
  <w16cid:commentId w16cid:paraId="293BB635" w16cid:durableId="25C0AC0A"/>
  <w16cid:commentId w16cid:paraId="4D7E370F" w16cid:durableId="25C085F6"/>
  <w16cid:commentId w16cid:paraId="4A850CFE" w16cid:durableId="25C0AC89"/>
  <w16cid:commentId w16cid:paraId="78E7A3B7" w16cid:durableId="25C085F7"/>
  <w16cid:commentId w16cid:paraId="2A0696F3" w16cid:durableId="25C09B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75964" w14:textId="77777777" w:rsidR="004963F1" w:rsidRDefault="004963F1">
      <w:r>
        <w:separator/>
      </w:r>
    </w:p>
  </w:endnote>
  <w:endnote w:type="continuationSeparator" w:id="0">
    <w:p w14:paraId="57434B03" w14:textId="77777777" w:rsidR="004963F1" w:rsidRDefault="004963F1">
      <w:r>
        <w:continuationSeparator/>
      </w:r>
    </w:p>
  </w:endnote>
  <w:endnote w:type="continuationNotice" w:id="1">
    <w:p w14:paraId="13420FF1" w14:textId="77777777" w:rsidR="004963F1" w:rsidRDefault="004963F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624507"/>
      <w:docPartObj>
        <w:docPartGallery w:val="Page Numbers (Bottom of Page)"/>
        <w:docPartUnique/>
      </w:docPartObj>
    </w:sdtPr>
    <w:sdtEndPr>
      <w:rPr>
        <w:noProof/>
      </w:rPr>
    </w:sdtEndPr>
    <w:sdtContent>
      <w:p w14:paraId="211434C3" w14:textId="1844C8E9" w:rsidR="004963F1" w:rsidRDefault="004963F1">
        <w:pPr>
          <w:pStyle w:val="Footer"/>
          <w:jc w:val="center"/>
        </w:pPr>
        <w:r>
          <w:fldChar w:fldCharType="begin"/>
        </w:r>
        <w:r>
          <w:instrText xml:space="preserve"> PAGE   \* MERGEFORMAT </w:instrText>
        </w:r>
        <w:r>
          <w:fldChar w:fldCharType="separate"/>
        </w:r>
        <w:r w:rsidR="00AE6CE2">
          <w:rPr>
            <w:noProof/>
          </w:rPr>
          <w:t>13</w:t>
        </w:r>
        <w:r>
          <w:rPr>
            <w:noProof/>
          </w:rPr>
          <w:fldChar w:fldCharType="end"/>
        </w:r>
      </w:p>
    </w:sdtContent>
  </w:sdt>
  <w:p w14:paraId="4D75317D" w14:textId="77777777" w:rsidR="004963F1" w:rsidRDefault="00496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974065"/>
      <w:docPartObj>
        <w:docPartGallery w:val="Page Numbers (Bottom of Page)"/>
        <w:docPartUnique/>
      </w:docPartObj>
    </w:sdtPr>
    <w:sdtEndPr>
      <w:rPr>
        <w:noProof/>
      </w:rPr>
    </w:sdtEndPr>
    <w:sdtContent>
      <w:p w14:paraId="0BAAC0BA" w14:textId="02E833B2" w:rsidR="004963F1" w:rsidRDefault="004963F1">
        <w:pPr>
          <w:pStyle w:val="Footer"/>
          <w:jc w:val="center"/>
        </w:pPr>
        <w:r>
          <w:fldChar w:fldCharType="begin"/>
        </w:r>
        <w:r>
          <w:instrText xml:space="preserve"> PAGE   \* MERGEFORMAT </w:instrText>
        </w:r>
        <w:r>
          <w:fldChar w:fldCharType="separate"/>
        </w:r>
        <w:r w:rsidR="00AE6CE2">
          <w:rPr>
            <w:noProof/>
          </w:rPr>
          <w:t>1</w:t>
        </w:r>
        <w:r>
          <w:rPr>
            <w:noProof/>
          </w:rPr>
          <w:fldChar w:fldCharType="end"/>
        </w:r>
      </w:p>
    </w:sdtContent>
  </w:sdt>
  <w:p w14:paraId="40D79854" w14:textId="77777777" w:rsidR="004963F1" w:rsidRDefault="00496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5782E" w14:textId="77777777" w:rsidR="004963F1" w:rsidRDefault="004963F1">
      <w:r>
        <w:separator/>
      </w:r>
    </w:p>
  </w:footnote>
  <w:footnote w:type="continuationSeparator" w:id="0">
    <w:p w14:paraId="0A42EA43" w14:textId="77777777" w:rsidR="004963F1" w:rsidRDefault="004963F1">
      <w:r>
        <w:continuationSeparator/>
      </w:r>
    </w:p>
  </w:footnote>
  <w:footnote w:type="continuationNotice" w:id="1">
    <w:p w14:paraId="5F0A781D" w14:textId="77777777" w:rsidR="004963F1" w:rsidRDefault="004963F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9CCF2" w14:textId="4A3CD16F" w:rsidR="00AC71EB" w:rsidRDefault="00AC7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B6303" w14:textId="51D76668" w:rsidR="00AC71EB" w:rsidRDefault="00AC7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A041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E82F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885B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84EA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B8C2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C4DE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48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96C5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30B3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AE66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3208F"/>
    <w:multiLevelType w:val="multilevel"/>
    <w:tmpl w:val="D7BE5498"/>
    <w:lvl w:ilvl="0">
      <w:start w:val="1"/>
      <w:numFmt w:val="decimal"/>
      <w:lvlText w:val="%1."/>
      <w:lvlJc w:val="left"/>
      <w:pPr>
        <w:ind w:left="714" w:hanging="357"/>
      </w:pPr>
      <w:rPr>
        <w:rFonts w:hint="default"/>
      </w:rPr>
    </w:lvl>
    <w:lvl w:ilvl="1">
      <w:start w:val="1"/>
      <w:numFmt w:val="decimal"/>
      <w:lvlText w:val="%2."/>
      <w:lvlJc w:val="left"/>
      <w:pPr>
        <w:ind w:left="714" w:hanging="357"/>
      </w:pPr>
      <w:rPr>
        <w:rFonts w:hint="default"/>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11" w15:restartNumberingAfterBreak="0">
    <w:nsid w:val="043D5720"/>
    <w:multiLevelType w:val="multilevel"/>
    <w:tmpl w:val="D7BE5498"/>
    <w:lvl w:ilvl="0">
      <w:start w:val="1"/>
      <w:numFmt w:val="decimal"/>
      <w:lvlText w:val="%1."/>
      <w:lvlJc w:val="left"/>
      <w:pPr>
        <w:ind w:left="714" w:hanging="357"/>
      </w:pPr>
      <w:rPr>
        <w:rFonts w:hint="default"/>
      </w:rPr>
    </w:lvl>
    <w:lvl w:ilvl="1">
      <w:start w:val="1"/>
      <w:numFmt w:val="decimal"/>
      <w:lvlText w:val="%2."/>
      <w:lvlJc w:val="left"/>
      <w:pPr>
        <w:ind w:left="714" w:hanging="357"/>
      </w:pPr>
      <w:rPr>
        <w:rFonts w:hint="default"/>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12" w15:restartNumberingAfterBreak="0">
    <w:nsid w:val="058D2501"/>
    <w:multiLevelType w:val="multilevel"/>
    <w:tmpl w:val="ABB242F2"/>
    <w:lvl w:ilvl="0">
      <w:start w:val="1"/>
      <w:numFmt w:val="decimal"/>
      <w:lvlText w:val="%1."/>
      <w:lvlJc w:val="left"/>
      <w:pPr>
        <w:ind w:left="714" w:hanging="357"/>
      </w:pPr>
      <w:rPr>
        <w:rFonts w:hint="default"/>
      </w:rPr>
    </w:lvl>
    <w:lvl w:ilvl="1">
      <w:start w:val="1"/>
      <w:numFmt w:val="lowerLetter"/>
      <w:lvlText w:val="(%2)"/>
      <w:lvlJc w:val="left"/>
      <w:pPr>
        <w:ind w:left="714" w:hanging="357"/>
      </w:pPr>
      <w:rPr>
        <w:rFonts w:ascii="Times New Roman" w:eastAsia="Times New Roman" w:hAnsi="Times New Roman" w:cs="Times New Roman"/>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13" w15:restartNumberingAfterBreak="0">
    <w:nsid w:val="0BE619A9"/>
    <w:multiLevelType w:val="multilevel"/>
    <w:tmpl w:val="D7BE5498"/>
    <w:lvl w:ilvl="0">
      <w:start w:val="1"/>
      <w:numFmt w:val="decimal"/>
      <w:lvlText w:val="%1."/>
      <w:lvlJc w:val="left"/>
      <w:pPr>
        <w:ind w:left="714" w:hanging="357"/>
      </w:pPr>
      <w:rPr>
        <w:rFonts w:hint="default"/>
      </w:rPr>
    </w:lvl>
    <w:lvl w:ilvl="1">
      <w:start w:val="1"/>
      <w:numFmt w:val="decimal"/>
      <w:lvlText w:val="%2."/>
      <w:lvlJc w:val="left"/>
      <w:pPr>
        <w:ind w:left="714" w:hanging="357"/>
      </w:pPr>
      <w:rPr>
        <w:rFonts w:hint="default"/>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14" w15:restartNumberingAfterBreak="0">
    <w:nsid w:val="11A94165"/>
    <w:multiLevelType w:val="multilevel"/>
    <w:tmpl w:val="6504BD22"/>
    <w:lvl w:ilvl="0">
      <w:start w:val="1"/>
      <w:numFmt w:val="decimal"/>
      <w:lvlText w:val="%1."/>
      <w:lvlJc w:val="left"/>
      <w:pPr>
        <w:ind w:left="714" w:hanging="357"/>
      </w:pPr>
      <w:rPr>
        <w:rFonts w:hint="default"/>
      </w:rPr>
    </w:lvl>
    <w:lvl w:ilvl="1">
      <w:start w:val="1"/>
      <w:numFmt w:val="lowerLetter"/>
      <w:lvlText w:val="%2)"/>
      <w:lvlJc w:val="left"/>
      <w:pPr>
        <w:ind w:left="714" w:hanging="357"/>
      </w:p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15" w15:restartNumberingAfterBreak="0">
    <w:nsid w:val="179E3A92"/>
    <w:multiLevelType w:val="multilevel"/>
    <w:tmpl w:val="574C7862"/>
    <w:lvl w:ilvl="0">
      <w:start w:val="1"/>
      <w:numFmt w:val="decimal"/>
      <w:lvlText w:val="%1."/>
      <w:lvlJc w:val="left"/>
      <w:pPr>
        <w:ind w:left="714" w:hanging="357"/>
      </w:pPr>
      <w:rPr>
        <w:rFonts w:hint="default"/>
      </w:rPr>
    </w:lvl>
    <w:lvl w:ilvl="1">
      <w:start w:val="1"/>
      <w:numFmt w:val="lowerLetter"/>
      <w:lvlText w:val="(%2)"/>
      <w:lvlJc w:val="left"/>
      <w:pPr>
        <w:ind w:left="714" w:hanging="357"/>
      </w:pPr>
      <w:rPr>
        <w:rFonts w:ascii="Times New Roman" w:eastAsia="Times New Roman" w:hAnsi="Times New Roman" w:cs="Times New Roman"/>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16" w15:restartNumberingAfterBreak="0">
    <w:nsid w:val="1B084130"/>
    <w:multiLevelType w:val="multilevel"/>
    <w:tmpl w:val="6B088E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148"/>
        </w:tabs>
        <w:ind w:left="2148" w:hanging="72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17" w15:restartNumberingAfterBreak="0">
    <w:nsid w:val="1ECB0E46"/>
    <w:multiLevelType w:val="multilevel"/>
    <w:tmpl w:val="34364CAC"/>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F81BD" w:themeColor="accent1"/>
        <w:sz w:val="28"/>
        <w:u w:val="none"/>
        <w:vertAlign w:val="base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F81BD" w:themeColor="accent1"/>
        <w:sz w:val="24"/>
        <w:u w:val="none"/>
        <w:vertAlign w:val="base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F81BD" w:themeColor="accent1"/>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23674DE4"/>
    <w:multiLevelType w:val="multilevel"/>
    <w:tmpl w:val="3E1C1DAC"/>
    <w:lvl w:ilvl="0">
      <w:start w:val="1"/>
      <w:numFmt w:val="decimal"/>
      <w:lvlText w:val="%1."/>
      <w:lvlJc w:val="left"/>
      <w:pPr>
        <w:ind w:left="714" w:hanging="357"/>
      </w:pPr>
      <w:rPr>
        <w:rFonts w:hint="default"/>
      </w:rPr>
    </w:lvl>
    <w:lvl w:ilvl="1">
      <w:start w:val="1"/>
      <w:numFmt w:val="lowerLetter"/>
      <w:lvlText w:val="(%2)"/>
      <w:lvlJc w:val="left"/>
      <w:pPr>
        <w:ind w:left="714" w:hanging="357"/>
      </w:pPr>
      <w:rPr>
        <w:rFonts w:ascii="Times New Roman" w:eastAsia="Times New Roman" w:hAnsi="Times New Roman" w:cs="Times New Roman"/>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19" w15:restartNumberingAfterBreak="0">
    <w:nsid w:val="24A74FA7"/>
    <w:multiLevelType w:val="multilevel"/>
    <w:tmpl w:val="D7BE5498"/>
    <w:lvl w:ilvl="0">
      <w:start w:val="1"/>
      <w:numFmt w:val="decimal"/>
      <w:lvlText w:val="%1."/>
      <w:lvlJc w:val="left"/>
      <w:pPr>
        <w:ind w:left="714" w:hanging="357"/>
      </w:pPr>
      <w:rPr>
        <w:rFonts w:hint="default"/>
      </w:rPr>
    </w:lvl>
    <w:lvl w:ilvl="1">
      <w:start w:val="1"/>
      <w:numFmt w:val="decimal"/>
      <w:lvlText w:val="%2."/>
      <w:lvlJc w:val="left"/>
      <w:pPr>
        <w:ind w:left="714" w:hanging="357"/>
      </w:pPr>
      <w:rPr>
        <w:rFonts w:hint="default"/>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20" w15:restartNumberingAfterBreak="0">
    <w:nsid w:val="26387793"/>
    <w:multiLevelType w:val="multilevel"/>
    <w:tmpl w:val="574C7862"/>
    <w:lvl w:ilvl="0">
      <w:start w:val="1"/>
      <w:numFmt w:val="decimal"/>
      <w:lvlText w:val="%1."/>
      <w:lvlJc w:val="left"/>
      <w:pPr>
        <w:ind w:left="714" w:hanging="357"/>
      </w:pPr>
      <w:rPr>
        <w:rFonts w:hint="default"/>
      </w:rPr>
    </w:lvl>
    <w:lvl w:ilvl="1">
      <w:start w:val="1"/>
      <w:numFmt w:val="lowerLetter"/>
      <w:lvlText w:val="(%2)"/>
      <w:lvlJc w:val="left"/>
      <w:pPr>
        <w:ind w:left="714" w:hanging="357"/>
      </w:pPr>
      <w:rPr>
        <w:rFonts w:ascii="Times New Roman" w:eastAsia="Times New Roman" w:hAnsi="Times New Roman" w:cs="Times New Roman"/>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21" w15:restartNumberingAfterBreak="0">
    <w:nsid w:val="2C29681E"/>
    <w:multiLevelType w:val="multilevel"/>
    <w:tmpl w:val="1C52F916"/>
    <w:lvl w:ilvl="0">
      <w:start w:val="1"/>
      <w:numFmt w:val="decimal"/>
      <w:lvlText w:val="%1."/>
      <w:lvlJc w:val="left"/>
      <w:pPr>
        <w:ind w:left="714" w:hanging="357"/>
      </w:pPr>
      <w:rPr>
        <w:rFonts w:hint="default"/>
      </w:rPr>
    </w:lvl>
    <w:lvl w:ilvl="1">
      <w:start w:val="1"/>
      <w:numFmt w:val="lowerLetter"/>
      <w:lvlText w:val="(%2)"/>
      <w:lvlJc w:val="left"/>
      <w:pPr>
        <w:ind w:left="714" w:hanging="357"/>
      </w:pPr>
      <w:rPr>
        <w:rFonts w:ascii="Times New Roman" w:eastAsia="Times New Roman" w:hAnsi="Times New Roman" w:cs="Times New Roman"/>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22" w15:restartNumberingAfterBreak="0">
    <w:nsid w:val="2F3E25B0"/>
    <w:multiLevelType w:val="hybridMultilevel"/>
    <w:tmpl w:val="13BC8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3057CB8"/>
    <w:multiLevelType w:val="hybridMultilevel"/>
    <w:tmpl w:val="1BD64C78"/>
    <w:lvl w:ilvl="0" w:tplc="236EA62C">
      <w:start w:val="1"/>
      <w:numFmt w:val="decimal"/>
      <w:pStyle w:val="InstructionsText2"/>
      <w:lvlText w:val="%1."/>
      <w:lvlJc w:val="left"/>
      <w:pPr>
        <w:ind w:left="720" w:hanging="360"/>
      </w:pPr>
    </w:lvl>
    <w:lvl w:ilvl="1" w:tplc="DABE385E">
      <w:start w:val="1"/>
      <w:numFmt w:val="lowerRoman"/>
      <w:lvlText w:val="(%2)"/>
      <w:lvlJc w:val="left"/>
      <w:pPr>
        <w:tabs>
          <w:tab w:val="num" w:pos="1800"/>
        </w:tabs>
        <w:ind w:left="1800" w:hanging="720"/>
      </w:pPr>
      <w:rPr>
        <w:rFonts w:hint="default"/>
      </w:rPr>
    </w:lvl>
    <w:lvl w:ilvl="2" w:tplc="58287F7C">
      <w:start w:val="1"/>
      <w:numFmt w:val="lowerLetter"/>
      <w:lvlText w:val="(%3)"/>
      <w:lvlJc w:val="left"/>
      <w:pPr>
        <w:tabs>
          <w:tab w:val="num" w:pos="2340"/>
        </w:tabs>
        <w:ind w:left="2340" w:hanging="360"/>
      </w:pPr>
      <w:rPr>
        <w:rFonts w:hint="default"/>
      </w:r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24" w15:restartNumberingAfterBreak="0">
    <w:nsid w:val="35B81F9C"/>
    <w:multiLevelType w:val="multilevel"/>
    <w:tmpl w:val="D7BE5498"/>
    <w:lvl w:ilvl="0">
      <w:start w:val="1"/>
      <w:numFmt w:val="decimal"/>
      <w:lvlText w:val="%1."/>
      <w:lvlJc w:val="left"/>
      <w:pPr>
        <w:ind w:left="714" w:hanging="357"/>
      </w:pPr>
      <w:rPr>
        <w:rFonts w:hint="default"/>
      </w:rPr>
    </w:lvl>
    <w:lvl w:ilvl="1">
      <w:start w:val="1"/>
      <w:numFmt w:val="decimal"/>
      <w:lvlText w:val="%2."/>
      <w:lvlJc w:val="left"/>
      <w:pPr>
        <w:ind w:left="714" w:hanging="357"/>
      </w:pPr>
      <w:rPr>
        <w:rFonts w:hint="default"/>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25" w15:restartNumberingAfterBreak="0">
    <w:nsid w:val="45452DE3"/>
    <w:multiLevelType w:val="multilevel"/>
    <w:tmpl w:val="6D2CB84C"/>
    <w:lvl w:ilvl="0">
      <w:start w:val="1"/>
      <w:numFmt w:val="bullet"/>
      <w:lvlText w:val=""/>
      <w:lvlJc w:val="left"/>
      <w:pPr>
        <w:ind w:left="714"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26" w15:restartNumberingAfterBreak="0">
    <w:nsid w:val="4EE02518"/>
    <w:multiLevelType w:val="multilevel"/>
    <w:tmpl w:val="D7BE5498"/>
    <w:lvl w:ilvl="0">
      <w:start w:val="1"/>
      <w:numFmt w:val="decimal"/>
      <w:lvlText w:val="%1."/>
      <w:lvlJc w:val="left"/>
      <w:pPr>
        <w:ind w:left="714" w:hanging="357"/>
      </w:pPr>
      <w:rPr>
        <w:rFonts w:hint="default"/>
      </w:rPr>
    </w:lvl>
    <w:lvl w:ilvl="1">
      <w:start w:val="1"/>
      <w:numFmt w:val="decimal"/>
      <w:lvlText w:val="%2."/>
      <w:lvlJc w:val="left"/>
      <w:pPr>
        <w:ind w:left="714" w:hanging="357"/>
      </w:pPr>
      <w:rPr>
        <w:rFonts w:hint="default"/>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27" w15:restartNumberingAfterBreak="0">
    <w:nsid w:val="528A4FD9"/>
    <w:multiLevelType w:val="multilevel"/>
    <w:tmpl w:val="CF661F5E"/>
    <w:lvl w:ilvl="0">
      <w:start w:val="1"/>
      <w:numFmt w:val="decimal"/>
      <w:lvlText w:val="%1."/>
      <w:lvlJc w:val="left"/>
      <w:pPr>
        <w:ind w:left="714" w:hanging="357"/>
      </w:pPr>
      <w:rPr>
        <w:rFonts w:hint="default"/>
      </w:rPr>
    </w:lvl>
    <w:lvl w:ilvl="1">
      <w:start w:val="1"/>
      <w:numFmt w:val="bullet"/>
      <w:lvlText w:val=""/>
      <w:lvlJc w:val="left"/>
      <w:pPr>
        <w:ind w:left="714" w:hanging="357"/>
      </w:pPr>
      <w:rPr>
        <w:rFonts w:ascii="Symbol" w:hAnsi="Symbol" w:hint="default"/>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28" w15:restartNumberingAfterBreak="0">
    <w:nsid w:val="55AB371B"/>
    <w:multiLevelType w:val="multilevel"/>
    <w:tmpl w:val="D7BE5498"/>
    <w:lvl w:ilvl="0">
      <w:start w:val="1"/>
      <w:numFmt w:val="decimal"/>
      <w:lvlText w:val="%1."/>
      <w:lvlJc w:val="left"/>
      <w:pPr>
        <w:ind w:left="714" w:hanging="357"/>
      </w:pPr>
      <w:rPr>
        <w:rFonts w:hint="default"/>
      </w:rPr>
    </w:lvl>
    <w:lvl w:ilvl="1">
      <w:start w:val="1"/>
      <w:numFmt w:val="decimal"/>
      <w:lvlText w:val="%2."/>
      <w:lvlJc w:val="left"/>
      <w:pPr>
        <w:ind w:left="714" w:hanging="357"/>
      </w:pPr>
      <w:rPr>
        <w:rFonts w:hint="default"/>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29" w15:restartNumberingAfterBreak="0">
    <w:nsid w:val="62D85371"/>
    <w:multiLevelType w:val="hybridMultilevel"/>
    <w:tmpl w:val="B0E0EE44"/>
    <w:lvl w:ilvl="0" w:tplc="CD3AC596">
      <w:start w:val="1"/>
      <w:numFmt w:val="lowerLetter"/>
      <w:lvlText w:val="(%1)"/>
      <w:lvlJc w:val="left"/>
      <w:pPr>
        <w:ind w:left="1074" w:hanging="360"/>
      </w:pPr>
      <w:rPr>
        <w:rFonts w:hint="default"/>
      </w:r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0" w15:restartNumberingAfterBreak="0">
    <w:nsid w:val="64BE1E33"/>
    <w:multiLevelType w:val="multilevel"/>
    <w:tmpl w:val="D29C4EF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1" w15:restartNumberingAfterBreak="0">
    <w:nsid w:val="66CA2C8C"/>
    <w:multiLevelType w:val="hybridMultilevel"/>
    <w:tmpl w:val="5BF2CFE0"/>
    <w:lvl w:ilvl="0" w:tplc="4BB6D85C">
      <w:start w:val="1"/>
      <w:numFmt w:val="decimal"/>
      <w:pStyle w:val="Instructionsberschrift2"/>
      <w:lvlText w:val="%1.1"/>
      <w:lvlJc w:val="left"/>
      <w:pPr>
        <w:ind w:left="720" w:hanging="360"/>
      </w:pPr>
      <w:rPr>
        <w:rFonts w:hint="default"/>
      </w:rPr>
    </w:lvl>
    <w:lvl w:ilvl="1" w:tplc="E7565B6A">
      <w:start w:val="1"/>
      <w:numFmt w:val="lowerLetter"/>
      <w:lvlText w:val="%2."/>
      <w:lvlJc w:val="left"/>
      <w:pPr>
        <w:ind w:left="1440" w:hanging="360"/>
      </w:pPr>
    </w:lvl>
    <w:lvl w:ilvl="2" w:tplc="67A6A44A" w:tentative="1">
      <w:start w:val="1"/>
      <w:numFmt w:val="lowerRoman"/>
      <w:lvlText w:val="%3."/>
      <w:lvlJc w:val="right"/>
      <w:pPr>
        <w:ind w:left="2160" w:hanging="180"/>
      </w:pPr>
    </w:lvl>
    <w:lvl w:ilvl="3" w:tplc="21C6EF3C" w:tentative="1">
      <w:start w:val="1"/>
      <w:numFmt w:val="decimal"/>
      <w:lvlText w:val="%4."/>
      <w:lvlJc w:val="left"/>
      <w:pPr>
        <w:ind w:left="2880" w:hanging="360"/>
      </w:pPr>
    </w:lvl>
    <w:lvl w:ilvl="4" w:tplc="6C185750" w:tentative="1">
      <w:start w:val="1"/>
      <w:numFmt w:val="lowerLetter"/>
      <w:lvlText w:val="%5."/>
      <w:lvlJc w:val="left"/>
      <w:pPr>
        <w:ind w:left="3600" w:hanging="360"/>
      </w:pPr>
    </w:lvl>
    <w:lvl w:ilvl="5" w:tplc="FA46F0F4" w:tentative="1">
      <w:start w:val="1"/>
      <w:numFmt w:val="lowerRoman"/>
      <w:lvlText w:val="%6."/>
      <w:lvlJc w:val="right"/>
      <w:pPr>
        <w:ind w:left="4320" w:hanging="180"/>
      </w:pPr>
    </w:lvl>
    <w:lvl w:ilvl="6" w:tplc="84CCF45A" w:tentative="1">
      <w:start w:val="1"/>
      <w:numFmt w:val="decimal"/>
      <w:lvlText w:val="%7."/>
      <w:lvlJc w:val="left"/>
      <w:pPr>
        <w:ind w:left="5040" w:hanging="360"/>
      </w:pPr>
    </w:lvl>
    <w:lvl w:ilvl="7" w:tplc="E2FA2386" w:tentative="1">
      <w:start w:val="1"/>
      <w:numFmt w:val="lowerLetter"/>
      <w:lvlText w:val="%8."/>
      <w:lvlJc w:val="left"/>
      <w:pPr>
        <w:ind w:left="5760" w:hanging="360"/>
      </w:pPr>
    </w:lvl>
    <w:lvl w:ilvl="8" w:tplc="1E3AE066" w:tentative="1">
      <w:start w:val="1"/>
      <w:numFmt w:val="lowerRoman"/>
      <w:lvlText w:val="%9."/>
      <w:lvlJc w:val="right"/>
      <w:pPr>
        <w:ind w:left="6480" w:hanging="180"/>
      </w:pPr>
    </w:lvl>
  </w:abstractNum>
  <w:abstractNum w:abstractNumId="32" w15:restartNumberingAfterBreak="0">
    <w:nsid w:val="67917771"/>
    <w:multiLevelType w:val="multilevel"/>
    <w:tmpl w:val="C082CA12"/>
    <w:lvl w:ilvl="0">
      <w:start w:val="2"/>
      <w:numFmt w:val="decimal"/>
      <w:lvlText w:val="%1."/>
      <w:lvlJc w:val="left"/>
      <w:pPr>
        <w:ind w:left="714" w:hanging="357"/>
      </w:pPr>
      <w:rPr>
        <w:rFonts w:hint="default"/>
      </w:rPr>
    </w:lvl>
    <w:lvl w:ilvl="1">
      <w:start w:val="1"/>
      <w:numFmt w:val="lowerLetter"/>
      <w:lvlText w:val="(%2)"/>
      <w:lvlJc w:val="left"/>
      <w:pPr>
        <w:ind w:left="714" w:hanging="357"/>
      </w:pPr>
      <w:rPr>
        <w:rFonts w:ascii="Times New Roman" w:eastAsia="Times New Roman" w:hAnsi="Times New Roman" w:cs="Times New Roman" w:hint="default"/>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33" w15:restartNumberingAfterBreak="0">
    <w:nsid w:val="67E51AD2"/>
    <w:multiLevelType w:val="multilevel"/>
    <w:tmpl w:val="D7BE5498"/>
    <w:lvl w:ilvl="0">
      <w:start w:val="1"/>
      <w:numFmt w:val="decimal"/>
      <w:lvlText w:val="%1."/>
      <w:lvlJc w:val="left"/>
      <w:pPr>
        <w:ind w:left="714" w:hanging="357"/>
      </w:pPr>
      <w:rPr>
        <w:rFonts w:hint="default"/>
      </w:rPr>
    </w:lvl>
    <w:lvl w:ilvl="1">
      <w:start w:val="1"/>
      <w:numFmt w:val="decimal"/>
      <w:lvlText w:val="%2."/>
      <w:lvlJc w:val="left"/>
      <w:pPr>
        <w:ind w:left="714" w:hanging="357"/>
      </w:pPr>
      <w:rPr>
        <w:rFonts w:hint="default"/>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34" w15:restartNumberingAfterBreak="0">
    <w:nsid w:val="68E61726"/>
    <w:multiLevelType w:val="multilevel"/>
    <w:tmpl w:val="5D4CC18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17"/>
        </w:tabs>
        <w:ind w:left="717" w:hanging="360"/>
      </w:pPr>
      <w:rPr>
        <w:rFonts w:ascii="Times New Roman" w:eastAsia="Times New Roman" w:hAnsi="Times New Roman" w:cs="Times New Roman"/>
      </w:rPr>
    </w:lvl>
    <w:lvl w:ilvl="2">
      <w:start w:val="1"/>
      <w:numFmt w:val="lowerRoman"/>
      <w:lvlText w:val="(%3)"/>
      <w:lvlJc w:val="left"/>
      <w:pPr>
        <w:tabs>
          <w:tab w:val="num" w:pos="1434"/>
        </w:tabs>
        <w:ind w:left="1434" w:hanging="720"/>
      </w:pPr>
      <w:rPr>
        <w:rFonts w:ascii="Times New Roman" w:eastAsia="Times New Roman" w:hAnsi="Times New Roman" w:cs="Times New Roman"/>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148"/>
        </w:tabs>
        <w:ind w:left="2148" w:hanging="72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35" w15:restartNumberingAfterBreak="0">
    <w:nsid w:val="69C97FF4"/>
    <w:multiLevelType w:val="multilevel"/>
    <w:tmpl w:val="6504BD22"/>
    <w:lvl w:ilvl="0">
      <w:start w:val="1"/>
      <w:numFmt w:val="decimal"/>
      <w:lvlText w:val="%1."/>
      <w:lvlJc w:val="left"/>
      <w:pPr>
        <w:ind w:left="714" w:hanging="357"/>
      </w:pPr>
      <w:rPr>
        <w:rFonts w:hint="default"/>
      </w:rPr>
    </w:lvl>
    <w:lvl w:ilvl="1">
      <w:start w:val="1"/>
      <w:numFmt w:val="lowerLetter"/>
      <w:lvlText w:val="%2)"/>
      <w:lvlJc w:val="left"/>
      <w:pPr>
        <w:ind w:left="714" w:hanging="357"/>
      </w:p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36" w15:restartNumberingAfterBreak="0">
    <w:nsid w:val="73CB7C62"/>
    <w:multiLevelType w:val="multilevel"/>
    <w:tmpl w:val="1C28AC22"/>
    <w:lvl w:ilvl="0">
      <w:start w:val="1"/>
      <w:numFmt w:val="decimal"/>
      <w:lvlText w:val="%1."/>
      <w:lvlJc w:val="left"/>
      <w:pPr>
        <w:ind w:left="714" w:hanging="357"/>
      </w:pPr>
      <w:rPr>
        <w:rFonts w:hint="default"/>
      </w:rPr>
    </w:lvl>
    <w:lvl w:ilvl="1">
      <w:start w:val="1"/>
      <w:numFmt w:val="lowerLetter"/>
      <w:lvlText w:val="(%2)"/>
      <w:lvlJc w:val="left"/>
      <w:pPr>
        <w:ind w:left="714" w:hanging="357"/>
      </w:pPr>
      <w:rPr>
        <w:rFonts w:ascii="Times New Roman" w:eastAsia="Times New Roman" w:hAnsi="Times New Roman" w:cs="Times New Roman"/>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37" w15:restartNumberingAfterBreak="0">
    <w:nsid w:val="76DC309E"/>
    <w:multiLevelType w:val="multilevel"/>
    <w:tmpl w:val="9542A638"/>
    <w:lvl w:ilvl="0">
      <w:start w:val="1"/>
      <w:numFmt w:val="decimal"/>
      <w:lvlText w:val="%1."/>
      <w:lvlJc w:val="left"/>
      <w:pPr>
        <w:ind w:left="714" w:hanging="357"/>
      </w:pPr>
      <w:rPr>
        <w:rFonts w:hint="default"/>
      </w:rPr>
    </w:lvl>
    <w:lvl w:ilvl="1">
      <w:start w:val="1"/>
      <w:numFmt w:val="lowerLetter"/>
      <w:lvlText w:val="(%2)"/>
      <w:lvlJc w:val="left"/>
      <w:pPr>
        <w:ind w:left="714" w:hanging="357"/>
      </w:pPr>
      <w:rPr>
        <w:rFonts w:ascii="Times New Roman" w:eastAsia="Times New Roman" w:hAnsi="Times New Roman" w:cs="Times New Roman"/>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38" w15:restartNumberingAfterBreak="0">
    <w:nsid w:val="7970223E"/>
    <w:multiLevelType w:val="multilevel"/>
    <w:tmpl w:val="A9826576"/>
    <w:lvl w:ilvl="0">
      <w:start w:val="1"/>
      <w:numFmt w:val="decimal"/>
      <w:lvlText w:val="%1."/>
      <w:lvlJc w:val="left"/>
      <w:pPr>
        <w:ind w:left="714" w:hanging="357"/>
      </w:pPr>
      <w:rPr>
        <w:rFonts w:hint="default"/>
      </w:rPr>
    </w:lvl>
    <w:lvl w:ilvl="1">
      <w:start w:val="2"/>
      <w:numFmt w:val="decimal"/>
      <w:lvlText w:val="%2."/>
      <w:lvlJc w:val="left"/>
      <w:pPr>
        <w:ind w:left="714" w:hanging="357"/>
      </w:pPr>
      <w:rPr>
        <w:rFonts w:hint="default"/>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39" w15:restartNumberingAfterBreak="0">
    <w:nsid w:val="7F8E441D"/>
    <w:multiLevelType w:val="multilevel"/>
    <w:tmpl w:val="D7BE5498"/>
    <w:lvl w:ilvl="0">
      <w:start w:val="1"/>
      <w:numFmt w:val="decimal"/>
      <w:lvlText w:val="%1."/>
      <w:lvlJc w:val="left"/>
      <w:pPr>
        <w:ind w:left="714" w:hanging="357"/>
      </w:pPr>
      <w:rPr>
        <w:rFonts w:hint="default"/>
      </w:rPr>
    </w:lvl>
    <w:lvl w:ilvl="1">
      <w:start w:val="1"/>
      <w:numFmt w:val="decimal"/>
      <w:lvlText w:val="%2."/>
      <w:lvlJc w:val="left"/>
      <w:pPr>
        <w:ind w:left="714" w:hanging="357"/>
      </w:pPr>
      <w:rPr>
        <w:rFonts w:hint="default"/>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num w:numId="1">
    <w:abstractNumId w:val="31"/>
  </w:num>
  <w:num w:numId="2">
    <w:abstractNumId w:val="30"/>
  </w:num>
  <w:num w:numId="3">
    <w:abstractNumId w:val="23"/>
  </w:num>
  <w:num w:numId="4">
    <w:abstractNumId w:val="39"/>
  </w:num>
  <w:num w:numId="5">
    <w:abstractNumId w:val="37"/>
  </w:num>
  <w:num w:numId="6">
    <w:abstractNumId w:val="26"/>
  </w:num>
  <w:num w:numId="7">
    <w:abstractNumId w:val="13"/>
  </w:num>
  <w:num w:numId="8">
    <w:abstractNumId w:val="24"/>
  </w:num>
  <w:num w:numId="9">
    <w:abstractNumId w:val="20"/>
  </w:num>
  <w:num w:numId="10">
    <w:abstractNumId w:val="35"/>
  </w:num>
  <w:num w:numId="11">
    <w:abstractNumId w:val="27"/>
  </w:num>
  <w:num w:numId="12">
    <w:abstractNumId w:val="18"/>
  </w:num>
  <w:num w:numId="13">
    <w:abstractNumId w:val="21"/>
  </w:num>
  <w:num w:numId="14">
    <w:abstractNumId w:val="34"/>
  </w:num>
  <w:num w:numId="15">
    <w:abstractNumId w:val="12"/>
  </w:num>
  <w:num w:numId="16">
    <w:abstractNumId w:val="17"/>
  </w:num>
  <w:num w:numId="17">
    <w:abstractNumId w:val="29"/>
  </w:num>
  <w:num w:numId="18">
    <w:abstractNumId w:val="36"/>
  </w:num>
  <w:num w:numId="19">
    <w:abstractNumId w:val="38"/>
  </w:num>
  <w:num w:numId="20">
    <w:abstractNumId w:val="32"/>
  </w:num>
  <w:num w:numId="21">
    <w:abstractNumId w:val="33"/>
  </w:num>
  <w:num w:numId="22">
    <w:abstractNumId w:val="14"/>
  </w:num>
  <w:num w:numId="23">
    <w:abstractNumId w:val="22"/>
  </w:num>
  <w:num w:numId="24">
    <w:abstractNumId w:val="25"/>
  </w:num>
  <w:num w:numId="25">
    <w:abstractNumId w:val="23"/>
  </w:num>
  <w:num w:numId="26">
    <w:abstractNumId w:val="23"/>
  </w:num>
  <w:num w:numId="27">
    <w:abstractNumId w:val="23"/>
  </w:num>
  <w:num w:numId="28">
    <w:abstractNumId w:val="19"/>
  </w:num>
  <w:num w:numId="29">
    <w:abstractNumId w:val="28"/>
  </w:num>
  <w:num w:numId="30">
    <w:abstractNumId w:val="23"/>
  </w:num>
  <w:num w:numId="31">
    <w:abstractNumId w:val="11"/>
  </w:num>
  <w:num w:numId="32">
    <w:abstractNumId w:val="10"/>
  </w:num>
  <w:num w:numId="33">
    <w:abstractNumId w:val="16"/>
  </w:num>
  <w:num w:numId="34">
    <w:abstractNumId w:val="15"/>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8F90A0E3"/>
  </w:docVars>
  <w:rsids>
    <w:rsidRoot w:val="00D02FE4"/>
    <w:rsid w:val="00002404"/>
    <w:rsid w:val="00003323"/>
    <w:rsid w:val="00007D41"/>
    <w:rsid w:val="000109BC"/>
    <w:rsid w:val="0001172F"/>
    <w:rsid w:val="00016B30"/>
    <w:rsid w:val="00017710"/>
    <w:rsid w:val="000257D9"/>
    <w:rsid w:val="000275A3"/>
    <w:rsid w:val="00027E58"/>
    <w:rsid w:val="00032055"/>
    <w:rsid w:val="00032AC7"/>
    <w:rsid w:val="0003410D"/>
    <w:rsid w:val="000343B1"/>
    <w:rsid w:val="00036812"/>
    <w:rsid w:val="0004271F"/>
    <w:rsid w:val="00042E1E"/>
    <w:rsid w:val="000473FA"/>
    <w:rsid w:val="00047A6F"/>
    <w:rsid w:val="000502BD"/>
    <w:rsid w:val="0005060D"/>
    <w:rsid w:val="000517E1"/>
    <w:rsid w:val="0005230B"/>
    <w:rsid w:val="00055633"/>
    <w:rsid w:val="00055E1B"/>
    <w:rsid w:val="00060360"/>
    <w:rsid w:val="00060467"/>
    <w:rsid w:val="000617CC"/>
    <w:rsid w:val="00061951"/>
    <w:rsid w:val="000643F7"/>
    <w:rsid w:val="000761EA"/>
    <w:rsid w:val="00084050"/>
    <w:rsid w:val="0008780B"/>
    <w:rsid w:val="00093DE8"/>
    <w:rsid w:val="00094436"/>
    <w:rsid w:val="00095FE4"/>
    <w:rsid w:val="000A22EF"/>
    <w:rsid w:val="000A4E1D"/>
    <w:rsid w:val="000A676C"/>
    <w:rsid w:val="000A76B5"/>
    <w:rsid w:val="000B288B"/>
    <w:rsid w:val="000B2BA0"/>
    <w:rsid w:val="000B2DF2"/>
    <w:rsid w:val="000B45B9"/>
    <w:rsid w:val="000B4EA8"/>
    <w:rsid w:val="000B5A28"/>
    <w:rsid w:val="000B7D7C"/>
    <w:rsid w:val="000B7DC9"/>
    <w:rsid w:val="000C2E6E"/>
    <w:rsid w:val="000C3837"/>
    <w:rsid w:val="000C45A2"/>
    <w:rsid w:val="000D04E1"/>
    <w:rsid w:val="000D18F9"/>
    <w:rsid w:val="000D413D"/>
    <w:rsid w:val="000E01EA"/>
    <w:rsid w:val="000E16DD"/>
    <w:rsid w:val="000E2CA5"/>
    <w:rsid w:val="000E43D6"/>
    <w:rsid w:val="000E5F08"/>
    <w:rsid w:val="000F0DF9"/>
    <w:rsid w:val="000F32F6"/>
    <w:rsid w:val="00100F57"/>
    <w:rsid w:val="001020E8"/>
    <w:rsid w:val="00104F31"/>
    <w:rsid w:val="0011112D"/>
    <w:rsid w:val="001113B1"/>
    <w:rsid w:val="00111AD8"/>
    <w:rsid w:val="001126F1"/>
    <w:rsid w:val="001128AA"/>
    <w:rsid w:val="00112DBB"/>
    <w:rsid w:val="00121D11"/>
    <w:rsid w:val="00124814"/>
    <w:rsid w:val="0012571F"/>
    <w:rsid w:val="00126802"/>
    <w:rsid w:val="0013252E"/>
    <w:rsid w:val="0013515D"/>
    <w:rsid w:val="00143B75"/>
    <w:rsid w:val="00144FB8"/>
    <w:rsid w:val="001456E6"/>
    <w:rsid w:val="00147C46"/>
    <w:rsid w:val="001507A4"/>
    <w:rsid w:val="0015358C"/>
    <w:rsid w:val="00155567"/>
    <w:rsid w:val="0016014D"/>
    <w:rsid w:val="00162424"/>
    <w:rsid w:val="00167536"/>
    <w:rsid w:val="0017142A"/>
    <w:rsid w:val="00172727"/>
    <w:rsid w:val="001741B0"/>
    <w:rsid w:val="00174208"/>
    <w:rsid w:val="00174660"/>
    <w:rsid w:val="001754E1"/>
    <w:rsid w:val="00181260"/>
    <w:rsid w:val="00181A4F"/>
    <w:rsid w:val="001861B7"/>
    <w:rsid w:val="0019013A"/>
    <w:rsid w:val="001922E6"/>
    <w:rsid w:val="00193B6D"/>
    <w:rsid w:val="001A331C"/>
    <w:rsid w:val="001B36EE"/>
    <w:rsid w:val="001B5CC0"/>
    <w:rsid w:val="001B6D1B"/>
    <w:rsid w:val="001B7C2B"/>
    <w:rsid w:val="001C1BA1"/>
    <w:rsid w:val="001C4004"/>
    <w:rsid w:val="001D08C2"/>
    <w:rsid w:val="001D2E2C"/>
    <w:rsid w:val="001D37A9"/>
    <w:rsid w:val="001E385E"/>
    <w:rsid w:val="001F2B49"/>
    <w:rsid w:val="001F5BAD"/>
    <w:rsid w:val="001F6807"/>
    <w:rsid w:val="001F6D35"/>
    <w:rsid w:val="001F787F"/>
    <w:rsid w:val="001F7D9E"/>
    <w:rsid w:val="00203985"/>
    <w:rsid w:val="00206923"/>
    <w:rsid w:val="002113FD"/>
    <w:rsid w:val="00211C11"/>
    <w:rsid w:val="002126FB"/>
    <w:rsid w:val="00217076"/>
    <w:rsid w:val="002237BD"/>
    <w:rsid w:val="00223C2C"/>
    <w:rsid w:val="00223CEB"/>
    <w:rsid w:val="00224CAE"/>
    <w:rsid w:val="0023001A"/>
    <w:rsid w:val="002352E7"/>
    <w:rsid w:val="00235A84"/>
    <w:rsid w:val="00237D15"/>
    <w:rsid w:val="002403E3"/>
    <w:rsid w:val="00242FE4"/>
    <w:rsid w:val="00245F6F"/>
    <w:rsid w:val="00253D66"/>
    <w:rsid w:val="0026098F"/>
    <w:rsid w:val="00261CDD"/>
    <w:rsid w:val="00262B14"/>
    <w:rsid w:val="0026454F"/>
    <w:rsid w:val="00270986"/>
    <w:rsid w:val="002717D7"/>
    <w:rsid w:val="00271F35"/>
    <w:rsid w:val="00274077"/>
    <w:rsid w:val="00274EE9"/>
    <w:rsid w:val="00275B8D"/>
    <w:rsid w:val="0027642B"/>
    <w:rsid w:val="0027646A"/>
    <w:rsid w:val="002812E3"/>
    <w:rsid w:val="00287BD7"/>
    <w:rsid w:val="0029485D"/>
    <w:rsid w:val="00294CE9"/>
    <w:rsid w:val="00296254"/>
    <w:rsid w:val="002A1620"/>
    <w:rsid w:val="002A24DB"/>
    <w:rsid w:val="002A575B"/>
    <w:rsid w:val="002A71AB"/>
    <w:rsid w:val="002A7582"/>
    <w:rsid w:val="002B09BC"/>
    <w:rsid w:val="002B49E8"/>
    <w:rsid w:val="002B660B"/>
    <w:rsid w:val="002C0AF3"/>
    <w:rsid w:val="002C0F1A"/>
    <w:rsid w:val="002C154A"/>
    <w:rsid w:val="002C34E6"/>
    <w:rsid w:val="002C5557"/>
    <w:rsid w:val="002D6BD8"/>
    <w:rsid w:val="002E06C8"/>
    <w:rsid w:val="002E0FBD"/>
    <w:rsid w:val="002E2F93"/>
    <w:rsid w:val="002F687B"/>
    <w:rsid w:val="00301708"/>
    <w:rsid w:val="00304092"/>
    <w:rsid w:val="003040AA"/>
    <w:rsid w:val="00307FD5"/>
    <w:rsid w:val="00313B00"/>
    <w:rsid w:val="00314E4D"/>
    <w:rsid w:val="00315C5E"/>
    <w:rsid w:val="00317DC4"/>
    <w:rsid w:val="00324A53"/>
    <w:rsid w:val="00325582"/>
    <w:rsid w:val="00327A13"/>
    <w:rsid w:val="00331993"/>
    <w:rsid w:val="0033279C"/>
    <w:rsid w:val="00335372"/>
    <w:rsid w:val="003354A5"/>
    <w:rsid w:val="00340393"/>
    <w:rsid w:val="003412B3"/>
    <w:rsid w:val="00341376"/>
    <w:rsid w:val="003439C5"/>
    <w:rsid w:val="00344C22"/>
    <w:rsid w:val="00350137"/>
    <w:rsid w:val="0035239A"/>
    <w:rsid w:val="00366EC4"/>
    <w:rsid w:val="003719B4"/>
    <w:rsid w:val="00380C76"/>
    <w:rsid w:val="00381264"/>
    <w:rsid w:val="00381AA0"/>
    <w:rsid w:val="00385DC8"/>
    <w:rsid w:val="0038768C"/>
    <w:rsid w:val="00391740"/>
    <w:rsid w:val="00391D31"/>
    <w:rsid w:val="00392C32"/>
    <w:rsid w:val="00397ABE"/>
    <w:rsid w:val="003A0314"/>
    <w:rsid w:val="003A05A8"/>
    <w:rsid w:val="003A0D73"/>
    <w:rsid w:val="003A1E85"/>
    <w:rsid w:val="003A2647"/>
    <w:rsid w:val="003A3AA0"/>
    <w:rsid w:val="003A4AA3"/>
    <w:rsid w:val="003A7E7D"/>
    <w:rsid w:val="003B2555"/>
    <w:rsid w:val="003B4362"/>
    <w:rsid w:val="003B54AC"/>
    <w:rsid w:val="003B5902"/>
    <w:rsid w:val="003B5E4E"/>
    <w:rsid w:val="003B5F96"/>
    <w:rsid w:val="003B7F4E"/>
    <w:rsid w:val="003C1F55"/>
    <w:rsid w:val="003C64F7"/>
    <w:rsid w:val="003C6A18"/>
    <w:rsid w:val="003D0976"/>
    <w:rsid w:val="003D2C8A"/>
    <w:rsid w:val="003D2F58"/>
    <w:rsid w:val="003D41F7"/>
    <w:rsid w:val="003D627C"/>
    <w:rsid w:val="003D6D3D"/>
    <w:rsid w:val="003E009D"/>
    <w:rsid w:val="003E371A"/>
    <w:rsid w:val="003E50B7"/>
    <w:rsid w:val="003F0706"/>
    <w:rsid w:val="003F09BA"/>
    <w:rsid w:val="003F1434"/>
    <w:rsid w:val="003F1446"/>
    <w:rsid w:val="003F37A5"/>
    <w:rsid w:val="003F3ABA"/>
    <w:rsid w:val="003F5D4F"/>
    <w:rsid w:val="00402D60"/>
    <w:rsid w:val="004072AF"/>
    <w:rsid w:val="004127AC"/>
    <w:rsid w:val="00416255"/>
    <w:rsid w:val="004173CF"/>
    <w:rsid w:val="00422131"/>
    <w:rsid w:val="00425AFD"/>
    <w:rsid w:val="0043033C"/>
    <w:rsid w:val="00432D9F"/>
    <w:rsid w:val="004359C5"/>
    <w:rsid w:val="00436A29"/>
    <w:rsid w:val="004379DA"/>
    <w:rsid w:val="00440C0A"/>
    <w:rsid w:val="00441A60"/>
    <w:rsid w:val="00445D5F"/>
    <w:rsid w:val="00455812"/>
    <w:rsid w:val="00455BBB"/>
    <w:rsid w:val="00455CE5"/>
    <w:rsid w:val="0046083F"/>
    <w:rsid w:val="004624E7"/>
    <w:rsid w:val="00462B4D"/>
    <w:rsid w:val="0046736B"/>
    <w:rsid w:val="00470033"/>
    <w:rsid w:val="00472557"/>
    <w:rsid w:val="00473407"/>
    <w:rsid w:val="004748D6"/>
    <w:rsid w:val="00476314"/>
    <w:rsid w:val="00476C32"/>
    <w:rsid w:val="00477625"/>
    <w:rsid w:val="00481BB2"/>
    <w:rsid w:val="00486752"/>
    <w:rsid w:val="00487DD3"/>
    <w:rsid w:val="00490B62"/>
    <w:rsid w:val="00493BAC"/>
    <w:rsid w:val="00495614"/>
    <w:rsid w:val="004963F1"/>
    <w:rsid w:val="00497AF4"/>
    <w:rsid w:val="004A3BCA"/>
    <w:rsid w:val="004A3C6D"/>
    <w:rsid w:val="004A584F"/>
    <w:rsid w:val="004A5A92"/>
    <w:rsid w:val="004A6491"/>
    <w:rsid w:val="004B0626"/>
    <w:rsid w:val="004B0B5A"/>
    <w:rsid w:val="004B0C66"/>
    <w:rsid w:val="004B11F8"/>
    <w:rsid w:val="004B1998"/>
    <w:rsid w:val="004B3AC2"/>
    <w:rsid w:val="004B4004"/>
    <w:rsid w:val="004B4083"/>
    <w:rsid w:val="004B5FB9"/>
    <w:rsid w:val="004B7BE6"/>
    <w:rsid w:val="004C07D7"/>
    <w:rsid w:val="004C2178"/>
    <w:rsid w:val="004C3B19"/>
    <w:rsid w:val="004C3E5C"/>
    <w:rsid w:val="004C6B4F"/>
    <w:rsid w:val="004C7F74"/>
    <w:rsid w:val="004D0CA9"/>
    <w:rsid w:val="004D32CD"/>
    <w:rsid w:val="004D4244"/>
    <w:rsid w:val="004D51D0"/>
    <w:rsid w:val="004E185F"/>
    <w:rsid w:val="004E23F1"/>
    <w:rsid w:val="004E36B0"/>
    <w:rsid w:val="004E79EF"/>
    <w:rsid w:val="004F085D"/>
    <w:rsid w:val="004F50F4"/>
    <w:rsid w:val="004F6C3F"/>
    <w:rsid w:val="00500809"/>
    <w:rsid w:val="0050144D"/>
    <w:rsid w:val="00502876"/>
    <w:rsid w:val="005048E9"/>
    <w:rsid w:val="0050708F"/>
    <w:rsid w:val="00510426"/>
    <w:rsid w:val="00510487"/>
    <w:rsid w:val="00516E8A"/>
    <w:rsid w:val="00516EE0"/>
    <w:rsid w:val="0052095B"/>
    <w:rsid w:val="0052128F"/>
    <w:rsid w:val="005222CE"/>
    <w:rsid w:val="005237F1"/>
    <w:rsid w:val="005277AA"/>
    <w:rsid w:val="00530802"/>
    <w:rsid w:val="00534094"/>
    <w:rsid w:val="00540C96"/>
    <w:rsid w:val="00544A62"/>
    <w:rsid w:val="005537CE"/>
    <w:rsid w:val="00556DCD"/>
    <w:rsid w:val="00557135"/>
    <w:rsid w:val="00561DD9"/>
    <w:rsid w:val="00564FAC"/>
    <w:rsid w:val="00565D1E"/>
    <w:rsid w:val="00566674"/>
    <w:rsid w:val="00571F2D"/>
    <w:rsid w:val="00572C94"/>
    <w:rsid w:val="00574D81"/>
    <w:rsid w:val="00576AAA"/>
    <w:rsid w:val="0057741E"/>
    <w:rsid w:val="005815BE"/>
    <w:rsid w:val="005816E8"/>
    <w:rsid w:val="00584AF0"/>
    <w:rsid w:val="00584B70"/>
    <w:rsid w:val="00584FCE"/>
    <w:rsid w:val="00585C03"/>
    <w:rsid w:val="005870D3"/>
    <w:rsid w:val="005873D9"/>
    <w:rsid w:val="00590EE7"/>
    <w:rsid w:val="005923E9"/>
    <w:rsid w:val="005A1A44"/>
    <w:rsid w:val="005A40BE"/>
    <w:rsid w:val="005A6A8A"/>
    <w:rsid w:val="005B086D"/>
    <w:rsid w:val="005B0C3C"/>
    <w:rsid w:val="005B3F16"/>
    <w:rsid w:val="005B47BD"/>
    <w:rsid w:val="005B58D2"/>
    <w:rsid w:val="005B6F53"/>
    <w:rsid w:val="005C0634"/>
    <w:rsid w:val="005C26CD"/>
    <w:rsid w:val="005C49A7"/>
    <w:rsid w:val="005D249C"/>
    <w:rsid w:val="005D3964"/>
    <w:rsid w:val="005D5337"/>
    <w:rsid w:val="005D5C0B"/>
    <w:rsid w:val="005E07FE"/>
    <w:rsid w:val="005E3727"/>
    <w:rsid w:val="005E4F4B"/>
    <w:rsid w:val="005E6140"/>
    <w:rsid w:val="005E6B42"/>
    <w:rsid w:val="005E719C"/>
    <w:rsid w:val="005E7F28"/>
    <w:rsid w:val="005F15EF"/>
    <w:rsid w:val="005F3E51"/>
    <w:rsid w:val="005F4FE0"/>
    <w:rsid w:val="006000AE"/>
    <w:rsid w:val="006000DF"/>
    <w:rsid w:val="00600B36"/>
    <w:rsid w:val="006044FF"/>
    <w:rsid w:val="00606AA5"/>
    <w:rsid w:val="00607141"/>
    <w:rsid w:val="00610C25"/>
    <w:rsid w:val="00611852"/>
    <w:rsid w:val="0061365F"/>
    <w:rsid w:val="00613F86"/>
    <w:rsid w:val="00613FC0"/>
    <w:rsid w:val="00615E05"/>
    <w:rsid w:val="00616BFA"/>
    <w:rsid w:val="00616D31"/>
    <w:rsid w:val="0062073A"/>
    <w:rsid w:val="006242C9"/>
    <w:rsid w:val="00633228"/>
    <w:rsid w:val="006339CC"/>
    <w:rsid w:val="00633C7F"/>
    <w:rsid w:val="00635DC7"/>
    <w:rsid w:val="00636713"/>
    <w:rsid w:val="00640F5C"/>
    <w:rsid w:val="0064308D"/>
    <w:rsid w:val="006508B3"/>
    <w:rsid w:val="00652C73"/>
    <w:rsid w:val="00652D30"/>
    <w:rsid w:val="00657CA9"/>
    <w:rsid w:val="006624FA"/>
    <w:rsid w:val="00665B17"/>
    <w:rsid w:val="006661EC"/>
    <w:rsid w:val="00667FEE"/>
    <w:rsid w:val="0067111B"/>
    <w:rsid w:val="00671D57"/>
    <w:rsid w:val="00672AAC"/>
    <w:rsid w:val="006761DC"/>
    <w:rsid w:val="00680C97"/>
    <w:rsid w:val="00681960"/>
    <w:rsid w:val="00683C2D"/>
    <w:rsid w:val="00684947"/>
    <w:rsid w:val="00684EB5"/>
    <w:rsid w:val="00685C79"/>
    <w:rsid w:val="00687C6A"/>
    <w:rsid w:val="006935AA"/>
    <w:rsid w:val="006942B2"/>
    <w:rsid w:val="00696661"/>
    <w:rsid w:val="006A0084"/>
    <w:rsid w:val="006A0264"/>
    <w:rsid w:val="006A5806"/>
    <w:rsid w:val="006A7234"/>
    <w:rsid w:val="006B2EB0"/>
    <w:rsid w:val="006B3AAE"/>
    <w:rsid w:val="006B55D9"/>
    <w:rsid w:val="006C1A6F"/>
    <w:rsid w:val="006C4D88"/>
    <w:rsid w:val="006C6F24"/>
    <w:rsid w:val="006D1965"/>
    <w:rsid w:val="006D7758"/>
    <w:rsid w:val="006D7E61"/>
    <w:rsid w:val="006E1314"/>
    <w:rsid w:val="006E4C0A"/>
    <w:rsid w:val="006E50C4"/>
    <w:rsid w:val="006E6767"/>
    <w:rsid w:val="006F59C7"/>
    <w:rsid w:val="006F5ADF"/>
    <w:rsid w:val="006F651B"/>
    <w:rsid w:val="007031DF"/>
    <w:rsid w:val="00705BE3"/>
    <w:rsid w:val="007074DB"/>
    <w:rsid w:val="007103AD"/>
    <w:rsid w:val="00711871"/>
    <w:rsid w:val="00712B67"/>
    <w:rsid w:val="00714B02"/>
    <w:rsid w:val="007201EC"/>
    <w:rsid w:val="00723CCD"/>
    <w:rsid w:val="00727410"/>
    <w:rsid w:val="00734B04"/>
    <w:rsid w:val="007352EA"/>
    <w:rsid w:val="007359FE"/>
    <w:rsid w:val="00735EFC"/>
    <w:rsid w:val="007363DF"/>
    <w:rsid w:val="00737FA8"/>
    <w:rsid w:val="007462FE"/>
    <w:rsid w:val="00751C9B"/>
    <w:rsid w:val="0075288E"/>
    <w:rsid w:val="0075488E"/>
    <w:rsid w:val="00754ADB"/>
    <w:rsid w:val="007566B5"/>
    <w:rsid w:val="00756AD5"/>
    <w:rsid w:val="00763448"/>
    <w:rsid w:val="007672C3"/>
    <w:rsid w:val="0077329F"/>
    <w:rsid w:val="00775422"/>
    <w:rsid w:val="00775828"/>
    <w:rsid w:val="00775F73"/>
    <w:rsid w:val="007764E5"/>
    <w:rsid w:val="007778A0"/>
    <w:rsid w:val="0077793E"/>
    <w:rsid w:val="00780636"/>
    <w:rsid w:val="007809C6"/>
    <w:rsid w:val="007823C2"/>
    <w:rsid w:val="00783120"/>
    <w:rsid w:val="00783AE6"/>
    <w:rsid w:val="00784AE2"/>
    <w:rsid w:val="00784C4E"/>
    <w:rsid w:val="00786634"/>
    <w:rsid w:val="00792387"/>
    <w:rsid w:val="00792E65"/>
    <w:rsid w:val="00795808"/>
    <w:rsid w:val="00795B89"/>
    <w:rsid w:val="007A3F5F"/>
    <w:rsid w:val="007A5E1D"/>
    <w:rsid w:val="007A6BC6"/>
    <w:rsid w:val="007B18A5"/>
    <w:rsid w:val="007B1E78"/>
    <w:rsid w:val="007B1FAA"/>
    <w:rsid w:val="007B5DF6"/>
    <w:rsid w:val="007B6E8C"/>
    <w:rsid w:val="007C1380"/>
    <w:rsid w:val="007C2CF7"/>
    <w:rsid w:val="007C6B89"/>
    <w:rsid w:val="007D3E81"/>
    <w:rsid w:val="007D7732"/>
    <w:rsid w:val="007E0FDF"/>
    <w:rsid w:val="007E1D00"/>
    <w:rsid w:val="007E35CC"/>
    <w:rsid w:val="007E4564"/>
    <w:rsid w:val="007E45CF"/>
    <w:rsid w:val="007E5FBD"/>
    <w:rsid w:val="007E60E5"/>
    <w:rsid w:val="007F1A5A"/>
    <w:rsid w:val="007F2A5B"/>
    <w:rsid w:val="007F5684"/>
    <w:rsid w:val="0080226A"/>
    <w:rsid w:val="0081105A"/>
    <w:rsid w:val="00811DBC"/>
    <w:rsid w:val="00811F18"/>
    <w:rsid w:val="00822C02"/>
    <w:rsid w:val="00822CBC"/>
    <w:rsid w:val="0082643B"/>
    <w:rsid w:val="00830614"/>
    <w:rsid w:val="00830C80"/>
    <w:rsid w:val="00831507"/>
    <w:rsid w:val="0083376D"/>
    <w:rsid w:val="00834FEF"/>
    <w:rsid w:val="0084065D"/>
    <w:rsid w:val="008450BB"/>
    <w:rsid w:val="00845767"/>
    <w:rsid w:val="00847047"/>
    <w:rsid w:val="00847872"/>
    <w:rsid w:val="008509FB"/>
    <w:rsid w:val="00850B28"/>
    <w:rsid w:val="008533BA"/>
    <w:rsid w:val="00853590"/>
    <w:rsid w:val="0085361D"/>
    <w:rsid w:val="008563C0"/>
    <w:rsid w:val="00856DF7"/>
    <w:rsid w:val="008572F0"/>
    <w:rsid w:val="00860F92"/>
    <w:rsid w:val="00861C38"/>
    <w:rsid w:val="00861F0B"/>
    <w:rsid w:val="00874AD1"/>
    <w:rsid w:val="0087541C"/>
    <w:rsid w:val="008805C2"/>
    <w:rsid w:val="00882C3B"/>
    <w:rsid w:val="008866F8"/>
    <w:rsid w:val="008914E0"/>
    <w:rsid w:val="00895D8D"/>
    <w:rsid w:val="008A2179"/>
    <w:rsid w:val="008A3AEA"/>
    <w:rsid w:val="008A5A8E"/>
    <w:rsid w:val="008A6BEE"/>
    <w:rsid w:val="008A6DB0"/>
    <w:rsid w:val="008A7BBD"/>
    <w:rsid w:val="008B0FFF"/>
    <w:rsid w:val="008B5E16"/>
    <w:rsid w:val="008B6F84"/>
    <w:rsid w:val="008C0684"/>
    <w:rsid w:val="008C1765"/>
    <w:rsid w:val="008C2A4F"/>
    <w:rsid w:val="008C5FE9"/>
    <w:rsid w:val="008C6044"/>
    <w:rsid w:val="008C6E36"/>
    <w:rsid w:val="008C7508"/>
    <w:rsid w:val="008D06D7"/>
    <w:rsid w:val="008E0EF1"/>
    <w:rsid w:val="008E1558"/>
    <w:rsid w:val="008E1DE8"/>
    <w:rsid w:val="008E246F"/>
    <w:rsid w:val="008E6F7E"/>
    <w:rsid w:val="008E720B"/>
    <w:rsid w:val="008F1100"/>
    <w:rsid w:val="008F713F"/>
    <w:rsid w:val="008F741B"/>
    <w:rsid w:val="009032C6"/>
    <w:rsid w:val="009033C4"/>
    <w:rsid w:val="00903920"/>
    <w:rsid w:val="00905BEA"/>
    <w:rsid w:val="009077D3"/>
    <w:rsid w:val="00915FB9"/>
    <w:rsid w:val="00917EBF"/>
    <w:rsid w:val="00923DAF"/>
    <w:rsid w:val="00924773"/>
    <w:rsid w:val="00927DCB"/>
    <w:rsid w:val="0093588E"/>
    <w:rsid w:val="009406E9"/>
    <w:rsid w:val="00941293"/>
    <w:rsid w:val="00942656"/>
    <w:rsid w:val="009439F8"/>
    <w:rsid w:val="0094416B"/>
    <w:rsid w:val="0095349A"/>
    <w:rsid w:val="00953ED6"/>
    <w:rsid w:val="00967FEB"/>
    <w:rsid w:val="009716FC"/>
    <w:rsid w:val="00973AB9"/>
    <w:rsid w:val="00980392"/>
    <w:rsid w:val="00984332"/>
    <w:rsid w:val="00984E98"/>
    <w:rsid w:val="009858E2"/>
    <w:rsid w:val="00993639"/>
    <w:rsid w:val="00993FD7"/>
    <w:rsid w:val="00996171"/>
    <w:rsid w:val="00997FF8"/>
    <w:rsid w:val="009A007E"/>
    <w:rsid w:val="009A1AF1"/>
    <w:rsid w:val="009A1C01"/>
    <w:rsid w:val="009A329A"/>
    <w:rsid w:val="009A3908"/>
    <w:rsid w:val="009A3C44"/>
    <w:rsid w:val="009A6003"/>
    <w:rsid w:val="009A7D3C"/>
    <w:rsid w:val="009B3023"/>
    <w:rsid w:val="009B6ECF"/>
    <w:rsid w:val="009C0493"/>
    <w:rsid w:val="009C059B"/>
    <w:rsid w:val="009C1A02"/>
    <w:rsid w:val="009C2EFD"/>
    <w:rsid w:val="009C7466"/>
    <w:rsid w:val="009D10DD"/>
    <w:rsid w:val="009D253B"/>
    <w:rsid w:val="009D3AC9"/>
    <w:rsid w:val="009D4C95"/>
    <w:rsid w:val="009E271C"/>
    <w:rsid w:val="009E3431"/>
    <w:rsid w:val="009E68DD"/>
    <w:rsid w:val="009E6B2D"/>
    <w:rsid w:val="009F10A9"/>
    <w:rsid w:val="00A007A8"/>
    <w:rsid w:val="00A03A3D"/>
    <w:rsid w:val="00A047C0"/>
    <w:rsid w:val="00A05C63"/>
    <w:rsid w:val="00A101DF"/>
    <w:rsid w:val="00A11BBD"/>
    <w:rsid w:val="00A12862"/>
    <w:rsid w:val="00A14235"/>
    <w:rsid w:val="00A156BF"/>
    <w:rsid w:val="00A16318"/>
    <w:rsid w:val="00A170B7"/>
    <w:rsid w:val="00A17921"/>
    <w:rsid w:val="00A20F92"/>
    <w:rsid w:val="00A211F3"/>
    <w:rsid w:val="00A22B53"/>
    <w:rsid w:val="00A344AA"/>
    <w:rsid w:val="00A34A28"/>
    <w:rsid w:val="00A366AF"/>
    <w:rsid w:val="00A37110"/>
    <w:rsid w:val="00A37629"/>
    <w:rsid w:val="00A4093C"/>
    <w:rsid w:val="00A41693"/>
    <w:rsid w:val="00A422D1"/>
    <w:rsid w:val="00A439AE"/>
    <w:rsid w:val="00A45DCF"/>
    <w:rsid w:val="00A4773A"/>
    <w:rsid w:val="00A50B28"/>
    <w:rsid w:val="00A51CE6"/>
    <w:rsid w:val="00A52505"/>
    <w:rsid w:val="00A56552"/>
    <w:rsid w:val="00A6082D"/>
    <w:rsid w:val="00A70F42"/>
    <w:rsid w:val="00A73C82"/>
    <w:rsid w:val="00A7682F"/>
    <w:rsid w:val="00A7751A"/>
    <w:rsid w:val="00A84FD7"/>
    <w:rsid w:val="00A85919"/>
    <w:rsid w:val="00A86077"/>
    <w:rsid w:val="00A862BD"/>
    <w:rsid w:val="00A86C96"/>
    <w:rsid w:val="00A92645"/>
    <w:rsid w:val="00A93596"/>
    <w:rsid w:val="00A94567"/>
    <w:rsid w:val="00A97E02"/>
    <w:rsid w:val="00AA1DF6"/>
    <w:rsid w:val="00AA444D"/>
    <w:rsid w:val="00AB115A"/>
    <w:rsid w:val="00AB3F48"/>
    <w:rsid w:val="00AB511C"/>
    <w:rsid w:val="00AB5368"/>
    <w:rsid w:val="00AB571E"/>
    <w:rsid w:val="00AB5B18"/>
    <w:rsid w:val="00AC0317"/>
    <w:rsid w:val="00AC22EE"/>
    <w:rsid w:val="00AC39DB"/>
    <w:rsid w:val="00AC3BFE"/>
    <w:rsid w:val="00AC4973"/>
    <w:rsid w:val="00AC59C8"/>
    <w:rsid w:val="00AC71EB"/>
    <w:rsid w:val="00AD2381"/>
    <w:rsid w:val="00AD3ACF"/>
    <w:rsid w:val="00AE0498"/>
    <w:rsid w:val="00AE1776"/>
    <w:rsid w:val="00AE4DC6"/>
    <w:rsid w:val="00AE57CE"/>
    <w:rsid w:val="00AE6A00"/>
    <w:rsid w:val="00AE6CE2"/>
    <w:rsid w:val="00AE7A7C"/>
    <w:rsid w:val="00AF1439"/>
    <w:rsid w:val="00AF270F"/>
    <w:rsid w:val="00AF49BE"/>
    <w:rsid w:val="00B004BB"/>
    <w:rsid w:val="00B00D6E"/>
    <w:rsid w:val="00B01BCD"/>
    <w:rsid w:val="00B0397B"/>
    <w:rsid w:val="00B05DAC"/>
    <w:rsid w:val="00B06740"/>
    <w:rsid w:val="00B115F0"/>
    <w:rsid w:val="00B15576"/>
    <w:rsid w:val="00B25A1B"/>
    <w:rsid w:val="00B25A8F"/>
    <w:rsid w:val="00B261DB"/>
    <w:rsid w:val="00B27433"/>
    <w:rsid w:val="00B35074"/>
    <w:rsid w:val="00B36E31"/>
    <w:rsid w:val="00B37656"/>
    <w:rsid w:val="00B4190D"/>
    <w:rsid w:val="00B42977"/>
    <w:rsid w:val="00B438C1"/>
    <w:rsid w:val="00B44BEB"/>
    <w:rsid w:val="00B46A1C"/>
    <w:rsid w:val="00B47B29"/>
    <w:rsid w:val="00B5260F"/>
    <w:rsid w:val="00B53634"/>
    <w:rsid w:val="00B53EFA"/>
    <w:rsid w:val="00B61B93"/>
    <w:rsid w:val="00B664FB"/>
    <w:rsid w:val="00B7256A"/>
    <w:rsid w:val="00B75B03"/>
    <w:rsid w:val="00B77BC1"/>
    <w:rsid w:val="00B80BC8"/>
    <w:rsid w:val="00B83A09"/>
    <w:rsid w:val="00B83BF9"/>
    <w:rsid w:val="00B8464D"/>
    <w:rsid w:val="00B86EF3"/>
    <w:rsid w:val="00B8775C"/>
    <w:rsid w:val="00B90134"/>
    <w:rsid w:val="00B91AC8"/>
    <w:rsid w:val="00B96CA8"/>
    <w:rsid w:val="00B96DDB"/>
    <w:rsid w:val="00BA7966"/>
    <w:rsid w:val="00BB076A"/>
    <w:rsid w:val="00BB3757"/>
    <w:rsid w:val="00BB59F4"/>
    <w:rsid w:val="00BC7B32"/>
    <w:rsid w:val="00BD24C1"/>
    <w:rsid w:val="00BD5CAC"/>
    <w:rsid w:val="00BF17A2"/>
    <w:rsid w:val="00BF1FBB"/>
    <w:rsid w:val="00BF2952"/>
    <w:rsid w:val="00BF3AAF"/>
    <w:rsid w:val="00BF7037"/>
    <w:rsid w:val="00C0050B"/>
    <w:rsid w:val="00C079B7"/>
    <w:rsid w:val="00C116F4"/>
    <w:rsid w:val="00C13077"/>
    <w:rsid w:val="00C14248"/>
    <w:rsid w:val="00C20ADC"/>
    <w:rsid w:val="00C21AFF"/>
    <w:rsid w:val="00C30367"/>
    <w:rsid w:val="00C31512"/>
    <w:rsid w:val="00C32630"/>
    <w:rsid w:val="00C334A1"/>
    <w:rsid w:val="00C40DC8"/>
    <w:rsid w:val="00C41BF6"/>
    <w:rsid w:val="00C420BC"/>
    <w:rsid w:val="00C439B6"/>
    <w:rsid w:val="00C43AE5"/>
    <w:rsid w:val="00C4472D"/>
    <w:rsid w:val="00C549F7"/>
    <w:rsid w:val="00C56B32"/>
    <w:rsid w:val="00C633BF"/>
    <w:rsid w:val="00C649CE"/>
    <w:rsid w:val="00C64C94"/>
    <w:rsid w:val="00C65E28"/>
    <w:rsid w:val="00C663BC"/>
    <w:rsid w:val="00C667B4"/>
    <w:rsid w:val="00C70407"/>
    <w:rsid w:val="00C70A5E"/>
    <w:rsid w:val="00C75284"/>
    <w:rsid w:val="00C7615B"/>
    <w:rsid w:val="00C81E99"/>
    <w:rsid w:val="00C84012"/>
    <w:rsid w:val="00C854E6"/>
    <w:rsid w:val="00C85FA6"/>
    <w:rsid w:val="00C90DF5"/>
    <w:rsid w:val="00C93CDB"/>
    <w:rsid w:val="00CA22C7"/>
    <w:rsid w:val="00CA44A9"/>
    <w:rsid w:val="00CB458B"/>
    <w:rsid w:val="00CB4B2D"/>
    <w:rsid w:val="00CB5391"/>
    <w:rsid w:val="00CC075F"/>
    <w:rsid w:val="00CC3091"/>
    <w:rsid w:val="00CC4622"/>
    <w:rsid w:val="00CC4773"/>
    <w:rsid w:val="00CC5F0C"/>
    <w:rsid w:val="00CC72E1"/>
    <w:rsid w:val="00CD0CF5"/>
    <w:rsid w:val="00CD20D9"/>
    <w:rsid w:val="00CD37EB"/>
    <w:rsid w:val="00CD413A"/>
    <w:rsid w:val="00CD5D3A"/>
    <w:rsid w:val="00CD6485"/>
    <w:rsid w:val="00CD7B74"/>
    <w:rsid w:val="00CD7EDA"/>
    <w:rsid w:val="00CE0E41"/>
    <w:rsid w:val="00CE333E"/>
    <w:rsid w:val="00CE34DF"/>
    <w:rsid w:val="00CE3BDB"/>
    <w:rsid w:val="00CE420B"/>
    <w:rsid w:val="00CE49E3"/>
    <w:rsid w:val="00CF0055"/>
    <w:rsid w:val="00CF04F0"/>
    <w:rsid w:val="00CF3ECE"/>
    <w:rsid w:val="00CF4286"/>
    <w:rsid w:val="00CF44ED"/>
    <w:rsid w:val="00D01436"/>
    <w:rsid w:val="00D018AE"/>
    <w:rsid w:val="00D02D53"/>
    <w:rsid w:val="00D02FE4"/>
    <w:rsid w:val="00D07684"/>
    <w:rsid w:val="00D079A1"/>
    <w:rsid w:val="00D1173F"/>
    <w:rsid w:val="00D12E38"/>
    <w:rsid w:val="00D15A94"/>
    <w:rsid w:val="00D248F3"/>
    <w:rsid w:val="00D30BA0"/>
    <w:rsid w:val="00D30E7B"/>
    <w:rsid w:val="00D34AC4"/>
    <w:rsid w:val="00D37B67"/>
    <w:rsid w:val="00D41A18"/>
    <w:rsid w:val="00D465FB"/>
    <w:rsid w:val="00D468AB"/>
    <w:rsid w:val="00D479FD"/>
    <w:rsid w:val="00D60611"/>
    <w:rsid w:val="00D60F58"/>
    <w:rsid w:val="00D71AC6"/>
    <w:rsid w:val="00D7280B"/>
    <w:rsid w:val="00D75947"/>
    <w:rsid w:val="00D77F26"/>
    <w:rsid w:val="00DA1AB6"/>
    <w:rsid w:val="00DA2E00"/>
    <w:rsid w:val="00DA44F7"/>
    <w:rsid w:val="00DA7531"/>
    <w:rsid w:val="00DA76E3"/>
    <w:rsid w:val="00DB0D87"/>
    <w:rsid w:val="00DB37D2"/>
    <w:rsid w:val="00DB3C37"/>
    <w:rsid w:val="00DB41D2"/>
    <w:rsid w:val="00DC0505"/>
    <w:rsid w:val="00DC14B6"/>
    <w:rsid w:val="00DC3860"/>
    <w:rsid w:val="00DC4E51"/>
    <w:rsid w:val="00DC68D4"/>
    <w:rsid w:val="00DC7D6C"/>
    <w:rsid w:val="00DD0ADF"/>
    <w:rsid w:val="00DD136C"/>
    <w:rsid w:val="00DD1BB6"/>
    <w:rsid w:val="00DD34EA"/>
    <w:rsid w:val="00DD5897"/>
    <w:rsid w:val="00DD76F0"/>
    <w:rsid w:val="00DD7A78"/>
    <w:rsid w:val="00DE09C3"/>
    <w:rsid w:val="00DE0BC0"/>
    <w:rsid w:val="00DE1247"/>
    <w:rsid w:val="00DE2988"/>
    <w:rsid w:val="00DE7034"/>
    <w:rsid w:val="00DF1814"/>
    <w:rsid w:val="00DF4384"/>
    <w:rsid w:val="00DF637D"/>
    <w:rsid w:val="00E0539D"/>
    <w:rsid w:val="00E067B1"/>
    <w:rsid w:val="00E06CC2"/>
    <w:rsid w:val="00E122AF"/>
    <w:rsid w:val="00E13119"/>
    <w:rsid w:val="00E147D3"/>
    <w:rsid w:val="00E14DE5"/>
    <w:rsid w:val="00E179DF"/>
    <w:rsid w:val="00E17B5E"/>
    <w:rsid w:val="00E20AF6"/>
    <w:rsid w:val="00E23238"/>
    <w:rsid w:val="00E251C6"/>
    <w:rsid w:val="00E263EA"/>
    <w:rsid w:val="00E272B2"/>
    <w:rsid w:val="00E332B3"/>
    <w:rsid w:val="00E37FBE"/>
    <w:rsid w:val="00E40009"/>
    <w:rsid w:val="00E42487"/>
    <w:rsid w:val="00E438CE"/>
    <w:rsid w:val="00E45292"/>
    <w:rsid w:val="00E47DCC"/>
    <w:rsid w:val="00E53421"/>
    <w:rsid w:val="00E5380D"/>
    <w:rsid w:val="00E542C4"/>
    <w:rsid w:val="00E600BD"/>
    <w:rsid w:val="00E60FCF"/>
    <w:rsid w:val="00E61B2A"/>
    <w:rsid w:val="00E6690A"/>
    <w:rsid w:val="00E7382F"/>
    <w:rsid w:val="00E82B0B"/>
    <w:rsid w:val="00E83154"/>
    <w:rsid w:val="00E851E7"/>
    <w:rsid w:val="00E872E3"/>
    <w:rsid w:val="00E8757D"/>
    <w:rsid w:val="00E87718"/>
    <w:rsid w:val="00E87A50"/>
    <w:rsid w:val="00E930DD"/>
    <w:rsid w:val="00E95ABE"/>
    <w:rsid w:val="00EA0D1D"/>
    <w:rsid w:val="00EA16D9"/>
    <w:rsid w:val="00EA295B"/>
    <w:rsid w:val="00EB2AD3"/>
    <w:rsid w:val="00EB3391"/>
    <w:rsid w:val="00EB6257"/>
    <w:rsid w:val="00EB74E5"/>
    <w:rsid w:val="00EC49B0"/>
    <w:rsid w:val="00EC7812"/>
    <w:rsid w:val="00ED04E4"/>
    <w:rsid w:val="00ED28A5"/>
    <w:rsid w:val="00ED2EE2"/>
    <w:rsid w:val="00ED3FFF"/>
    <w:rsid w:val="00ED41A4"/>
    <w:rsid w:val="00ED6567"/>
    <w:rsid w:val="00EE1E64"/>
    <w:rsid w:val="00EF01F9"/>
    <w:rsid w:val="00EF0ADB"/>
    <w:rsid w:val="00EF3B32"/>
    <w:rsid w:val="00EF5386"/>
    <w:rsid w:val="00EF78E3"/>
    <w:rsid w:val="00F006B1"/>
    <w:rsid w:val="00F04F6C"/>
    <w:rsid w:val="00F1425C"/>
    <w:rsid w:val="00F16DD6"/>
    <w:rsid w:val="00F23C23"/>
    <w:rsid w:val="00F24D3D"/>
    <w:rsid w:val="00F26C5B"/>
    <w:rsid w:val="00F30436"/>
    <w:rsid w:val="00F341DC"/>
    <w:rsid w:val="00F35864"/>
    <w:rsid w:val="00F37CCE"/>
    <w:rsid w:val="00F40DDD"/>
    <w:rsid w:val="00F40FD4"/>
    <w:rsid w:val="00F4679A"/>
    <w:rsid w:val="00F60EBD"/>
    <w:rsid w:val="00F63871"/>
    <w:rsid w:val="00F641F7"/>
    <w:rsid w:val="00F66827"/>
    <w:rsid w:val="00F723C5"/>
    <w:rsid w:val="00F726D6"/>
    <w:rsid w:val="00F7385A"/>
    <w:rsid w:val="00F73C93"/>
    <w:rsid w:val="00F8179F"/>
    <w:rsid w:val="00F82329"/>
    <w:rsid w:val="00F900C8"/>
    <w:rsid w:val="00F90BC3"/>
    <w:rsid w:val="00F90EC0"/>
    <w:rsid w:val="00F930B6"/>
    <w:rsid w:val="00F9633E"/>
    <w:rsid w:val="00F9747D"/>
    <w:rsid w:val="00F976A1"/>
    <w:rsid w:val="00FA3DF6"/>
    <w:rsid w:val="00FA4B50"/>
    <w:rsid w:val="00FA63BD"/>
    <w:rsid w:val="00FB19FD"/>
    <w:rsid w:val="00FB23B6"/>
    <w:rsid w:val="00FB62A2"/>
    <w:rsid w:val="00FB6A85"/>
    <w:rsid w:val="00FB793B"/>
    <w:rsid w:val="00FB7D8F"/>
    <w:rsid w:val="00FB7E07"/>
    <w:rsid w:val="00FC0D7C"/>
    <w:rsid w:val="00FC39B7"/>
    <w:rsid w:val="00FC506E"/>
    <w:rsid w:val="00FC5A4F"/>
    <w:rsid w:val="00FD0B99"/>
    <w:rsid w:val="00FD1CD2"/>
    <w:rsid w:val="00FD240F"/>
    <w:rsid w:val="00FD37BD"/>
    <w:rsid w:val="00FD4FDD"/>
    <w:rsid w:val="00FE09A8"/>
    <w:rsid w:val="00FE0A24"/>
    <w:rsid w:val="00FE1C81"/>
    <w:rsid w:val="00FE3C4C"/>
    <w:rsid w:val="00FE6E65"/>
    <w:rsid w:val="00FF20D9"/>
    <w:rsid w:val="00FF25FE"/>
    <w:rsid w:val="00FF4C8C"/>
    <w:rsid w:val="00FF6A83"/>
    <w:rsid w:val="00FF6E4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D7F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FE4"/>
    <w:pPr>
      <w:spacing w:before="120" w:after="120"/>
      <w:jc w:val="both"/>
    </w:pPr>
    <w:rPr>
      <w:rFonts w:ascii="Verdana" w:hAnsi="Verdana"/>
      <w:szCs w:val="24"/>
      <w:lang w:val="en-GB" w:eastAsia="en-US"/>
    </w:rPr>
  </w:style>
  <w:style w:type="paragraph" w:styleId="Heading1">
    <w:name w:val="heading 1"/>
    <w:basedOn w:val="Normal"/>
    <w:link w:val="Heading1Char"/>
    <w:uiPriority w:val="9"/>
    <w:qFormat/>
    <w:rsid w:val="00556DCD"/>
    <w:pPr>
      <w:spacing w:before="100" w:beforeAutospacing="1" w:after="100" w:afterAutospacing="1"/>
      <w:jc w:val="left"/>
      <w:outlineLvl w:val="0"/>
    </w:pPr>
    <w:rPr>
      <w:rFonts w:ascii="Times New Roman" w:hAnsi="Times New Roman"/>
      <w:b/>
      <w:bCs/>
      <w:color w:val="3E2E98"/>
      <w:kern w:val="36"/>
      <w:sz w:val="30"/>
      <w:szCs w:val="30"/>
      <w:lang w:eastAsia="en-GB"/>
    </w:rPr>
  </w:style>
  <w:style w:type="paragraph" w:styleId="Heading2">
    <w:name w:val="heading 2"/>
    <w:basedOn w:val="Normal"/>
    <w:next w:val="Normal"/>
    <w:link w:val="Heading2Char"/>
    <w:autoRedefine/>
    <w:uiPriority w:val="9"/>
    <w:qFormat/>
    <w:rsid w:val="00D02FE4"/>
    <w:pPr>
      <w:keepNext/>
      <w:spacing w:before="240"/>
      <w:outlineLvl w:val="1"/>
    </w:pPr>
    <w:rPr>
      <w:b/>
      <w:sz w:val="24"/>
    </w:rPr>
  </w:style>
  <w:style w:type="paragraph" w:styleId="Heading3">
    <w:name w:val="heading 3"/>
    <w:basedOn w:val="Normal"/>
    <w:link w:val="Heading3Char"/>
    <w:uiPriority w:val="9"/>
    <w:qFormat/>
    <w:rsid w:val="00556DCD"/>
    <w:pPr>
      <w:spacing w:before="100" w:beforeAutospacing="1" w:after="100" w:afterAutospacing="1"/>
      <w:jc w:val="left"/>
      <w:outlineLvl w:val="2"/>
    </w:pPr>
    <w:rPr>
      <w:rFonts w:ascii="Times New Roman" w:hAnsi="Times New Roman"/>
      <w:b/>
      <w:bCs/>
      <w:color w:val="777777"/>
      <w:sz w:val="26"/>
      <w:szCs w:val="26"/>
      <w:lang w:eastAsia="en-GB"/>
    </w:rPr>
  </w:style>
  <w:style w:type="paragraph" w:styleId="Heading4">
    <w:name w:val="heading 4"/>
    <w:basedOn w:val="Normal"/>
    <w:link w:val="Heading4Char"/>
    <w:uiPriority w:val="9"/>
    <w:qFormat/>
    <w:rsid w:val="00556DCD"/>
    <w:pPr>
      <w:spacing w:before="100" w:beforeAutospacing="1" w:after="100" w:afterAutospacing="1"/>
      <w:jc w:val="left"/>
      <w:outlineLvl w:val="3"/>
    </w:pPr>
    <w:rPr>
      <w:rFonts w:ascii="Times New Roman" w:hAnsi="Times New Roman"/>
      <w:b/>
      <w:bCs/>
      <w:color w:val="444444"/>
      <w:sz w:val="24"/>
      <w:lang w:eastAsia="en-GB"/>
    </w:rPr>
  </w:style>
  <w:style w:type="paragraph" w:styleId="Heading6">
    <w:name w:val="heading 6"/>
    <w:basedOn w:val="Normal"/>
    <w:next w:val="Normal"/>
    <w:link w:val="Heading6Char"/>
    <w:semiHidden/>
    <w:unhideWhenUsed/>
    <w:qFormat/>
    <w:rsid w:val="00CC309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D02FE4"/>
    <w:rPr>
      <w:rFonts w:ascii="Verdana" w:hAnsi="Verdana"/>
      <w:b/>
      <w:sz w:val="24"/>
      <w:szCs w:val="24"/>
      <w:lang w:val="en-GB" w:eastAsia="en-US" w:bidi="ar-SA"/>
    </w:rPr>
  </w:style>
  <w:style w:type="paragraph" w:styleId="FootnoteText">
    <w:name w:val="footnote text"/>
    <w:aliases w:val="Fußnote, Char"/>
    <w:basedOn w:val="Normal"/>
    <w:link w:val="FootnoteTextChar"/>
    <w:rsid w:val="00D02FE4"/>
    <w:pPr>
      <w:spacing w:line="180" w:lineRule="exact"/>
      <w:ind w:left="142" w:hanging="142"/>
    </w:pPr>
    <w:rPr>
      <w:sz w:val="16"/>
      <w:szCs w:val="16"/>
    </w:rPr>
  </w:style>
  <w:style w:type="character" w:customStyle="1" w:styleId="FootnoteTextChar">
    <w:name w:val="Footnote Text Char"/>
    <w:aliases w:val="Fußnote Char1, Char Char"/>
    <w:link w:val="FootnoteText"/>
    <w:rsid w:val="00D02FE4"/>
    <w:rPr>
      <w:rFonts w:ascii="Verdana" w:hAnsi="Verdana"/>
      <w:sz w:val="16"/>
      <w:szCs w:val="16"/>
      <w:lang w:val="en-GB" w:eastAsia="en-US" w:bidi="ar-SA"/>
    </w:rPr>
  </w:style>
  <w:style w:type="character" w:styleId="FootnoteReference">
    <w:name w:val="footnote reference"/>
    <w:rsid w:val="00D02FE4"/>
    <w:rPr>
      <w:rFonts w:ascii="Arial" w:hAnsi="Arial"/>
      <w:dstrike w:val="0"/>
      <w:kern w:val="0"/>
      <w:position w:val="4"/>
      <w:sz w:val="12"/>
      <w:szCs w:val="12"/>
      <w:vertAlign w:val="baseline"/>
    </w:rPr>
  </w:style>
  <w:style w:type="paragraph" w:customStyle="1" w:styleId="Instructionsberschrift2">
    <w:name w:val="Instructions Überschrift 2"/>
    <w:basedOn w:val="Heading2"/>
    <w:rsid w:val="00D02FE4"/>
    <w:pPr>
      <w:numPr>
        <w:numId w:val="1"/>
      </w:numPr>
      <w:spacing w:after="240"/>
    </w:pPr>
    <w:rPr>
      <w:rFonts w:cs="Arial"/>
      <w:b w:val="0"/>
      <w:sz w:val="20"/>
      <w:u w:val="single"/>
    </w:rPr>
  </w:style>
  <w:style w:type="paragraph" w:customStyle="1" w:styleId="InstructionsText">
    <w:name w:val="Instructions Text"/>
    <w:basedOn w:val="Normal"/>
    <w:link w:val="InstructionsTextChar"/>
    <w:autoRedefine/>
    <w:rsid w:val="00CC3091"/>
    <w:pPr>
      <w:spacing w:before="0" w:after="0"/>
      <w:ind w:left="33"/>
    </w:pPr>
    <w:rPr>
      <w:rFonts w:ascii="Times New Roman" w:hAnsi="Times New Roman"/>
      <w:szCs w:val="17"/>
      <w:u w:val="single"/>
      <w:lang w:eastAsia="de-DE"/>
    </w:rPr>
  </w:style>
  <w:style w:type="character" w:customStyle="1" w:styleId="InstructionsTextChar">
    <w:name w:val="Instructions Text Char"/>
    <w:link w:val="InstructionsText"/>
    <w:locked/>
    <w:rsid w:val="00CC3091"/>
    <w:rPr>
      <w:szCs w:val="17"/>
      <w:u w:val="single"/>
      <w:lang w:val="en-GB" w:eastAsia="de-DE"/>
    </w:rPr>
  </w:style>
  <w:style w:type="character" w:customStyle="1" w:styleId="InstructionsTabelleberschrift">
    <w:name w:val="Instructions Tabelle Überschrift"/>
    <w:qFormat/>
    <w:rsid w:val="00D02FE4"/>
    <w:rPr>
      <w:rFonts w:ascii="Verdana" w:hAnsi="Verdana" w:cs="Times New Roman"/>
      <w:b/>
      <w:bCs/>
      <w:sz w:val="20"/>
      <w:u w:val="single"/>
    </w:rPr>
  </w:style>
  <w:style w:type="character" w:customStyle="1" w:styleId="InstructionsTabelleText">
    <w:name w:val="Instructions Tabelle Text"/>
    <w:rsid w:val="00D02FE4"/>
    <w:rPr>
      <w:rFonts w:ascii="Verdana" w:hAnsi="Verdana" w:cs="Times New Roman"/>
      <w:sz w:val="20"/>
    </w:rPr>
  </w:style>
  <w:style w:type="character" w:customStyle="1" w:styleId="FormatvorlageInstructionsTabelleText">
    <w:name w:val="Formatvorlage Instructions Tabelle Text"/>
    <w:uiPriority w:val="99"/>
    <w:qFormat/>
    <w:rsid w:val="00D02FE4"/>
    <w:rPr>
      <w:rFonts w:ascii="Verdana" w:hAnsi="Verdana" w:cs="Times New Roman"/>
      <w:bCs/>
      <w:sz w:val="20"/>
      <w:u w:val="none"/>
    </w:rPr>
  </w:style>
  <w:style w:type="paragraph" w:customStyle="1" w:styleId="InstructionsText2">
    <w:name w:val="Instructions Text 2"/>
    <w:basedOn w:val="InstructionsText"/>
    <w:qFormat/>
    <w:rsid w:val="00D02FE4"/>
    <w:pPr>
      <w:numPr>
        <w:numId w:val="3"/>
      </w:numPr>
      <w:spacing w:after="240"/>
    </w:pPr>
  </w:style>
  <w:style w:type="paragraph" w:customStyle="1" w:styleId="Paragraph">
    <w:name w:val="Paragraph"/>
    <w:basedOn w:val="Normal"/>
    <w:link w:val="ParagraphChar"/>
    <w:rsid w:val="009D253B"/>
    <w:pPr>
      <w:spacing w:before="0" w:after="240"/>
    </w:pPr>
    <w:rPr>
      <w:rFonts w:ascii="Arial" w:hAnsi="Arial"/>
      <w:sz w:val="22"/>
      <w:szCs w:val="20"/>
    </w:rPr>
  </w:style>
  <w:style w:type="character" w:customStyle="1" w:styleId="ParagraphChar">
    <w:name w:val="Paragraph Char"/>
    <w:link w:val="Paragraph"/>
    <w:rsid w:val="009D253B"/>
    <w:rPr>
      <w:rFonts w:ascii="Arial" w:hAnsi="Arial"/>
      <w:sz w:val="22"/>
      <w:lang w:val="en-GB" w:eastAsia="en-US" w:bidi="ar-SA"/>
    </w:rPr>
  </w:style>
  <w:style w:type="character" w:customStyle="1" w:styleId="FunoteChar">
    <w:name w:val="Fußnote Char"/>
    <w:aliases w:val=" Char Char Char"/>
    <w:semiHidden/>
    <w:rsid w:val="009D253B"/>
    <w:rPr>
      <w:rFonts w:ascii="Arial" w:hAnsi="Arial"/>
      <w:sz w:val="18"/>
      <w:lang w:val="en-GB" w:eastAsia="en-US" w:bidi="ar-SA"/>
    </w:rPr>
  </w:style>
  <w:style w:type="paragraph" w:customStyle="1" w:styleId="Bullets">
    <w:name w:val="Bullets"/>
    <w:basedOn w:val="Normal"/>
    <w:link w:val="BulletsChar"/>
    <w:rsid w:val="009D253B"/>
    <w:pPr>
      <w:tabs>
        <w:tab w:val="num" w:pos="851"/>
      </w:tabs>
      <w:spacing w:before="0"/>
      <w:ind w:left="851" w:hanging="851"/>
    </w:pPr>
    <w:rPr>
      <w:rFonts w:ascii="Arial" w:eastAsia="MS Mincho" w:hAnsi="Arial"/>
      <w:sz w:val="22"/>
      <w:szCs w:val="20"/>
      <w:lang w:eastAsia="ja-JP"/>
    </w:rPr>
  </w:style>
  <w:style w:type="character" w:customStyle="1" w:styleId="BulletsChar">
    <w:name w:val="Bullets Char"/>
    <w:link w:val="Bullets"/>
    <w:locked/>
    <w:rsid w:val="009D253B"/>
    <w:rPr>
      <w:rFonts w:ascii="Arial" w:eastAsia="MS Mincho" w:hAnsi="Arial"/>
      <w:sz w:val="22"/>
      <w:lang w:val="en-GB" w:eastAsia="ja-JP" w:bidi="ar-SA"/>
    </w:rPr>
  </w:style>
  <w:style w:type="paragraph" w:customStyle="1" w:styleId="TableText">
    <w:name w:val="TableText"/>
    <w:basedOn w:val="Normal"/>
    <w:rsid w:val="00DD1BB6"/>
    <w:pPr>
      <w:keepNext/>
      <w:spacing w:before="60" w:after="60"/>
      <w:jc w:val="left"/>
    </w:pPr>
    <w:rPr>
      <w:rFonts w:ascii="Arial" w:hAnsi="Arial"/>
      <w:szCs w:val="20"/>
    </w:rPr>
  </w:style>
  <w:style w:type="paragraph" w:styleId="BalloonText">
    <w:name w:val="Balloon Text"/>
    <w:basedOn w:val="Normal"/>
    <w:link w:val="BalloonTextChar"/>
    <w:semiHidden/>
    <w:rsid w:val="00104F31"/>
    <w:rPr>
      <w:rFonts w:ascii="Tahoma" w:hAnsi="Tahoma" w:cs="Tahoma"/>
      <w:sz w:val="16"/>
      <w:szCs w:val="16"/>
    </w:rPr>
  </w:style>
  <w:style w:type="character" w:styleId="CommentReference">
    <w:name w:val="annotation reference"/>
    <w:uiPriority w:val="99"/>
    <w:rsid w:val="001128AA"/>
    <w:rPr>
      <w:sz w:val="16"/>
      <w:szCs w:val="16"/>
    </w:rPr>
  </w:style>
  <w:style w:type="paragraph" w:styleId="CommentText">
    <w:name w:val="annotation text"/>
    <w:basedOn w:val="Normal"/>
    <w:link w:val="CommentTextChar"/>
    <w:uiPriority w:val="99"/>
    <w:rsid w:val="001128AA"/>
    <w:rPr>
      <w:szCs w:val="20"/>
    </w:rPr>
  </w:style>
  <w:style w:type="character" w:customStyle="1" w:styleId="CommentTextChar">
    <w:name w:val="Comment Text Char"/>
    <w:link w:val="CommentText"/>
    <w:uiPriority w:val="99"/>
    <w:rsid w:val="001128AA"/>
    <w:rPr>
      <w:rFonts w:ascii="Verdana" w:hAnsi="Verdana"/>
      <w:lang w:val="en-GB" w:eastAsia="en-US"/>
    </w:rPr>
  </w:style>
  <w:style w:type="paragraph" w:styleId="CommentSubject">
    <w:name w:val="annotation subject"/>
    <w:basedOn w:val="CommentText"/>
    <w:next w:val="CommentText"/>
    <w:link w:val="CommentSubjectChar"/>
    <w:rsid w:val="001128AA"/>
    <w:rPr>
      <w:b/>
      <w:bCs/>
    </w:rPr>
  </w:style>
  <w:style w:type="character" w:customStyle="1" w:styleId="CommentSubjectChar">
    <w:name w:val="Comment Subject Char"/>
    <w:link w:val="CommentSubject"/>
    <w:rsid w:val="001128AA"/>
    <w:rPr>
      <w:rFonts w:ascii="Verdana" w:hAnsi="Verdana"/>
      <w:b/>
      <w:bCs/>
      <w:lang w:val="en-GB" w:eastAsia="en-US"/>
    </w:rPr>
  </w:style>
  <w:style w:type="paragraph" w:styleId="PlainText">
    <w:name w:val="Plain Text"/>
    <w:basedOn w:val="Normal"/>
    <w:link w:val="PlainTextChar"/>
    <w:semiHidden/>
    <w:rsid w:val="00392C32"/>
    <w:pPr>
      <w:spacing w:before="0" w:after="0"/>
      <w:jc w:val="left"/>
    </w:pPr>
    <w:rPr>
      <w:rFonts w:ascii="Consolas" w:hAnsi="Consolas"/>
      <w:sz w:val="21"/>
      <w:szCs w:val="21"/>
    </w:rPr>
  </w:style>
  <w:style w:type="paragraph" w:styleId="Footer">
    <w:name w:val="footer"/>
    <w:basedOn w:val="Normal"/>
    <w:link w:val="FooterChar"/>
    <w:uiPriority w:val="99"/>
    <w:rsid w:val="00392C32"/>
    <w:pPr>
      <w:tabs>
        <w:tab w:val="center" w:pos="4536"/>
        <w:tab w:val="right" w:pos="9072"/>
      </w:tabs>
      <w:spacing w:before="0" w:after="0"/>
      <w:jc w:val="left"/>
    </w:pPr>
    <w:rPr>
      <w:rFonts w:ascii="Times New Roman" w:hAnsi="Times New Roman"/>
      <w:sz w:val="24"/>
      <w:lang w:val="de-AT" w:eastAsia="de-AT"/>
    </w:rPr>
  </w:style>
  <w:style w:type="character" w:styleId="Hyperlink">
    <w:name w:val="Hyperlink"/>
    <w:basedOn w:val="DefaultParagraphFont"/>
    <w:uiPriority w:val="99"/>
    <w:unhideWhenUsed/>
    <w:rsid w:val="0035239A"/>
    <w:rPr>
      <w:color w:val="0000FF"/>
      <w:u w:val="single"/>
    </w:rPr>
  </w:style>
  <w:style w:type="table" w:styleId="TableGrid">
    <w:name w:val="Table Grid"/>
    <w:basedOn w:val="TableNormal"/>
    <w:rsid w:val="000C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6DCD"/>
    <w:rPr>
      <w:b/>
      <w:bCs/>
      <w:color w:val="3E2E98"/>
      <w:kern w:val="36"/>
      <w:sz w:val="30"/>
      <w:szCs w:val="30"/>
    </w:rPr>
  </w:style>
  <w:style w:type="character" w:customStyle="1" w:styleId="Heading3Char">
    <w:name w:val="Heading 3 Char"/>
    <w:basedOn w:val="DefaultParagraphFont"/>
    <w:link w:val="Heading3"/>
    <w:uiPriority w:val="9"/>
    <w:rsid w:val="00556DCD"/>
    <w:rPr>
      <w:b/>
      <w:bCs/>
      <w:color w:val="777777"/>
      <w:sz w:val="26"/>
      <w:szCs w:val="26"/>
    </w:rPr>
  </w:style>
  <w:style w:type="character" w:customStyle="1" w:styleId="Heading4Char">
    <w:name w:val="Heading 4 Char"/>
    <w:basedOn w:val="DefaultParagraphFont"/>
    <w:link w:val="Heading4"/>
    <w:uiPriority w:val="9"/>
    <w:rsid w:val="00556DCD"/>
    <w:rPr>
      <w:b/>
      <w:bCs/>
      <w:color w:val="444444"/>
      <w:sz w:val="24"/>
      <w:szCs w:val="24"/>
    </w:rPr>
  </w:style>
  <w:style w:type="paragraph" w:customStyle="1" w:styleId="Numberedheadinglevel1">
    <w:name w:val="Numbered heading level 1"/>
    <w:basedOn w:val="Normal"/>
    <w:next w:val="Normal"/>
    <w:qFormat/>
    <w:rsid w:val="004E36B0"/>
    <w:pPr>
      <w:numPr>
        <w:numId w:val="16"/>
      </w:numPr>
      <w:tabs>
        <w:tab w:val="left" w:pos="0"/>
      </w:tabs>
      <w:spacing w:before="360" w:after="360"/>
      <w:ind w:left="714" w:hanging="357"/>
    </w:pPr>
    <w:rPr>
      <w:rFonts w:ascii="Arial" w:hAnsi="Arial"/>
      <w:color w:val="4F81BD" w:themeColor="accent1"/>
      <w:sz w:val="28"/>
      <w:szCs w:val="28"/>
    </w:rPr>
  </w:style>
  <w:style w:type="paragraph" w:customStyle="1" w:styleId="Numberedheadinglevel2">
    <w:name w:val="Numbered heading level 2"/>
    <w:basedOn w:val="Normal"/>
    <w:next w:val="Normal"/>
    <w:link w:val="Numberedheadinglevel2Char"/>
    <w:qFormat/>
    <w:rsid w:val="00A56552"/>
    <w:pPr>
      <w:numPr>
        <w:ilvl w:val="1"/>
        <w:numId w:val="16"/>
      </w:numPr>
      <w:tabs>
        <w:tab w:val="left" w:pos="567"/>
      </w:tabs>
      <w:spacing w:before="360" w:after="240"/>
    </w:pPr>
    <w:rPr>
      <w:rFonts w:ascii="Arial" w:hAnsi="Arial"/>
      <w:color w:val="4F81BD" w:themeColor="accent1"/>
      <w:sz w:val="24"/>
    </w:rPr>
  </w:style>
  <w:style w:type="paragraph" w:customStyle="1" w:styleId="Numberedheadinglevel3">
    <w:name w:val="Numbered heading level 3"/>
    <w:basedOn w:val="Normal"/>
    <w:next w:val="Normal"/>
    <w:qFormat/>
    <w:rsid w:val="00A56552"/>
    <w:pPr>
      <w:numPr>
        <w:ilvl w:val="2"/>
        <w:numId w:val="16"/>
      </w:numPr>
      <w:tabs>
        <w:tab w:val="left" w:pos="567"/>
      </w:tabs>
      <w:spacing w:before="240"/>
    </w:pPr>
    <w:rPr>
      <w:rFonts w:ascii="Arial" w:hAnsi="Arial"/>
      <w:color w:val="4F81BD" w:themeColor="accent1"/>
      <w:szCs w:val="20"/>
    </w:rPr>
  </w:style>
  <w:style w:type="character" w:styleId="FollowedHyperlink">
    <w:name w:val="FollowedHyperlink"/>
    <w:basedOn w:val="DefaultParagraphFont"/>
    <w:uiPriority w:val="99"/>
    <w:rsid w:val="00FB7E07"/>
    <w:rPr>
      <w:color w:val="800080" w:themeColor="followedHyperlink"/>
      <w:u w:val="single"/>
    </w:rPr>
  </w:style>
  <w:style w:type="paragraph" w:styleId="ListParagraph">
    <w:name w:val="List Paragraph"/>
    <w:basedOn w:val="Normal"/>
    <w:uiPriority w:val="34"/>
    <w:qFormat/>
    <w:rsid w:val="0094416B"/>
    <w:pPr>
      <w:ind w:left="720"/>
      <w:contextualSpacing/>
    </w:pPr>
  </w:style>
  <w:style w:type="paragraph" w:customStyle="1" w:styleId="DocTitle">
    <w:name w:val="Doc Title"/>
    <w:basedOn w:val="Normal"/>
    <w:qFormat/>
    <w:rsid w:val="00DC14B6"/>
    <w:pPr>
      <w:spacing w:before="3280" w:after="480"/>
      <w:jc w:val="left"/>
    </w:pPr>
    <w:rPr>
      <w:rFonts w:ascii="Arial" w:hAnsi="Arial"/>
      <w:color w:val="4F81BD" w:themeColor="accent1"/>
      <w:sz w:val="40"/>
      <w:szCs w:val="40"/>
    </w:rPr>
  </w:style>
  <w:style w:type="paragraph" w:customStyle="1" w:styleId="SubTitle">
    <w:name w:val="Sub Title"/>
    <w:basedOn w:val="Heading2"/>
    <w:qFormat/>
    <w:rsid w:val="00DC14B6"/>
    <w:pPr>
      <w:keepNext w:val="0"/>
      <w:spacing w:before="120" w:after="0"/>
      <w:contextualSpacing/>
      <w:jc w:val="left"/>
    </w:pPr>
    <w:rPr>
      <w:rFonts w:ascii="Arial" w:hAnsi="Arial"/>
      <w:b w:val="0"/>
      <w:color w:val="4F81BD" w:themeColor="accent1"/>
      <w:szCs w:val="20"/>
    </w:rPr>
  </w:style>
  <w:style w:type="paragraph" w:styleId="Header">
    <w:name w:val="header"/>
    <w:basedOn w:val="Normal"/>
    <w:link w:val="HeaderChar"/>
    <w:uiPriority w:val="99"/>
    <w:rsid w:val="00DC14B6"/>
    <w:pPr>
      <w:tabs>
        <w:tab w:val="center" w:pos="4513"/>
        <w:tab w:val="right" w:pos="9026"/>
      </w:tabs>
      <w:spacing w:before="0" w:after="0"/>
    </w:pPr>
  </w:style>
  <w:style w:type="character" w:customStyle="1" w:styleId="HeaderChar">
    <w:name w:val="Header Char"/>
    <w:basedOn w:val="DefaultParagraphFont"/>
    <w:link w:val="Header"/>
    <w:uiPriority w:val="99"/>
    <w:rsid w:val="00DC14B6"/>
    <w:rPr>
      <w:rFonts w:ascii="Verdana" w:hAnsi="Verdana"/>
      <w:szCs w:val="24"/>
      <w:lang w:val="en-GB" w:eastAsia="en-US"/>
    </w:rPr>
  </w:style>
  <w:style w:type="paragraph" w:styleId="Revision">
    <w:name w:val="Revision"/>
    <w:hidden/>
    <w:uiPriority w:val="99"/>
    <w:semiHidden/>
    <w:rsid w:val="007462FE"/>
    <w:rPr>
      <w:rFonts w:ascii="Verdana" w:hAnsi="Verdana"/>
      <w:szCs w:val="24"/>
      <w:lang w:val="en-GB" w:eastAsia="en-US"/>
    </w:rPr>
  </w:style>
  <w:style w:type="character" w:customStyle="1" w:styleId="FooterChar">
    <w:name w:val="Footer Char"/>
    <w:basedOn w:val="DefaultParagraphFont"/>
    <w:link w:val="Footer"/>
    <w:uiPriority w:val="99"/>
    <w:rsid w:val="00F04F6C"/>
    <w:rPr>
      <w:sz w:val="24"/>
      <w:szCs w:val="24"/>
      <w:lang w:val="de-AT" w:eastAsia="de-AT"/>
    </w:rPr>
  </w:style>
  <w:style w:type="character" w:customStyle="1" w:styleId="BalloonTextChar">
    <w:name w:val="Balloon Text Char"/>
    <w:link w:val="BalloonText"/>
    <w:semiHidden/>
    <w:rsid w:val="00167536"/>
    <w:rPr>
      <w:rFonts w:ascii="Tahoma" w:hAnsi="Tahoma" w:cs="Tahoma"/>
      <w:sz w:val="16"/>
      <w:szCs w:val="16"/>
      <w:lang w:val="en-GB" w:eastAsia="en-US"/>
    </w:rPr>
  </w:style>
  <w:style w:type="character" w:customStyle="1" w:styleId="PlainTextChar">
    <w:name w:val="Plain Text Char"/>
    <w:link w:val="PlainText"/>
    <w:semiHidden/>
    <w:rsid w:val="00167536"/>
    <w:rPr>
      <w:rFonts w:ascii="Consolas" w:hAnsi="Consolas"/>
      <w:sz w:val="21"/>
      <w:szCs w:val="21"/>
      <w:lang w:val="en-GB" w:eastAsia="en-US"/>
    </w:rPr>
  </w:style>
  <w:style w:type="character" w:customStyle="1" w:styleId="Marker">
    <w:name w:val="Marker"/>
    <w:rsid w:val="00167536"/>
    <w:rPr>
      <w:color w:val="0000FF"/>
      <w:shd w:val="clear" w:color="auto" w:fill="auto"/>
    </w:rPr>
  </w:style>
  <w:style w:type="paragraph" w:customStyle="1" w:styleId="Pagedecouverture">
    <w:name w:val="Page de couverture"/>
    <w:basedOn w:val="Normal"/>
    <w:next w:val="Normal"/>
    <w:rsid w:val="00167536"/>
    <w:pPr>
      <w:spacing w:before="0" w:after="0"/>
    </w:pPr>
    <w:rPr>
      <w:rFonts w:ascii="Times New Roman" w:eastAsia="Calibri" w:hAnsi="Times New Roman"/>
      <w:sz w:val="24"/>
      <w:szCs w:val="22"/>
    </w:rPr>
  </w:style>
  <w:style w:type="paragraph" w:customStyle="1" w:styleId="FooterCoverPage">
    <w:name w:val="Footer Cover Page"/>
    <w:basedOn w:val="Normal"/>
    <w:link w:val="FooterCoverPageChar"/>
    <w:rsid w:val="00167536"/>
    <w:pPr>
      <w:tabs>
        <w:tab w:val="center" w:pos="4535"/>
        <w:tab w:val="right" w:pos="9071"/>
        <w:tab w:val="right" w:pos="9921"/>
      </w:tabs>
      <w:spacing w:before="360" w:after="0"/>
      <w:ind w:left="-850" w:right="-850" w:hanging="567"/>
      <w:jc w:val="left"/>
    </w:pPr>
    <w:rPr>
      <w:rFonts w:ascii="Times New Roman" w:hAnsi="Times New Roman"/>
      <w:color w:val="4F81BD"/>
      <w:sz w:val="24"/>
    </w:rPr>
  </w:style>
  <w:style w:type="character" w:customStyle="1" w:styleId="Numberedheadinglevel2Char">
    <w:name w:val="Numbered heading level 2 Char"/>
    <w:link w:val="Numberedheadinglevel2"/>
    <w:rsid w:val="00167536"/>
    <w:rPr>
      <w:rFonts w:ascii="Arial" w:hAnsi="Arial"/>
      <w:color w:val="4F81BD" w:themeColor="accent1"/>
      <w:sz w:val="24"/>
      <w:szCs w:val="24"/>
      <w:lang w:val="en-GB" w:eastAsia="en-US"/>
    </w:rPr>
  </w:style>
  <w:style w:type="character" w:customStyle="1" w:styleId="FooterCoverPageChar">
    <w:name w:val="Footer Cover Page Char"/>
    <w:link w:val="FooterCoverPage"/>
    <w:rsid w:val="00167536"/>
    <w:rPr>
      <w:color w:val="4F81BD"/>
      <w:sz w:val="24"/>
      <w:szCs w:val="24"/>
      <w:lang w:val="en-GB" w:eastAsia="en-US"/>
    </w:rPr>
  </w:style>
  <w:style w:type="paragraph" w:customStyle="1" w:styleId="HeaderCoverPage">
    <w:name w:val="Header Cover Page"/>
    <w:basedOn w:val="Normal"/>
    <w:link w:val="HeaderCoverPageChar"/>
    <w:rsid w:val="00167536"/>
    <w:pPr>
      <w:tabs>
        <w:tab w:val="center" w:pos="4535"/>
        <w:tab w:val="right" w:pos="9071"/>
      </w:tabs>
      <w:spacing w:before="0"/>
      <w:ind w:hanging="567"/>
    </w:pPr>
    <w:rPr>
      <w:rFonts w:ascii="Times New Roman" w:hAnsi="Times New Roman"/>
      <w:color w:val="4F81BD"/>
      <w:sz w:val="24"/>
    </w:rPr>
  </w:style>
  <w:style w:type="character" w:customStyle="1" w:styleId="HeaderCoverPageChar">
    <w:name w:val="Header Cover Page Char"/>
    <w:link w:val="HeaderCoverPage"/>
    <w:rsid w:val="00167536"/>
    <w:rPr>
      <w:color w:val="4F81BD"/>
      <w:sz w:val="24"/>
      <w:szCs w:val="24"/>
      <w:lang w:val="en-GB" w:eastAsia="en-US"/>
    </w:rPr>
  </w:style>
  <w:style w:type="character" w:customStyle="1" w:styleId="Heading6Char">
    <w:name w:val="Heading 6 Char"/>
    <w:basedOn w:val="DefaultParagraphFont"/>
    <w:link w:val="Heading6"/>
    <w:semiHidden/>
    <w:rsid w:val="00CC3091"/>
    <w:rPr>
      <w:rFonts w:asciiTheme="majorHAnsi" w:eastAsiaTheme="majorEastAsia" w:hAnsiTheme="majorHAnsi" w:cstheme="majorBidi"/>
      <w:color w:val="243F60" w:themeColor="accent1" w:themeShade="7F"/>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50482">
      <w:bodyDiv w:val="1"/>
      <w:marLeft w:val="0"/>
      <w:marRight w:val="0"/>
      <w:marTop w:val="0"/>
      <w:marBottom w:val="0"/>
      <w:divBdr>
        <w:top w:val="none" w:sz="0" w:space="0" w:color="auto"/>
        <w:left w:val="none" w:sz="0" w:space="0" w:color="auto"/>
        <w:bottom w:val="none" w:sz="0" w:space="0" w:color="auto"/>
        <w:right w:val="none" w:sz="0" w:space="0" w:color="auto"/>
      </w:divBdr>
      <w:divsChild>
        <w:div w:id="1974216560">
          <w:marLeft w:val="0"/>
          <w:marRight w:val="0"/>
          <w:marTop w:val="0"/>
          <w:marBottom w:val="0"/>
          <w:divBdr>
            <w:top w:val="none" w:sz="0" w:space="0" w:color="auto"/>
            <w:left w:val="none" w:sz="0" w:space="0" w:color="auto"/>
            <w:bottom w:val="none" w:sz="0" w:space="0" w:color="auto"/>
            <w:right w:val="none" w:sz="0" w:space="0" w:color="auto"/>
          </w:divBdr>
          <w:divsChild>
            <w:div w:id="758604029">
              <w:marLeft w:val="0"/>
              <w:marRight w:val="0"/>
              <w:marTop w:val="0"/>
              <w:marBottom w:val="0"/>
              <w:divBdr>
                <w:top w:val="none" w:sz="0" w:space="0" w:color="auto"/>
                <w:left w:val="none" w:sz="0" w:space="0" w:color="auto"/>
                <w:bottom w:val="none" w:sz="0" w:space="0" w:color="auto"/>
                <w:right w:val="none" w:sz="0" w:space="0" w:color="auto"/>
              </w:divBdr>
              <w:divsChild>
                <w:div w:id="2129467565">
                  <w:marLeft w:val="0"/>
                  <w:marRight w:val="0"/>
                  <w:marTop w:val="0"/>
                  <w:marBottom w:val="0"/>
                  <w:divBdr>
                    <w:top w:val="none" w:sz="0" w:space="0" w:color="auto"/>
                    <w:left w:val="none" w:sz="0" w:space="0" w:color="auto"/>
                    <w:bottom w:val="none" w:sz="0" w:space="0" w:color="auto"/>
                    <w:right w:val="none" w:sz="0" w:space="0" w:color="auto"/>
                  </w:divBdr>
                  <w:divsChild>
                    <w:div w:id="919944066">
                      <w:marLeft w:val="1"/>
                      <w:marRight w:val="1"/>
                      <w:marTop w:val="0"/>
                      <w:marBottom w:val="0"/>
                      <w:divBdr>
                        <w:top w:val="none" w:sz="0" w:space="0" w:color="auto"/>
                        <w:left w:val="none" w:sz="0" w:space="0" w:color="auto"/>
                        <w:bottom w:val="none" w:sz="0" w:space="0" w:color="auto"/>
                        <w:right w:val="none" w:sz="0" w:space="0" w:color="auto"/>
                      </w:divBdr>
                      <w:divsChild>
                        <w:div w:id="1175456607">
                          <w:marLeft w:val="0"/>
                          <w:marRight w:val="0"/>
                          <w:marTop w:val="0"/>
                          <w:marBottom w:val="0"/>
                          <w:divBdr>
                            <w:top w:val="none" w:sz="0" w:space="0" w:color="auto"/>
                            <w:left w:val="none" w:sz="0" w:space="0" w:color="auto"/>
                            <w:bottom w:val="none" w:sz="0" w:space="0" w:color="auto"/>
                            <w:right w:val="none" w:sz="0" w:space="0" w:color="auto"/>
                          </w:divBdr>
                          <w:divsChild>
                            <w:div w:id="1427724986">
                              <w:marLeft w:val="0"/>
                              <w:marRight w:val="0"/>
                              <w:marTop w:val="0"/>
                              <w:marBottom w:val="360"/>
                              <w:divBdr>
                                <w:top w:val="none" w:sz="0" w:space="0" w:color="auto"/>
                                <w:left w:val="none" w:sz="0" w:space="0" w:color="auto"/>
                                <w:bottom w:val="none" w:sz="0" w:space="0" w:color="auto"/>
                                <w:right w:val="none" w:sz="0" w:space="0" w:color="auto"/>
                              </w:divBdr>
                              <w:divsChild>
                                <w:div w:id="1621379700">
                                  <w:marLeft w:val="0"/>
                                  <w:marRight w:val="0"/>
                                  <w:marTop w:val="0"/>
                                  <w:marBottom w:val="0"/>
                                  <w:divBdr>
                                    <w:top w:val="none" w:sz="0" w:space="0" w:color="auto"/>
                                    <w:left w:val="none" w:sz="0" w:space="0" w:color="auto"/>
                                    <w:bottom w:val="none" w:sz="0" w:space="0" w:color="auto"/>
                                    <w:right w:val="none" w:sz="0" w:space="0" w:color="auto"/>
                                  </w:divBdr>
                                  <w:divsChild>
                                    <w:div w:id="1816800789">
                                      <w:marLeft w:val="0"/>
                                      <w:marRight w:val="0"/>
                                      <w:marTop w:val="0"/>
                                      <w:marBottom w:val="0"/>
                                      <w:divBdr>
                                        <w:top w:val="none" w:sz="0" w:space="0" w:color="auto"/>
                                        <w:left w:val="none" w:sz="0" w:space="0" w:color="auto"/>
                                        <w:bottom w:val="none" w:sz="0" w:space="0" w:color="auto"/>
                                        <w:right w:val="none" w:sz="0" w:space="0" w:color="auto"/>
                                      </w:divBdr>
                                      <w:divsChild>
                                        <w:div w:id="635599496">
                                          <w:marLeft w:val="0"/>
                                          <w:marRight w:val="0"/>
                                          <w:marTop w:val="0"/>
                                          <w:marBottom w:val="0"/>
                                          <w:divBdr>
                                            <w:top w:val="none" w:sz="0" w:space="0" w:color="auto"/>
                                            <w:left w:val="none" w:sz="0" w:space="0" w:color="auto"/>
                                            <w:bottom w:val="none" w:sz="0" w:space="0" w:color="auto"/>
                                            <w:right w:val="none" w:sz="0" w:space="0" w:color="auto"/>
                                          </w:divBdr>
                                          <w:divsChild>
                                            <w:div w:id="633565853">
                                              <w:marLeft w:val="0"/>
                                              <w:marRight w:val="0"/>
                                              <w:marTop w:val="0"/>
                                              <w:marBottom w:val="0"/>
                                              <w:divBdr>
                                                <w:top w:val="none" w:sz="0" w:space="0" w:color="auto"/>
                                                <w:left w:val="none" w:sz="0" w:space="0" w:color="auto"/>
                                                <w:bottom w:val="none" w:sz="0" w:space="0" w:color="auto"/>
                                                <w:right w:val="none" w:sz="0" w:space="0" w:color="auto"/>
                                              </w:divBdr>
                                              <w:divsChild>
                                                <w:div w:id="42171311">
                                                  <w:marLeft w:val="0"/>
                                                  <w:marRight w:val="0"/>
                                                  <w:marTop w:val="0"/>
                                                  <w:marBottom w:val="0"/>
                                                  <w:divBdr>
                                                    <w:top w:val="none" w:sz="0" w:space="0" w:color="auto"/>
                                                    <w:left w:val="none" w:sz="0" w:space="0" w:color="auto"/>
                                                    <w:bottom w:val="none" w:sz="0" w:space="0" w:color="auto"/>
                                                    <w:right w:val="none" w:sz="0" w:space="0" w:color="auto"/>
                                                  </w:divBdr>
                                                  <w:divsChild>
                                                    <w:div w:id="714935153">
                                                      <w:marLeft w:val="0"/>
                                                      <w:marRight w:val="0"/>
                                                      <w:marTop w:val="0"/>
                                                      <w:marBottom w:val="0"/>
                                                      <w:divBdr>
                                                        <w:top w:val="none" w:sz="0" w:space="0" w:color="auto"/>
                                                        <w:left w:val="none" w:sz="0" w:space="0" w:color="auto"/>
                                                        <w:bottom w:val="none" w:sz="0" w:space="0" w:color="auto"/>
                                                        <w:right w:val="none" w:sz="0" w:space="0" w:color="auto"/>
                                                      </w:divBdr>
                                                      <w:divsChild>
                                                        <w:div w:id="3286844">
                                                          <w:marLeft w:val="0"/>
                                                          <w:marRight w:val="0"/>
                                                          <w:marTop w:val="0"/>
                                                          <w:marBottom w:val="0"/>
                                                          <w:divBdr>
                                                            <w:top w:val="none" w:sz="0" w:space="0" w:color="auto"/>
                                                            <w:left w:val="none" w:sz="0" w:space="0" w:color="auto"/>
                                                            <w:bottom w:val="none" w:sz="0" w:space="0" w:color="auto"/>
                                                            <w:right w:val="none" w:sz="0" w:space="0" w:color="auto"/>
                                                          </w:divBdr>
                                                          <w:divsChild>
                                                            <w:div w:id="19744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5058328">
      <w:bodyDiv w:val="1"/>
      <w:marLeft w:val="0"/>
      <w:marRight w:val="0"/>
      <w:marTop w:val="0"/>
      <w:marBottom w:val="0"/>
      <w:divBdr>
        <w:top w:val="none" w:sz="0" w:space="0" w:color="auto"/>
        <w:left w:val="none" w:sz="0" w:space="0" w:color="auto"/>
        <w:bottom w:val="none" w:sz="0" w:space="0" w:color="auto"/>
        <w:right w:val="none" w:sz="0" w:space="0" w:color="auto"/>
      </w:divBdr>
    </w:div>
    <w:div w:id="1584290442">
      <w:bodyDiv w:val="1"/>
      <w:marLeft w:val="0"/>
      <w:marRight w:val="0"/>
      <w:marTop w:val="0"/>
      <w:marBottom w:val="0"/>
      <w:divBdr>
        <w:top w:val="none" w:sz="0" w:space="0" w:color="auto"/>
        <w:left w:val="none" w:sz="0" w:space="0" w:color="auto"/>
        <w:bottom w:val="none" w:sz="0" w:space="0" w:color="auto"/>
        <w:right w:val="none" w:sz="0" w:space="0" w:color="auto"/>
      </w:divBdr>
    </w:div>
    <w:div w:id="1812088056">
      <w:bodyDiv w:val="1"/>
      <w:marLeft w:val="0"/>
      <w:marRight w:val="0"/>
      <w:marTop w:val="0"/>
      <w:marBottom w:val="0"/>
      <w:divBdr>
        <w:top w:val="none" w:sz="0" w:space="0" w:color="auto"/>
        <w:left w:val="none" w:sz="0" w:space="0" w:color="auto"/>
        <w:bottom w:val="none" w:sz="0" w:space="0" w:color="auto"/>
        <w:right w:val="none" w:sz="0" w:space="0" w:color="auto"/>
      </w:divBdr>
    </w:div>
    <w:div w:id="208911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C56F59-E35F-4DD3-823C-9851D7732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5617</Words>
  <Characters>27988</Characters>
  <Application>Microsoft Office Word</Application>
  <DocSecurity>0</DocSecurity>
  <Lines>636</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33252</CharactersWithSpaces>
  <SharedDoc>false</SharedDoc>
  <HLinks>
    <vt:vector size="6" baseType="variant">
      <vt:variant>
        <vt:i4>6422655</vt:i4>
      </vt:variant>
      <vt:variant>
        <vt:i4>0</vt:i4>
      </vt:variant>
      <vt:variant>
        <vt:i4>0</vt:i4>
      </vt:variant>
      <vt:variant>
        <vt:i4>5</vt:i4>
      </vt:variant>
      <vt:variant>
        <vt:lpwstr>http://eur-lex.europa.eu/LexUriServ/LexUriServ.do?uri=COM:2011:0656:FIN:EN:PDF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2022-07-08T07:29:00Z</dcterms:created>
  <dcterms:modified xsi:type="dcterms:W3CDTF">2022-10-27T14:07:00Z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vt:lpwstr>
  </property>
  <property fmtid="{D5CDD505-2E9C-101B-9397-08002B2CF9AE}" pid="3" name="ClassificationContentMarkingHeaderFontProps">
    <vt:lpwstr>#000000,12,Calibri</vt:lpwstr>
  </property>
  <property fmtid="{D5CDD505-2E9C-101B-9397-08002B2CF9AE}" pid="4" name="ClassificationContentMarkingHeaderText">
    <vt:lpwstr>EBA Regular Use</vt:lpwstr>
  </property>
  <property fmtid="{D5CDD505-2E9C-101B-9397-08002B2CF9AE}" pid="5" name="MSIP_Label_e66ba66e-8b7b-475b-ae81-4aab15d5f212_Enabled">
    <vt:lpwstr>true</vt:lpwstr>
  </property>
  <property fmtid="{D5CDD505-2E9C-101B-9397-08002B2CF9AE}" pid="6" name="MSIP_Label_e66ba66e-8b7b-475b-ae81-4aab15d5f212_SetDate">
    <vt:lpwstr>2022-03-03T13:14:31Z</vt:lpwstr>
  </property>
  <property fmtid="{D5CDD505-2E9C-101B-9397-08002B2CF9AE}" pid="7" name="MSIP_Label_e66ba66e-8b7b-475b-ae81-4aab15d5f212_Method">
    <vt:lpwstr>Privileged</vt:lpwstr>
  </property>
  <property fmtid="{D5CDD505-2E9C-101B-9397-08002B2CF9AE}" pid="8" name="MSIP_Label_e66ba66e-8b7b-475b-ae81-4aab15d5f212_Name">
    <vt:lpwstr>No Label</vt:lpwstr>
  </property>
  <property fmtid="{D5CDD505-2E9C-101B-9397-08002B2CF9AE}" pid="9" name="MSIP_Label_e66ba66e-8b7b-475b-ae81-4aab15d5f212_SiteId">
    <vt:lpwstr>3bacb4ff-f1a2-4c92-b96c-e99fec826b68</vt:lpwstr>
  </property>
  <property fmtid="{D5CDD505-2E9C-101B-9397-08002B2CF9AE}" pid="10" name="MSIP_Label_e66ba66e-8b7b-475b-ae81-4aab15d5f212_ActionId">
    <vt:lpwstr>b0528036-be46-433f-85dd-64ecd5a252fe</vt:lpwstr>
  </property>
  <property fmtid="{D5CDD505-2E9C-101B-9397-08002B2CF9AE}" pid="11" name="MSIP_Label_e66ba66e-8b7b-475b-ae81-4aab15d5f212_ContentBits">
    <vt:lpwstr>0</vt:lpwstr>
  </property>
</Properties>
</file>