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FF53D" w14:textId="1CD88E22" w:rsidR="00E25A69" w:rsidRDefault="00E25A69" w:rsidP="00A33695">
      <w:pPr>
        <w:jc w:val="center"/>
        <w:rPr>
          <w:rFonts w:ascii="Times New Roman" w:hAnsi="Times New Roman"/>
          <w:b/>
          <w:sz w:val="24"/>
        </w:rPr>
      </w:pPr>
      <w:bookmarkStart w:id="0" w:name="_Toc262568021"/>
      <w:bookmarkStart w:id="1" w:name="_Toc295829847"/>
      <w:r>
        <w:rPr>
          <w:rFonts w:ascii="Times New Roman" w:hAnsi="Times New Roman"/>
          <w:b/>
          <w:sz w:val="24"/>
        </w:rPr>
        <w:t>EN</w:t>
      </w:r>
    </w:p>
    <w:p w14:paraId="07D2872A" w14:textId="77777777" w:rsidR="00E25A69" w:rsidRDefault="00E25A69" w:rsidP="00A33695">
      <w:pPr>
        <w:jc w:val="center"/>
        <w:rPr>
          <w:rFonts w:ascii="Times New Roman" w:hAnsi="Times New Roman"/>
          <w:b/>
          <w:sz w:val="24"/>
        </w:rPr>
      </w:pPr>
    </w:p>
    <w:p w14:paraId="2325719B" w14:textId="72782FE6" w:rsidR="00047C1D" w:rsidRPr="00B74E74" w:rsidRDefault="00047C1D" w:rsidP="00A33695">
      <w:pPr>
        <w:jc w:val="center"/>
        <w:rPr>
          <w:rFonts w:ascii="Times New Roman" w:hAnsi="Times New Roman"/>
          <w:b/>
          <w:sz w:val="24"/>
        </w:rPr>
      </w:pPr>
      <w:r w:rsidRPr="00B74E74">
        <w:rPr>
          <w:rFonts w:ascii="Times New Roman" w:hAnsi="Times New Roman"/>
          <w:b/>
          <w:sz w:val="24"/>
        </w:rPr>
        <w:t>ANNEX XII</w:t>
      </w:r>
    </w:p>
    <w:p w14:paraId="52460C1D" w14:textId="5185247E" w:rsidR="002648B0" w:rsidRPr="00B74E74" w:rsidRDefault="00047C1D" w:rsidP="00A33695">
      <w:pPr>
        <w:jc w:val="center"/>
        <w:rPr>
          <w:rFonts w:ascii="Times New Roman" w:hAnsi="Times New Roman"/>
          <w:b/>
          <w:sz w:val="24"/>
        </w:rPr>
      </w:pPr>
      <w:r w:rsidRPr="00B74E74">
        <w:rPr>
          <w:rFonts w:ascii="Times New Roman" w:hAnsi="Times New Roman"/>
          <w:b/>
          <w:sz w:val="24"/>
        </w:rPr>
        <w:t>‘</w:t>
      </w:r>
      <w:r w:rsidR="002648B0" w:rsidRPr="00B74E74">
        <w:rPr>
          <w:rFonts w:ascii="Times New Roman" w:hAnsi="Times New Roman"/>
          <w:b/>
          <w:sz w:val="24"/>
        </w:rPr>
        <w:t xml:space="preserve">ANNEX </w:t>
      </w:r>
      <w:r w:rsidR="000D3636" w:rsidRPr="00B74E74">
        <w:rPr>
          <w:rFonts w:ascii="Times New Roman" w:hAnsi="Times New Roman"/>
          <w:b/>
          <w:sz w:val="24"/>
        </w:rPr>
        <w:t>XXVI</w:t>
      </w:r>
      <w:r w:rsidR="00837E6A" w:rsidRPr="00B74E74">
        <w:rPr>
          <w:rFonts w:ascii="Times New Roman" w:hAnsi="Times New Roman"/>
          <w:b/>
          <w:sz w:val="24"/>
        </w:rPr>
        <w:t>I</w:t>
      </w:r>
    </w:p>
    <w:p w14:paraId="644BA8AC" w14:textId="2283CABE" w:rsidR="002648B0" w:rsidRPr="00B74E74" w:rsidRDefault="002648B0" w:rsidP="00C87CEE">
      <w:pPr>
        <w:jc w:val="center"/>
        <w:rPr>
          <w:rFonts w:ascii="Times New Roman" w:hAnsi="Times New Roman"/>
          <w:b/>
          <w:sz w:val="24"/>
          <w:lang w:eastAsia="de-DE"/>
        </w:rPr>
      </w:pPr>
      <w:r w:rsidRPr="00B74E74">
        <w:rPr>
          <w:rFonts w:ascii="Times New Roman" w:hAnsi="Times New Roman"/>
          <w:b/>
          <w:sz w:val="24"/>
          <w:lang w:eastAsia="de-DE"/>
        </w:rPr>
        <w:t xml:space="preserve">REPORTING </w:t>
      </w:r>
      <w:r w:rsidR="00EC067D" w:rsidRPr="00B74E74">
        <w:rPr>
          <w:rFonts w:ascii="Times New Roman" w:hAnsi="Times New Roman"/>
          <w:b/>
          <w:sz w:val="24"/>
          <w:lang w:eastAsia="de-DE"/>
        </w:rPr>
        <w:t xml:space="preserve">INSTRUCTIONS </w:t>
      </w:r>
      <w:r w:rsidR="009C42F0" w:rsidRPr="00B74E74">
        <w:rPr>
          <w:rFonts w:ascii="Times New Roman" w:hAnsi="Times New Roman"/>
          <w:b/>
          <w:sz w:val="24"/>
          <w:lang w:eastAsia="de-DE"/>
        </w:rPr>
        <w:t xml:space="preserve">FOR THE PURPOSE OF IDENTIFYING </w:t>
      </w:r>
      <w:r w:rsidR="00AA2374" w:rsidRPr="00B74E74">
        <w:rPr>
          <w:rFonts w:ascii="Times New Roman" w:hAnsi="Times New Roman"/>
          <w:b/>
          <w:sz w:val="24"/>
          <w:lang w:eastAsia="de-DE"/>
        </w:rPr>
        <w:t xml:space="preserve">G-SIIs </w:t>
      </w:r>
      <w:r w:rsidR="009C42F0" w:rsidRPr="00B74E74">
        <w:rPr>
          <w:rFonts w:ascii="Times New Roman" w:hAnsi="Times New Roman"/>
          <w:b/>
          <w:sz w:val="24"/>
          <w:lang w:eastAsia="de-DE"/>
        </w:rPr>
        <w:t>AND ASSIGNING G-SII BUFFER RATES</w:t>
      </w:r>
      <w:r w:rsidR="00087903" w:rsidRPr="00B74E74">
        <w:rPr>
          <w:rFonts w:ascii="Times New Roman" w:hAnsi="Times New Roman"/>
          <w:b/>
          <w:sz w:val="24"/>
          <w:lang w:eastAsia="de-DE"/>
        </w:rPr>
        <w:t xml:space="preserve"> </w:t>
      </w:r>
    </w:p>
    <w:p w14:paraId="4592BD27" w14:textId="77777777" w:rsidR="00436204" w:rsidRPr="00B74E74" w:rsidRDefault="00436204" w:rsidP="00C87CEE">
      <w:pPr>
        <w:jc w:val="center"/>
        <w:rPr>
          <w:rFonts w:ascii="Times New Roman" w:hAnsi="Times New Roman"/>
          <w:b/>
          <w:sz w:val="24"/>
          <w:lang w:eastAsia="de-DE"/>
        </w:rPr>
      </w:pPr>
    </w:p>
    <w:p w14:paraId="296F65E0" w14:textId="77777777" w:rsidR="00783881" w:rsidRPr="00B74E74" w:rsidRDefault="002648B0" w:rsidP="00B94200">
      <w:pPr>
        <w:pStyle w:val="InstructionsText"/>
      </w:pPr>
      <w:r w:rsidRPr="00B74E74">
        <w:t>Table of Contents</w:t>
      </w:r>
    </w:p>
    <w:p w14:paraId="6AF4BC9C" w14:textId="4D0E22E6" w:rsidR="008249BD" w:rsidRDefault="00745369">
      <w:pPr>
        <w:pStyle w:val="TOC2"/>
        <w:rPr>
          <w:rFonts w:asciiTheme="minorHAnsi" w:eastAsiaTheme="minorEastAsia" w:hAnsiTheme="minorHAnsi" w:cstheme="minorBidi"/>
          <w:b w:val="0"/>
          <w:smallCaps w:val="0"/>
          <w:sz w:val="22"/>
          <w:lang w:eastAsia="en-GB"/>
        </w:rPr>
      </w:pPr>
      <w:r w:rsidRPr="00B74E74">
        <w:rPr>
          <w:rFonts w:ascii="Times New Roman" w:hAnsi="Times New Roman"/>
          <w:noProof w:val="0"/>
          <w:sz w:val="24"/>
          <w:szCs w:val="24"/>
        </w:rPr>
        <w:fldChar w:fldCharType="begin"/>
      </w:r>
      <w:r w:rsidR="002648B0" w:rsidRPr="00B74E74">
        <w:rPr>
          <w:rFonts w:ascii="Times New Roman" w:hAnsi="Times New Roman"/>
          <w:noProof w:val="0"/>
          <w:sz w:val="24"/>
          <w:szCs w:val="24"/>
        </w:rPr>
        <w:instrText xml:space="preserve"> TOC \o "1-3" \h \z \u </w:instrText>
      </w:r>
      <w:r w:rsidRPr="00B74E74">
        <w:rPr>
          <w:rFonts w:ascii="Times New Roman" w:hAnsi="Times New Roman"/>
          <w:noProof w:val="0"/>
          <w:sz w:val="24"/>
          <w:szCs w:val="24"/>
        </w:rPr>
        <w:fldChar w:fldCharType="separate"/>
      </w:r>
      <w:hyperlink w:anchor="_Toc103869207" w:history="1">
        <w:r w:rsidR="008249BD" w:rsidRPr="005A3E6B">
          <w:rPr>
            <w:rStyle w:val="Hyperlink"/>
          </w:rPr>
          <w:t>PART I: GENERAL INSTRUCTIONS</w:t>
        </w:r>
        <w:r w:rsidR="008249BD">
          <w:rPr>
            <w:webHidden/>
          </w:rPr>
          <w:tab/>
        </w:r>
        <w:r w:rsidR="008249BD">
          <w:rPr>
            <w:webHidden/>
          </w:rPr>
          <w:fldChar w:fldCharType="begin"/>
        </w:r>
        <w:r w:rsidR="008249BD">
          <w:rPr>
            <w:webHidden/>
          </w:rPr>
          <w:instrText xml:space="preserve"> PAGEREF _Toc103869207 \h </w:instrText>
        </w:r>
        <w:r w:rsidR="008249BD">
          <w:rPr>
            <w:webHidden/>
          </w:rPr>
        </w:r>
        <w:r w:rsidR="008249BD">
          <w:rPr>
            <w:webHidden/>
          </w:rPr>
          <w:fldChar w:fldCharType="separate"/>
        </w:r>
        <w:r w:rsidR="008249BD">
          <w:rPr>
            <w:webHidden/>
          </w:rPr>
          <w:t>2</w:t>
        </w:r>
        <w:r w:rsidR="008249BD">
          <w:rPr>
            <w:webHidden/>
          </w:rPr>
          <w:fldChar w:fldCharType="end"/>
        </w:r>
      </w:hyperlink>
    </w:p>
    <w:p w14:paraId="49F49619" w14:textId="0E22EF1D" w:rsidR="008249BD" w:rsidRDefault="00830872">
      <w:pPr>
        <w:pStyle w:val="TOC2"/>
        <w:rPr>
          <w:rFonts w:asciiTheme="minorHAnsi" w:eastAsiaTheme="minorEastAsia" w:hAnsiTheme="minorHAnsi" w:cstheme="minorBidi"/>
          <w:b w:val="0"/>
          <w:smallCaps w:val="0"/>
          <w:sz w:val="22"/>
          <w:lang w:eastAsia="en-GB"/>
        </w:rPr>
      </w:pPr>
      <w:hyperlink w:anchor="_Toc103869208" w:history="1">
        <w:r w:rsidR="008249BD" w:rsidRPr="005A3E6B">
          <w:rPr>
            <w:rStyle w:val="Hyperlink"/>
          </w:rPr>
          <w:t>1.</w:t>
        </w:r>
        <w:r w:rsidR="008249BD">
          <w:rPr>
            <w:rFonts w:asciiTheme="minorHAnsi" w:eastAsiaTheme="minorEastAsia" w:hAnsiTheme="minorHAnsi" w:cstheme="minorBidi"/>
            <w:b w:val="0"/>
            <w:smallCaps w:val="0"/>
            <w:sz w:val="22"/>
            <w:lang w:eastAsia="en-GB"/>
          </w:rPr>
          <w:tab/>
        </w:r>
        <w:r w:rsidR="008249BD" w:rsidRPr="005A3E6B">
          <w:rPr>
            <w:rStyle w:val="Hyperlink"/>
          </w:rPr>
          <w:t>Structure and conventions</w:t>
        </w:r>
        <w:r w:rsidR="008249BD">
          <w:rPr>
            <w:webHidden/>
          </w:rPr>
          <w:tab/>
        </w:r>
        <w:r w:rsidR="008249BD">
          <w:rPr>
            <w:webHidden/>
          </w:rPr>
          <w:fldChar w:fldCharType="begin"/>
        </w:r>
        <w:r w:rsidR="008249BD">
          <w:rPr>
            <w:webHidden/>
          </w:rPr>
          <w:instrText xml:space="preserve"> PAGEREF _Toc103869208 \h </w:instrText>
        </w:r>
        <w:r w:rsidR="008249BD">
          <w:rPr>
            <w:webHidden/>
          </w:rPr>
        </w:r>
        <w:r w:rsidR="008249BD">
          <w:rPr>
            <w:webHidden/>
          </w:rPr>
          <w:fldChar w:fldCharType="separate"/>
        </w:r>
        <w:r w:rsidR="008249BD">
          <w:rPr>
            <w:webHidden/>
          </w:rPr>
          <w:t>2</w:t>
        </w:r>
        <w:r w:rsidR="008249BD">
          <w:rPr>
            <w:webHidden/>
          </w:rPr>
          <w:fldChar w:fldCharType="end"/>
        </w:r>
      </w:hyperlink>
    </w:p>
    <w:p w14:paraId="472F0670" w14:textId="12BBB2C1" w:rsidR="008249BD" w:rsidRDefault="00830872">
      <w:pPr>
        <w:pStyle w:val="TOC2"/>
        <w:rPr>
          <w:rFonts w:asciiTheme="minorHAnsi" w:eastAsiaTheme="minorEastAsia" w:hAnsiTheme="minorHAnsi" w:cstheme="minorBidi"/>
          <w:b w:val="0"/>
          <w:smallCaps w:val="0"/>
          <w:sz w:val="22"/>
          <w:lang w:eastAsia="en-GB"/>
        </w:rPr>
      </w:pPr>
      <w:hyperlink w:anchor="_Toc103869209" w:history="1">
        <w:r w:rsidR="008249BD" w:rsidRPr="005A3E6B">
          <w:rPr>
            <w:rStyle w:val="Hyperlink"/>
          </w:rPr>
          <w:t>1.1.</w:t>
        </w:r>
        <w:r w:rsidR="008249BD">
          <w:rPr>
            <w:rFonts w:asciiTheme="minorHAnsi" w:eastAsiaTheme="minorEastAsia" w:hAnsiTheme="minorHAnsi" w:cstheme="minorBidi"/>
            <w:b w:val="0"/>
            <w:smallCaps w:val="0"/>
            <w:sz w:val="22"/>
            <w:lang w:eastAsia="en-GB"/>
          </w:rPr>
          <w:tab/>
        </w:r>
        <w:r w:rsidR="008249BD" w:rsidRPr="005A3E6B">
          <w:rPr>
            <w:rStyle w:val="Hyperlink"/>
          </w:rPr>
          <w:t>Structure</w:t>
        </w:r>
        <w:r w:rsidR="008249BD">
          <w:rPr>
            <w:webHidden/>
          </w:rPr>
          <w:tab/>
        </w:r>
        <w:r w:rsidR="008249BD">
          <w:rPr>
            <w:webHidden/>
          </w:rPr>
          <w:fldChar w:fldCharType="begin"/>
        </w:r>
        <w:r w:rsidR="008249BD">
          <w:rPr>
            <w:webHidden/>
          </w:rPr>
          <w:instrText xml:space="preserve"> PAGEREF _Toc103869209 \h </w:instrText>
        </w:r>
        <w:r w:rsidR="008249BD">
          <w:rPr>
            <w:webHidden/>
          </w:rPr>
        </w:r>
        <w:r w:rsidR="008249BD">
          <w:rPr>
            <w:webHidden/>
          </w:rPr>
          <w:fldChar w:fldCharType="separate"/>
        </w:r>
        <w:r w:rsidR="008249BD">
          <w:rPr>
            <w:webHidden/>
          </w:rPr>
          <w:t>2</w:t>
        </w:r>
        <w:r w:rsidR="008249BD">
          <w:rPr>
            <w:webHidden/>
          </w:rPr>
          <w:fldChar w:fldCharType="end"/>
        </w:r>
      </w:hyperlink>
    </w:p>
    <w:p w14:paraId="7216C9DB" w14:textId="48F961DC" w:rsidR="008249BD" w:rsidRDefault="00830872">
      <w:pPr>
        <w:pStyle w:val="TOC2"/>
        <w:rPr>
          <w:rFonts w:asciiTheme="minorHAnsi" w:eastAsiaTheme="minorEastAsia" w:hAnsiTheme="minorHAnsi" w:cstheme="minorBidi"/>
          <w:b w:val="0"/>
          <w:smallCaps w:val="0"/>
          <w:sz w:val="22"/>
          <w:lang w:eastAsia="en-GB"/>
        </w:rPr>
      </w:pPr>
      <w:hyperlink w:anchor="_Toc103869210" w:history="1">
        <w:r w:rsidR="008249BD" w:rsidRPr="005A3E6B">
          <w:rPr>
            <w:rStyle w:val="Hyperlink"/>
          </w:rPr>
          <w:t>1.2.</w:t>
        </w:r>
        <w:r w:rsidR="008249BD">
          <w:rPr>
            <w:rFonts w:asciiTheme="minorHAnsi" w:eastAsiaTheme="minorEastAsia" w:hAnsiTheme="minorHAnsi" w:cstheme="minorBidi"/>
            <w:b w:val="0"/>
            <w:smallCaps w:val="0"/>
            <w:sz w:val="22"/>
            <w:lang w:eastAsia="en-GB"/>
          </w:rPr>
          <w:tab/>
        </w:r>
        <w:r w:rsidR="008249BD" w:rsidRPr="005A3E6B">
          <w:rPr>
            <w:rStyle w:val="Hyperlink"/>
          </w:rPr>
          <w:t>Numbering convention</w:t>
        </w:r>
        <w:r w:rsidR="008249BD">
          <w:rPr>
            <w:webHidden/>
          </w:rPr>
          <w:tab/>
        </w:r>
        <w:r w:rsidR="008249BD">
          <w:rPr>
            <w:webHidden/>
          </w:rPr>
          <w:fldChar w:fldCharType="begin"/>
        </w:r>
        <w:r w:rsidR="008249BD">
          <w:rPr>
            <w:webHidden/>
          </w:rPr>
          <w:instrText xml:space="preserve"> PAGEREF _Toc103869210 \h </w:instrText>
        </w:r>
        <w:r w:rsidR="008249BD">
          <w:rPr>
            <w:webHidden/>
          </w:rPr>
        </w:r>
        <w:r w:rsidR="008249BD">
          <w:rPr>
            <w:webHidden/>
          </w:rPr>
          <w:fldChar w:fldCharType="separate"/>
        </w:r>
        <w:r w:rsidR="008249BD">
          <w:rPr>
            <w:webHidden/>
          </w:rPr>
          <w:t>2</w:t>
        </w:r>
        <w:r w:rsidR="008249BD">
          <w:rPr>
            <w:webHidden/>
          </w:rPr>
          <w:fldChar w:fldCharType="end"/>
        </w:r>
      </w:hyperlink>
    </w:p>
    <w:p w14:paraId="6F4AC839" w14:textId="52501A6D" w:rsidR="008249BD" w:rsidRDefault="00830872">
      <w:pPr>
        <w:pStyle w:val="TOC2"/>
        <w:rPr>
          <w:rFonts w:asciiTheme="minorHAnsi" w:eastAsiaTheme="minorEastAsia" w:hAnsiTheme="minorHAnsi" w:cstheme="minorBidi"/>
          <w:b w:val="0"/>
          <w:smallCaps w:val="0"/>
          <w:sz w:val="22"/>
          <w:lang w:eastAsia="en-GB"/>
        </w:rPr>
      </w:pPr>
      <w:hyperlink w:anchor="_Toc103869211" w:history="1">
        <w:r w:rsidR="008249BD" w:rsidRPr="005A3E6B">
          <w:rPr>
            <w:rStyle w:val="Hyperlink"/>
          </w:rPr>
          <w:t>1.3.</w:t>
        </w:r>
        <w:r w:rsidR="008249BD">
          <w:rPr>
            <w:rFonts w:asciiTheme="minorHAnsi" w:eastAsiaTheme="minorEastAsia" w:hAnsiTheme="minorHAnsi" w:cstheme="minorBidi"/>
            <w:b w:val="0"/>
            <w:smallCaps w:val="0"/>
            <w:sz w:val="22"/>
            <w:lang w:eastAsia="en-GB"/>
          </w:rPr>
          <w:tab/>
        </w:r>
        <w:r w:rsidR="008249BD" w:rsidRPr="005A3E6B">
          <w:rPr>
            <w:rStyle w:val="Hyperlink"/>
          </w:rPr>
          <w:t>Sign convention</w:t>
        </w:r>
        <w:r w:rsidR="008249BD">
          <w:rPr>
            <w:webHidden/>
          </w:rPr>
          <w:tab/>
        </w:r>
        <w:r w:rsidR="008249BD">
          <w:rPr>
            <w:webHidden/>
          </w:rPr>
          <w:fldChar w:fldCharType="begin"/>
        </w:r>
        <w:r w:rsidR="008249BD">
          <w:rPr>
            <w:webHidden/>
          </w:rPr>
          <w:instrText xml:space="preserve"> PAGEREF _Toc103869211 \h </w:instrText>
        </w:r>
        <w:r w:rsidR="008249BD">
          <w:rPr>
            <w:webHidden/>
          </w:rPr>
        </w:r>
        <w:r w:rsidR="008249BD">
          <w:rPr>
            <w:webHidden/>
          </w:rPr>
          <w:fldChar w:fldCharType="separate"/>
        </w:r>
        <w:r w:rsidR="008249BD">
          <w:rPr>
            <w:webHidden/>
          </w:rPr>
          <w:t>2</w:t>
        </w:r>
        <w:r w:rsidR="008249BD">
          <w:rPr>
            <w:webHidden/>
          </w:rPr>
          <w:fldChar w:fldCharType="end"/>
        </w:r>
      </w:hyperlink>
    </w:p>
    <w:p w14:paraId="22F021AE" w14:textId="789052F2" w:rsidR="008249BD" w:rsidRDefault="00830872">
      <w:pPr>
        <w:pStyle w:val="TOC2"/>
        <w:rPr>
          <w:rFonts w:asciiTheme="minorHAnsi" w:eastAsiaTheme="minorEastAsia" w:hAnsiTheme="minorHAnsi" w:cstheme="minorBidi"/>
          <w:b w:val="0"/>
          <w:smallCaps w:val="0"/>
          <w:sz w:val="22"/>
          <w:lang w:eastAsia="en-GB"/>
        </w:rPr>
      </w:pPr>
      <w:hyperlink w:anchor="_Toc103869212" w:history="1">
        <w:r w:rsidR="008249BD" w:rsidRPr="005A3E6B">
          <w:rPr>
            <w:rStyle w:val="Hyperlink"/>
          </w:rPr>
          <w:t>PART II: TEMPLATE RELATED INSTRUCTIONS</w:t>
        </w:r>
        <w:r w:rsidR="008249BD">
          <w:rPr>
            <w:webHidden/>
          </w:rPr>
          <w:tab/>
        </w:r>
        <w:r w:rsidR="008249BD">
          <w:rPr>
            <w:webHidden/>
          </w:rPr>
          <w:fldChar w:fldCharType="begin"/>
        </w:r>
        <w:r w:rsidR="008249BD">
          <w:rPr>
            <w:webHidden/>
          </w:rPr>
          <w:instrText xml:space="preserve"> PAGEREF _Toc103869212 \h </w:instrText>
        </w:r>
        <w:r w:rsidR="008249BD">
          <w:rPr>
            <w:webHidden/>
          </w:rPr>
        </w:r>
        <w:r w:rsidR="008249BD">
          <w:rPr>
            <w:webHidden/>
          </w:rPr>
          <w:fldChar w:fldCharType="separate"/>
        </w:r>
        <w:r w:rsidR="008249BD">
          <w:rPr>
            <w:webHidden/>
          </w:rPr>
          <w:t>3</w:t>
        </w:r>
        <w:r w:rsidR="008249BD">
          <w:rPr>
            <w:webHidden/>
          </w:rPr>
          <w:fldChar w:fldCharType="end"/>
        </w:r>
      </w:hyperlink>
    </w:p>
    <w:p w14:paraId="7148C422" w14:textId="0BFF6530" w:rsidR="008249BD" w:rsidRDefault="00830872">
      <w:pPr>
        <w:pStyle w:val="TOC2"/>
        <w:rPr>
          <w:rFonts w:asciiTheme="minorHAnsi" w:eastAsiaTheme="minorEastAsia" w:hAnsiTheme="minorHAnsi" w:cstheme="minorBidi"/>
          <w:b w:val="0"/>
          <w:smallCaps w:val="0"/>
          <w:sz w:val="22"/>
          <w:lang w:eastAsia="en-GB"/>
        </w:rPr>
      </w:pPr>
      <w:hyperlink w:anchor="_Toc103869213" w:history="1">
        <w:r w:rsidR="008249BD" w:rsidRPr="005A3E6B">
          <w:rPr>
            <w:rStyle w:val="Hyperlink"/>
          </w:rPr>
          <w:t>1.</w:t>
        </w:r>
        <w:r w:rsidR="008249BD">
          <w:rPr>
            <w:rFonts w:asciiTheme="minorHAnsi" w:eastAsiaTheme="minorEastAsia" w:hAnsiTheme="minorHAnsi" w:cstheme="minorBidi"/>
            <w:b w:val="0"/>
            <w:smallCaps w:val="0"/>
            <w:sz w:val="22"/>
            <w:lang w:eastAsia="en-GB"/>
          </w:rPr>
          <w:tab/>
        </w:r>
        <w:r w:rsidR="008249BD" w:rsidRPr="005A3E6B">
          <w:rPr>
            <w:rStyle w:val="Hyperlink"/>
          </w:rPr>
          <w:t>General remarks</w:t>
        </w:r>
        <w:r w:rsidR="008249BD">
          <w:rPr>
            <w:webHidden/>
          </w:rPr>
          <w:tab/>
        </w:r>
        <w:r w:rsidR="008249BD">
          <w:rPr>
            <w:webHidden/>
          </w:rPr>
          <w:fldChar w:fldCharType="begin"/>
        </w:r>
        <w:r w:rsidR="008249BD">
          <w:rPr>
            <w:webHidden/>
          </w:rPr>
          <w:instrText xml:space="preserve"> PAGEREF _Toc103869213 \h </w:instrText>
        </w:r>
        <w:r w:rsidR="008249BD">
          <w:rPr>
            <w:webHidden/>
          </w:rPr>
        </w:r>
        <w:r w:rsidR="008249BD">
          <w:rPr>
            <w:webHidden/>
          </w:rPr>
          <w:fldChar w:fldCharType="separate"/>
        </w:r>
        <w:r w:rsidR="008249BD">
          <w:rPr>
            <w:webHidden/>
          </w:rPr>
          <w:t>3</w:t>
        </w:r>
        <w:r w:rsidR="008249BD">
          <w:rPr>
            <w:webHidden/>
          </w:rPr>
          <w:fldChar w:fldCharType="end"/>
        </w:r>
      </w:hyperlink>
    </w:p>
    <w:p w14:paraId="0F9947D6" w14:textId="7B63F469" w:rsidR="008249BD" w:rsidRDefault="00830872">
      <w:pPr>
        <w:pStyle w:val="TOC2"/>
        <w:rPr>
          <w:rFonts w:asciiTheme="minorHAnsi" w:eastAsiaTheme="minorEastAsia" w:hAnsiTheme="minorHAnsi" w:cstheme="minorBidi"/>
          <w:b w:val="0"/>
          <w:smallCaps w:val="0"/>
          <w:sz w:val="22"/>
          <w:lang w:eastAsia="en-GB"/>
        </w:rPr>
      </w:pPr>
      <w:hyperlink w:anchor="_Toc103869214" w:history="1">
        <w:r w:rsidR="008249BD" w:rsidRPr="005A3E6B">
          <w:rPr>
            <w:rStyle w:val="Hyperlink"/>
          </w:rPr>
          <w:t>2.</w:t>
        </w:r>
        <w:r w:rsidR="008249BD">
          <w:rPr>
            <w:rFonts w:asciiTheme="minorHAnsi" w:eastAsiaTheme="minorEastAsia" w:hAnsiTheme="minorHAnsi" w:cstheme="minorBidi"/>
            <w:b w:val="0"/>
            <w:smallCaps w:val="0"/>
            <w:sz w:val="22"/>
            <w:lang w:eastAsia="en-GB"/>
          </w:rPr>
          <w:tab/>
        </w:r>
        <w:r w:rsidR="008249BD" w:rsidRPr="005A3E6B">
          <w:rPr>
            <w:rStyle w:val="Hyperlink"/>
          </w:rPr>
          <w:t>Instructions concerning specific positions</w:t>
        </w:r>
        <w:r w:rsidR="008249BD">
          <w:rPr>
            <w:webHidden/>
          </w:rPr>
          <w:tab/>
        </w:r>
        <w:r w:rsidR="008249BD">
          <w:rPr>
            <w:webHidden/>
          </w:rPr>
          <w:fldChar w:fldCharType="begin"/>
        </w:r>
        <w:r w:rsidR="008249BD">
          <w:rPr>
            <w:webHidden/>
          </w:rPr>
          <w:instrText xml:space="preserve"> PAGEREF _Toc103869214 \h </w:instrText>
        </w:r>
        <w:r w:rsidR="008249BD">
          <w:rPr>
            <w:webHidden/>
          </w:rPr>
        </w:r>
        <w:r w:rsidR="008249BD">
          <w:rPr>
            <w:webHidden/>
          </w:rPr>
          <w:fldChar w:fldCharType="separate"/>
        </w:r>
        <w:r w:rsidR="008249BD">
          <w:rPr>
            <w:webHidden/>
          </w:rPr>
          <w:t>3</w:t>
        </w:r>
        <w:r w:rsidR="008249BD">
          <w:rPr>
            <w:webHidden/>
          </w:rPr>
          <w:fldChar w:fldCharType="end"/>
        </w:r>
      </w:hyperlink>
    </w:p>
    <w:p w14:paraId="7AC7042C" w14:textId="60C46F75" w:rsidR="002648B0" w:rsidRPr="00B74E74" w:rsidRDefault="00745369" w:rsidP="00005FFC">
      <w:pPr>
        <w:rPr>
          <w:rFonts w:ascii="Times New Roman" w:hAnsi="Times New Roman"/>
          <w:sz w:val="24"/>
        </w:rPr>
        <w:sectPr w:rsidR="002648B0" w:rsidRPr="00B74E74" w:rsidSect="004D4419">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417" w:right="1417" w:bottom="1134" w:left="1417" w:header="708" w:footer="708" w:gutter="0"/>
          <w:cols w:space="708"/>
          <w:titlePg/>
          <w:docGrid w:linePitch="360"/>
        </w:sectPr>
      </w:pPr>
      <w:r w:rsidRPr="00B74E74">
        <w:rPr>
          <w:rFonts w:ascii="Times New Roman" w:hAnsi="Times New Roman"/>
          <w:sz w:val="24"/>
        </w:rPr>
        <w:fldChar w:fldCharType="end"/>
      </w:r>
    </w:p>
    <w:p w14:paraId="2820F465" w14:textId="77777777" w:rsidR="002648B0" w:rsidRPr="00B74E74" w:rsidRDefault="002648B0" w:rsidP="00EC067D">
      <w:pPr>
        <w:pStyle w:val="Heading2"/>
      </w:pPr>
      <w:bookmarkStart w:id="2" w:name="_Toc264038394"/>
      <w:bookmarkStart w:id="3" w:name="_Toc360188317"/>
      <w:bookmarkStart w:id="4" w:name="_Toc473560865"/>
      <w:bookmarkStart w:id="5" w:name="_Toc103869207"/>
      <w:r w:rsidRPr="00B74E74">
        <w:lastRenderedPageBreak/>
        <w:t>PART I:</w:t>
      </w:r>
      <w:bookmarkEnd w:id="2"/>
      <w:r w:rsidRPr="00B74E74">
        <w:t xml:space="preserve"> GENERAL INSTRUCTIONS</w:t>
      </w:r>
      <w:bookmarkEnd w:id="3"/>
      <w:bookmarkEnd w:id="4"/>
      <w:bookmarkEnd w:id="5"/>
    </w:p>
    <w:p w14:paraId="134C985E" w14:textId="77777777" w:rsidR="002648B0" w:rsidRPr="00B74E74" w:rsidRDefault="00125707" w:rsidP="00765A2B">
      <w:pPr>
        <w:pStyle w:val="Instructionsberschrift2"/>
        <w:numPr>
          <w:ilvl w:val="0"/>
          <w:numId w:val="0"/>
        </w:numPr>
        <w:ind w:left="360"/>
        <w:rPr>
          <w:rFonts w:cs="Times New Roman"/>
          <w:sz w:val="24"/>
        </w:rPr>
      </w:pPr>
      <w:bookmarkStart w:id="6" w:name="_Toc360188318"/>
      <w:bookmarkStart w:id="7" w:name="_Toc473560866"/>
      <w:bookmarkStart w:id="8" w:name="_Toc103869208"/>
      <w:r w:rsidRPr="00B74E74">
        <w:rPr>
          <w:rFonts w:cs="Times New Roman"/>
          <w:sz w:val="24"/>
        </w:rPr>
        <w:t>1.</w:t>
      </w:r>
      <w:r w:rsidRPr="00B74E74">
        <w:rPr>
          <w:rFonts w:cs="Times New Roman"/>
          <w:sz w:val="24"/>
        </w:rPr>
        <w:tab/>
      </w:r>
      <w:r w:rsidR="002648B0" w:rsidRPr="00B74E74">
        <w:rPr>
          <w:rFonts w:cs="Times New Roman"/>
          <w:sz w:val="24"/>
        </w:rPr>
        <w:t>Structure and conventions</w:t>
      </w:r>
      <w:bookmarkEnd w:id="6"/>
      <w:bookmarkEnd w:id="7"/>
      <w:bookmarkEnd w:id="8"/>
    </w:p>
    <w:p w14:paraId="7C7E012C" w14:textId="77777777" w:rsidR="002648B0" w:rsidRPr="00B74E74" w:rsidRDefault="00125707" w:rsidP="00765A2B">
      <w:pPr>
        <w:pStyle w:val="Instructionsberschrift2"/>
        <w:numPr>
          <w:ilvl w:val="0"/>
          <w:numId w:val="0"/>
        </w:numPr>
        <w:ind w:left="360"/>
        <w:rPr>
          <w:rFonts w:cs="Times New Roman"/>
          <w:sz w:val="24"/>
        </w:rPr>
      </w:pPr>
      <w:bookmarkStart w:id="9" w:name="_Toc360188319"/>
      <w:bookmarkStart w:id="10" w:name="_Toc473560867"/>
      <w:bookmarkStart w:id="11" w:name="_Toc103869209"/>
      <w:bookmarkStart w:id="12" w:name="_Toc264038399"/>
      <w:bookmarkStart w:id="13" w:name="_Toc294018834"/>
      <w:r w:rsidRPr="00B74E74">
        <w:rPr>
          <w:rFonts w:cs="Times New Roman"/>
          <w:sz w:val="24"/>
        </w:rPr>
        <w:t>1.1.</w:t>
      </w:r>
      <w:r w:rsidRPr="00B74E74">
        <w:rPr>
          <w:rFonts w:cs="Times New Roman"/>
          <w:sz w:val="24"/>
        </w:rPr>
        <w:tab/>
      </w:r>
      <w:r w:rsidR="002648B0" w:rsidRPr="00B74E74">
        <w:rPr>
          <w:rFonts w:cs="Times New Roman"/>
          <w:sz w:val="24"/>
        </w:rPr>
        <w:t>Structure</w:t>
      </w:r>
      <w:bookmarkEnd w:id="9"/>
      <w:bookmarkEnd w:id="10"/>
      <w:bookmarkEnd w:id="11"/>
    </w:p>
    <w:p w14:paraId="6C67B776" w14:textId="4E28F620" w:rsidR="005643EA" w:rsidRPr="00B74E74" w:rsidRDefault="00125707" w:rsidP="00B26332">
      <w:pPr>
        <w:pStyle w:val="InstructionsText2"/>
        <w:ind w:left="993"/>
      </w:pPr>
      <w:r w:rsidRPr="00B74E74">
        <w:t>1.</w:t>
      </w:r>
      <w:r w:rsidRPr="00B74E74">
        <w:tab/>
      </w:r>
      <w:r w:rsidR="006137FD" w:rsidRPr="00B74E74">
        <w:t xml:space="preserve">This </w:t>
      </w:r>
      <w:r w:rsidR="008551AF" w:rsidRPr="00B74E74">
        <w:t>reporting</w:t>
      </w:r>
      <w:r w:rsidR="00AA2374" w:rsidRPr="00B74E74">
        <w:t xml:space="preserve"> requirements</w:t>
      </w:r>
      <w:r w:rsidR="008551AF" w:rsidRPr="00B74E74">
        <w:t xml:space="preserve"> aiming to support the identification of globally systemically important institutions (G-SIIs) and assigning corresponding G-SII buffer rates </w:t>
      </w:r>
      <w:r w:rsidR="006137FD" w:rsidRPr="00B74E74">
        <w:t>con</w:t>
      </w:r>
      <w:r w:rsidR="009C42F0" w:rsidRPr="00B74E74">
        <w:t>s</w:t>
      </w:r>
      <w:r w:rsidR="006137FD" w:rsidRPr="00B74E74">
        <w:t xml:space="preserve">ist of one template capturing information on indicators of global systemic importance and particular items needed for the application of the </w:t>
      </w:r>
      <w:r w:rsidR="00B26332" w:rsidRPr="00B74E74">
        <w:t>Union</w:t>
      </w:r>
      <w:r w:rsidR="006137FD" w:rsidRPr="00B74E74">
        <w:t xml:space="preserve">’s methodology for identifying </w:t>
      </w:r>
      <w:r w:rsidR="000D3636" w:rsidRPr="00B74E74">
        <w:t>G-SIIs</w:t>
      </w:r>
      <w:r w:rsidR="009C42F0" w:rsidRPr="00B74E74">
        <w:t xml:space="preserve"> and assigning corresponding G-SII buffer rates</w:t>
      </w:r>
      <w:r w:rsidR="006137FD" w:rsidRPr="00B74E74">
        <w:t>.</w:t>
      </w:r>
    </w:p>
    <w:p w14:paraId="61F62C51" w14:textId="77777777" w:rsidR="002648B0" w:rsidRPr="00B74E74" w:rsidRDefault="00125707" w:rsidP="00765A2B">
      <w:pPr>
        <w:pStyle w:val="Instructionsberschrift2"/>
        <w:numPr>
          <w:ilvl w:val="0"/>
          <w:numId w:val="0"/>
        </w:numPr>
        <w:ind w:left="360"/>
        <w:rPr>
          <w:rFonts w:cs="Times New Roman"/>
          <w:sz w:val="24"/>
        </w:rPr>
      </w:pPr>
      <w:bookmarkStart w:id="14" w:name="_Toc360188320"/>
      <w:bookmarkStart w:id="15" w:name="_Toc473560868"/>
      <w:bookmarkStart w:id="16" w:name="_Toc103869210"/>
      <w:r w:rsidRPr="00B74E74">
        <w:rPr>
          <w:rFonts w:cs="Times New Roman"/>
          <w:sz w:val="24"/>
        </w:rPr>
        <w:t>1.2.</w:t>
      </w:r>
      <w:r w:rsidRPr="00B74E74">
        <w:rPr>
          <w:rFonts w:cs="Times New Roman"/>
          <w:sz w:val="24"/>
        </w:rPr>
        <w:tab/>
      </w:r>
      <w:r w:rsidR="002648B0" w:rsidRPr="00B74E74">
        <w:rPr>
          <w:rFonts w:cs="Times New Roman"/>
          <w:sz w:val="24"/>
        </w:rPr>
        <w:t>Numbering convention</w:t>
      </w:r>
      <w:bookmarkEnd w:id="14"/>
      <w:bookmarkEnd w:id="15"/>
      <w:bookmarkEnd w:id="16"/>
    </w:p>
    <w:p w14:paraId="3C0F0268" w14:textId="5212C39C" w:rsidR="002648B0" w:rsidRPr="00B74E74" w:rsidRDefault="006137FD" w:rsidP="00AB7C07">
      <w:pPr>
        <w:pStyle w:val="InstructionsText2"/>
        <w:ind w:left="993"/>
      </w:pPr>
      <w:r w:rsidRPr="00B74E74">
        <w:t>2</w:t>
      </w:r>
      <w:r w:rsidR="00125707" w:rsidRPr="00B74E74">
        <w:t>.</w:t>
      </w:r>
      <w:r w:rsidR="00125707" w:rsidRPr="00B74E74">
        <w:tab/>
      </w:r>
      <w:r w:rsidR="002648B0" w:rsidRPr="00B74E74">
        <w:t>The document follow</w:t>
      </w:r>
      <w:r w:rsidR="00C93697" w:rsidRPr="00B74E74">
        <w:t>s</w:t>
      </w:r>
      <w:r w:rsidR="002648B0" w:rsidRPr="00B74E74">
        <w:t xml:space="preserve"> the labelling convention set in </w:t>
      </w:r>
      <w:r w:rsidR="00C7103D" w:rsidRPr="00B74E74">
        <w:t xml:space="preserve">points </w:t>
      </w:r>
      <w:r w:rsidRPr="00B74E74">
        <w:t>3</w:t>
      </w:r>
      <w:r w:rsidR="00C7103D" w:rsidRPr="00B74E74">
        <w:t xml:space="preserve"> to </w:t>
      </w:r>
      <w:r w:rsidRPr="00B74E74">
        <w:t>5</w:t>
      </w:r>
      <w:r w:rsidR="002648B0" w:rsidRPr="00B74E74">
        <w:t>, when referring to the columns, rows and cells of the templates. Th</w:t>
      </w:r>
      <w:r w:rsidR="00C7103D" w:rsidRPr="00B74E74">
        <w:t>o</w:t>
      </w:r>
      <w:r w:rsidR="002648B0" w:rsidRPr="00B74E74">
        <w:t>se numerical codes are extensively used in the validation rules.</w:t>
      </w:r>
    </w:p>
    <w:p w14:paraId="26DC2799" w14:textId="2C43513E" w:rsidR="005643EA" w:rsidRPr="00B74E74" w:rsidRDefault="006137FD" w:rsidP="00AB7C07">
      <w:pPr>
        <w:pStyle w:val="InstructionsText2"/>
        <w:ind w:left="993"/>
      </w:pPr>
      <w:r w:rsidRPr="00B74E74">
        <w:t>3</w:t>
      </w:r>
      <w:r w:rsidR="00125707" w:rsidRPr="00B74E74">
        <w:t>.</w:t>
      </w:r>
      <w:r w:rsidR="00125707" w:rsidRPr="00B74E74">
        <w:tab/>
      </w:r>
      <w:r w:rsidR="002648B0" w:rsidRPr="00B74E74">
        <w:t>The following general notation is followed in the instructions: {Template;</w:t>
      </w:r>
      <w:r w:rsidR="00133396" w:rsidRPr="00B74E74">
        <w:t xml:space="preserve"> </w:t>
      </w:r>
      <w:r w:rsidR="002648B0" w:rsidRPr="00B74E74">
        <w:t>Row;</w:t>
      </w:r>
      <w:r w:rsidR="00133396" w:rsidRPr="00B74E74">
        <w:t xml:space="preserve"> </w:t>
      </w:r>
      <w:r w:rsidR="002648B0" w:rsidRPr="00B74E74">
        <w:t>Column}.</w:t>
      </w:r>
    </w:p>
    <w:p w14:paraId="6A9F72AA" w14:textId="632C824C" w:rsidR="005643EA" w:rsidRPr="00B74E74" w:rsidRDefault="006137FD" w:rsidP="00AB7C07">
      <w:pPr>
        <w:pStyle w:val="InstructionsText2"/>
        <w:ind w:left="993"/>
      </w:pPr>
      <w:r w:rsidRPr="00B74E74">
        <w:t>4</w:t>
      </w:r>
      <w:r w:rsidR="00125707" w:rsidRPr="00B74E74">
        <w:t>.</w:t>
      </w:r>
      <w:r w:rsidR="00125707" w:rsidRPr="00B74E74">
        <w:tab/>
      </w:r>
      <w:r w:rsidR="00B26332" w:rsidRPr="00B74E74">
        <w:t>Where</w:t>
      </w:r>
      <w:r w:rsidRPr="00B74E74">
        <w:t xml:space="preserve"> references</w:t>
      </w:r>
      <w:r w:rsidR="002648B0" w:rsidRPr="00B74E74">
        <w:t xml:space="preserve"> </w:t>
      </w:r>
      <w:r w:rsidR="00A367D8" w:rsidRPr="00B74E74">
        <w:t xml:space="preserve">are made </w:t>
      </w:r>
      <w:r w:rsidR="002648B0" w:rsidRPr="00B74E74">
        <w:t xml:space="preserve">inside a template, </w:t>
      </w:r>
      <w:r w:rsidR="000B7FB0" w:rsidRPr="00B74E74">
        <w:t xml:space="preserve">and therefore </w:t>
      </w:r>
      <w:r w:rsidR="002648B0" w:rsidRPr="00B74E74">
        <w:t xml:space="preserve">only data points of that template </w:t>
      </w:r>
      <w:r w:rsidR="00C7103D" w:rsidRPr="00B74E74">
        <w:t xml:space="preserve">are </w:t>
      </w:r>
      <w:r w:rsidR="002648B0" w:rsidRPr="00B74E74">
        <w:t xml:space="preserve">used, </w:t>
      </w:r>
      <w:r w:rsidR="000B7FB0" w:rsidRPr="00B74E74">
        <w:t xml:space="preserve">the </w:t>
      </w:r>
      <w:r w:rsidR="002648B0" w:rsidRPr="00B74E74">
        <w:t xml:space="preserve">notation </w:t>
      </w:r>
      <w:r w:rsidR="00C93697" w:rsidRPr="00B74E74">
        <w:t>do</w:t>
      </w:r>
      <w:r w:rsidR="000B7FB0" w:rsidRPr="00B74E74">
        <w:t>es</w:t>
      </w:r>
      <w:r w:rsidR="002648B0" w:rsidRPr="00B74E74">
        <w:t xml:space="preserve"> not </w:t>
      </w:r>
      <w:r w:rsidR="000B7FB0" w:rsidRPr="00B74E74">
        <w:t>include</w:t>
      </w:r>
      <w:r w:rsidR="002648B0" w:rsidRPr="00B74E74">
        <w:t xml:space="preserve"> a template: {Row;</w:t>
      </w:r>
      <w:r w:rsidR="002C66A4" w:rsidRPr="00B74E74">
        <w:t xml:space="preserve"> </w:t>
      </w:r>
      <w:r w:rsidR="002648B0" w:rsidRPr="00B74E74">
        <w:t>Column}.</w:t>
      </w:r>
      <w:r w:rsidRPr="00B74E74">
        <w:t xml:space="preserve"> </w:t>
      </w:r>
      <w:r w:rsidR="00B26332" w:rsidRPr="00B74E74">
        <w:t>Where</w:t>
      </w:r>
      <w:r w:rsidR="002648B0" w:rsidRPr="00B74E74">
        <w:t xml:space="preserve"> templates </w:t>
      </w:r>
      <w:r w:rsidR="00A367D8" w:rsidRPr="00B74E74">
        <w:t xml:space="preserve">have </w:t>
      </w:r>
      <w:r w:rsidR="002648B0" w:rsidRPr="00B74E74">
        <w:t xml:space="preserve">only one column, only rows </w:t>
      </w:r>
      <w:r w:rsidR="00C93697" w:rsidRPr="00B74E74">
        <w:t>are</w:t>
      </w:r>
      <w:r w:rsidR="002648B0" w:rsidRPr="00B74E74">
        <w:t xml:space="preserve"> referred to {Template;</w:t>
      </w:r>
      <w:r w:rsidR="002C66A4" w:rsidRPr="00B74E74">
        <w:t xml:space="preserve"> </w:t>
      </w:r>
      <w:r w:rsidR="002648B0" w:rsidRPr="00B74E74">
        <w:t>Row}</w:t>
      </w:r>
      <w:r w:rsidRPr="00B74E74">
        <w:t>.</w:t>
      </w:r>
    </w:p>
    <w:p w14:paraId="01FECE3C" w14:textId="482B71E1" w:rsidR="002648B0" w:rsidRPr="00B74E74" w:rsidRDefault="006137FD" w:rsidP="00AB7C07">
      <w:pPr>
        <w:pStyle w:val="InstructionsText2"/>
        <w:ind w:left="993"/>
      </w:pPr>
      <w:r w:rsidRPr="00B74E74">
        <w:t>5.</w:t>
      </w:r>
      <w:r w:rsidR="00125707" w:rsidRPr="00B74E74">
        <w:tab/>
      </w:r>
      <w:r w:rsidR="002648B0" w:rsidRPr="00B74E74">
        <w:t xml:space="preserve">An asterisk sign </w:t>
      </w:r>
      <w:r w:rsidR="00C93697" w:rsidRPr="00B74E74">
        <w:t>is</w:t>
      </w:r>
      <w:r w:rsidR="002648B0" w:rsidRPr="00B74E74">
        <w:t xml:space="preserve"> used to express that the </w:t>
      </w:r>
      <w:r w:rsidRPr="00B74E74">
        <w:t xml:space="preserve">reference captures </w:t>
      </w:r>
      <w:r w:rsidR="002648B0" w:rsidRPr="00B74E74">
        <w:t>the rows or columns specified before.</w:t>
      </w:r>
    </w:p>
    <w:p w14:paraId="273A8B8C" w14:textId="0AF01339" w:rsidR="002648B0" w:rsidRPr="00B74E74" w:rsidRDefault="00125707" w:rsidP="00765A2B">
      <w:pPr>
        <w:pStyle w:val="Instructionsberschrift2"/>
        <w:numPr>
          <w:ilvl w:val="0"/>
          <w:numId w:val="0"/>
        </w:numPr>
        <w:ind w:left="360"/>
        <w:rPr>
          <w:rFonts w:cs="Times New Roman"/>
          <w:sz w:val="24"/>
        </w:rPr>
      </w:pPr>
      <w:bookmarkStart w:id="17" w:name="_Toc360188321"/>
      <w:bookmarkStart w:id="18" w:name="_Toc473560869"/>
      <w:bookmarkStart w:id="19" w:name="_Toc103869211"/>
      <w:r w:rsidRPr="00B74E74">
        <w:rPr>
          <w:rFonts w:cs="Times New Roman"/>
          <w:sz w:val="24"/>
        </w:rPr>
        <w:t>1.3.</w:t>
      </w:r>
      <w:r w:rsidRPr="00B74E74">
        <w:rPr>
          <w:rFonts w:cs="Times New Roman"/>
          <w:sz w:val="24"/>
        </w:rPr>
        <w:tab/>
      </w:r>
      <w:r w:rsidR="002648B0" w:rsidRPr="00B74E74">
        <w:rPr>
          <w:rFonts w:cs="Times New Roman"/>
          <w:sz w:val="24"/>
        </w:rPr>
        <w:t>Sign convention</w:t>
      </w:r>
      <w:bookmarkEnd w:id="12"/>
      <w:bookmarkEnd w:id="13"/>
      <w:bookmarkEnd w:id="17"/>
      <w:bookmarkEnd w:id="18"/>
      <w:bookmarkEnd w:id="19"/>
    </w:p>
    <w:p w14:paraId="0C0832BC" w14:textId="4A4E8717" w:rsidR="002648B0" w:rsidRPr="00B74E74" w:rsidRDefault="006137FD" w:rsidP="00AB7C07">
      <w:pPr>
        <w:pStyle w:val="InstructionsText2"/>
        <w:ind w:left="993"/>
      </w:pPr>
      <w:r w:rsidRPr="00B74E74">
        <w:t>6</w:t>
      </w:r>
      <w:r w:rsidR="00125707" w:rsidRPr="00B74E74">
        <w:t>.</w:t>
      </w:r>
      <w:r w:rsidR="00125707" w:rsidRPr="00B74E74">
        <w:tab/>
      </w:r>
      <w:r w:rsidR="002648B0" w:rsidRPr="00B74E74">
        <w:t xml:space="preserve">Any amount that increases the </w:t>
      </w:r>
      <w:r w:rsidRPr="00B74E74">
        <w:t xml:space="preserve">value of the indicator, the assets, liabilities or exposures </w:t>
      </w:r>
      <w:r w:rsidR="00C93697" w:rsidRPr="00B74E74">
        <w:t>shall</w:t>
      </w:r>
      <w:r w:rsidR="002648B0" w:rsidRPr="00B74E74">
        <w:t xml:space="preserve"> be reported as a positive figure. </w:t>
      </w:r>
      <w:r w:rsidRPr="00B74E74">
        <w:t>A</w:t>
      </w:r>
      <w:r w:rsidR="002648B0" w:rsidRPr="00B74E74">
        <w:t xml:space="preserve">ny amount that reduces the </w:t>
      </w:r>
      <w:r w:rsidRPr="00B74E74">
        <w:t>the value of the indicator, the assets, liabilities or exposures</w:t>
      </w:r>
      <w:r w:rsidR="002648B0" w:rsidRPr="00B74E74">
        <w:t xml:space="preserve"> </w:t>
      </w:r>
      <w:r w:rsidR="00C93697" w:rsidRPr="00B74E74">
        <w:t>shall</w:t>
      </w:r>
      <w:r w:rsidR="002648B0" w:rsidRPr="00B74E74">
        <w:t xml:space="preserve"> be reported as a negative figure. Where there is a negative sign (-) preceding the label of an </w:t>
      </w:r>
      <w:r w:rsidR="0002267E" w:rsidRPr="00B74E74">
        <w:t>item,</w:t>
      </w:r>
      <w:r w:rsidR="002648B0" w:rsidRPr="00B74E74">
        <w:t xml:space="preserve"> no positive figure is expected to be reported for that item.</w:t>
      </w:r>
    </w:p>
    <w:p w14:paraId="078AD951" w14:textId="77777777" w:rsidR="00304CA5" w:rsidRPr="00B74E74" w:rsidRDefault="00304CA5" w:rsidP="00AB7C07">
      <w:pPr>
        <w:pStyle w:val="InstructionsText2"/>
        <w:ind w:left="993"/>
      </w:pPr>
    </w:p>
    <w:p w14:paraId="74BFACB9" w14:textId="77777777" w:rsidR="002648B0" w:rsidRPr="00B74E74" w:rsidRDefault="002648B0" w:rsidP="00B94200">
      <w:pPr>
        <w:pStyle w:val="InstructionsText2"/>
        <w:sectPr w:rsidR="002648B0" w:rsidRPr="00B74E74" w:rsidSect="00A801A9">
          <w:endnotePr>
            <w:numFmt w:val="decimal"/>
          </w:endnotePr>
          <w:pgSz w:w="11906" w:h="16838"/>
          <w:pgMar w:top="1417" w:right="1417" w:bottom="1134" w:left="1417" w:header="708" w:footer="708" w:gutter="0"/>
          <w:cols w:space="708"/>
          <w:rtlGutter/>
          <w:docGrid w:linePitch="360"/>
        </w:sectPr>
      </w:pPr>
      <w:bookmarkStart w:id="20" w:name="_Toc264033192"/>
      <w:bookmarkEnd w:id="20"/>
    </w:p>
    <w:p w14:paraId="039B9D1F" w14:textId="4FC4AE69" w:rsidR="002648B0" w:rsidRPr="00B74E74" w:rsidRDefault="002648B0" w:rsidP="00EC067D">
      <w:pPr>
        <w:pStyle w:val="Heading2"/>
      </w:pPr>
      <w:bookmarkStart w:id="21" w:name="_Toc360188322"/>
      <w:bookmarkStart w:id="22" w:name="_Toc473560870"/>
      <w:bookmarkStart w:id="23" w:name="_Toc103869212"/>
      <w:r w:rsidRPr="00B74E74">
        <w:lastRenderedPageBreak/>
        <w:t>PART II: TEMPLATE RELATED INSTRUCTIONS</w:t>
      </w:r>
      <w:bookmarkEnd w:id="21"/>
      <w:bookmarkEnd w:id="22"/>
      <w:bookmarkEnd w:id="23"/>
    </w:p>
    <w:p w14:paraId="5E8C221B" w14:textId="6A60103B" w:rsidR="002648B0" w:rsidRPr="00B74E74" w:rsidRDefault="00125707" w:rsidP="00765A2B">
      <w:pPr>
        <w:pStyle w:val="Instructionsberschrift2"/>
        <w:numPr>
          <w:ilvl w:val="0"/>
          <w:numId w:val="0"/>
        </w:numPr>
        <w:ind w:left="360"/>
        <w:rPr>
          <w:rFonts w:cs="Times New Roman"/>
          <w:sz w:val="24"/>
        </w:rPr>
      </w:pPr>
      <w:bookmarkStart w:id="24" w:name="_Toc360188323"/>
      <w:bookmarkStart w:id="25" w:name="_Toc473560871"/>
      <w:bookmarkStart w:id="26" w:name="_Toc103869213"/>
      <w:r w:rsidRPr="00B74E74">
        <w:rPr>
          <w:rFonts w:cs="Times New Roman"/>
          <w:sz w:val="24"/>
        </w:rPr>
        <w:t>1.</w:t>
      </w:r>
      <w:r w:rsidRPr="00B74E74">
        <w:rPr>
          <w:rFonts w:cs="Times New Roman"/>
          <w:sz w:val="24"/>
        </w:rPr>
        <w:tab/>
      </w:r>
      <w:bookmarkStart w:id="27" w:name="_Toc308175819"/>
      <w:bookmarkStart w:id="28" w:name="_Toc360188324"/>
      <w:bookmarkStart w:id="29" w:name="_Toc473560872"/>
      <w:bookmarkEnd w:id="24"/>
      <w:bookmarkEnd w:id="25"/>
      <w:r w:rsidR="002648B0" w:rsidRPr="00B74E74">
        <w:rPr>
          <w:rFonts w:cs="Times New Roman"/>
          <w:sz w:val="24"/>
        </w:rPr>
        <w:t>General remarks</w:t>
      </w:r>
      <w:bookmarkEnd w:id="27"/>
      <w:bookmarkEnd w:id="28"/>
      <w:bookmarkEnd w:id="29"/>
      <w:bookmarkEnd w:id="26"/>
    </w:p>
    <w:p w14:paraId="410557ED" w14:textId="58FCFFD9" w:rsidR="006137FD" w:rsidRPr="00B74E74" w:rsidRDefault="00004542" w:rsidP="00AB7C07">
      <w:pPr>
        <w:pStyle w:val="InstructionsText2"/>
        <w:ind w:left="993"/>
      </w:pPr>
      <w:r w:rsidRPr="00B74E74">
        <w:t>8.</w:t>
      </w:r>
      <w:r w:rsidRPr="00B74E74">
        <w:tab/>
      </w:r>
      <w:r w:rsidR="006137FD" w:rsidRPr="00B74E74">
        <w:t xml:space="preserve">The template is divided into two sections. The upper section on G-SII indicators includes the </w:t>
      </w:r>
      <w:r w:rsidR="00C439A7" w:rsidRPr="00B74E74">
        <w:t xml:space="preserve">indicators for identifying globally systemically important institutions as defined in the </w:t>
      </w:r>
      <w:r w:rsidR="000D3636" w:rsidRPr="00B74E74">
        <w:t xml:space="preserve">methodology developed by the </w:t>
      </w:r>
      <w:r w:rsidR="00C439A7" w:rsidRPr="00B74E74">
        <w:t>Basel Committee on Banking Supervision. The lower section contains a number of items needed to calculate the relevant indicators in accordance with the methodology defined on the basis of Article</w:t>
      </w:r>
      <w:r w:rsidR="00FE1150" w:rsidRPr="00B74E74">
        <w:t> </w:t>
      </w:r>
      <w:r w:rsidR="00C439A7" w:rsidRPr="00B74E74">
        <w:t>131(18)</w:t>
      </w:r>
      <w:r w:rsidR="00FE1150" w:rsidRPr="00B74E74">
        <w:t xml:space="preserve"> of</w:t>
      </w:r>
      <w:r w:rsidR="00C439A7" w:rsidRPr="00B74E74">
        <w:t xml:space="preserve"> </w:t>
      </w:r>
      <w:r w:rsidR="00FE1150" w:rsidRPr="00B74E74">
        <w:t>Directive 2013/36/EU</w:t>
      </w:r>
      <w:r w:rsidR="00FE1150" w:rsidRPr="00B74E74">
        <w:rPr>
          <w:rStyle w:val="FootnoteReference"/>
          <w:rFonts w:ascii="Times New Roman" w:hAnsi="Times New Roman"/>
          <w:sz w:val="24"/>
          <w:szCs w:val="24"/>
          <w:vertAlign w:val="superscript"/>
        </w:rPr>
        <w:footnoteReference w:id="2"/>
      </w:r>
      <w:r w:rsidR="00C439A7" w:rsidRPr="00B74E74">
        <w:t xml:space="preserve">. </w:t>
      </w:r>
    </w:p>
    <w:p w14:paraId="285BFC5F" w14:textId="4372324A" w:rsidR="005643EA" w:rsidRPr="00B74E74" w:rsidRDefault="00004542" w:rsidP="00AB7C07">
      <w:pPr>
        <w:pStyle w:val="InstructionsText2"/>
        <w:ind w:left="993"/>
      </w:pPr>
      <w:r w:rsidRPr="00B74E74">
        <w:t>9</w:t>
      </w:r>
      <w:r w:rsidR="00C439A7" w:rsidRPr="00B74E74">
        <w:t>.</w:t>
      </w:r>
      <w:r w:rsidRPr="00B74E74">
        <w:tab/>
      </w:r>
      <w:r w:rsidR="00C439A7" w:rsidRPr="00B74E74">
        <w:t xml:space="preserve">Where relevant, the </w:t>
      </w:r>
      <w:r w:rsidRPr="00B74E74">
        <w:t xml:space="preserve">information provided in this template shall be consistent with the information provided to relevant authorities for the purposes of the </w:t>
      </w:r>
      <w:r w:rsidR="00C439A7" w:rsidRPr="00B74E74">
        <w:t xml:space="preserve">collection of the indicator values by relevant authorities as set out in Article 3(2) of Commission Delegated </w:t>
      </w:r>
      <w:r w:rsidRPr="00B74E74">
        <w:t>Regulation (EU) No 1222/2014</w:t>
      </w:r>
      <w:r w:rsidR="00FE1150" w:rsidRPr="00B74E74">
        <w:rPr>
          <w:rStyle w:val="FootnoteReference"/>
          <w:rFonts w:ascii="Times New Roman" w:hAnsi="Times New Roman"/>
          <w:sz w:val="24"/>
          <w:szCs w:val="24"/>
          <w:vertAlign w:val="superscript"/>
        </w:rPr>
        <w:footnoteReference w:id="3"/>
      </w:r>
      <w:r w:rsidR="00FE1150" w:rsidRPr="00B74E74">
        <w:t>.</w:t>
      </w:r>
    </w:p>
    <w:p w14:paraId="1640AAF5" w14:textId="010F44D6" w:rsidR="002648B0" w:rsidRPr="00B74E74" w:rsidRDefault="00125707" w:rsidP="00765A2B">
      <w:pPr>
        <w:pStyle w:val="Instructionsberschrift2"/>
        <w:numPr>
          <w:ilvl w:val="0"/>
          <w:numId w:val="0"/>
        </w:numPr>
        <w:ind w:left="360"/>
        <w:rPr>
          <w:rFonts w:cs="Times New Roman"/>
          <w:sz w:val="24"/>
        </w:rPr>
      </w:pPr>
      <w:bookmarkStart w:id="30" w:name="_Toc308175821"/>
      <w:bookmarkStart w:id="31" w:name="_Toc310414968"/>
      <w:bookmarkStart w:id="32" w:name="_Toc360188326"/>
      <w:bookmarkStart w:id="33" w:name="_Toc473560874"/>
      <w:bookmarkStart w:id="34" w:name="_Toc103869214"/>
      <w:r w:rsidRPr="00B74E74">
        <w:rPr>
          <w:rFonts w:cs="Times New Roman"/>
          <w:sz w:val="24"/>
        </w:rPr>
        <w:t>2.</w:t>
      </w:r>
      <w:r w:rsidRPr="00B74E74">
        <w:rPr>
          <w:rFonts w:cs="Times New Roman"/>
          <w:sz w:val="24"/>
        </w:rPr>
        <w:tab/>
      </w:r>
      <w:r w:rsidR="002648B0" w:rsidRPr="00B74E74">
        <w:rPr>
          <w:rFonts w:cs="Times New Roman"/>
          <w:sz w:val="24"/>
        </w:rPr>
        <w:t xml:space="preserve">Instructions concerning specific </w:t>
      </w:r>
      <w:bookmarkEnd w:id="30"/>
      <w:bookmarkEnd w:id="31"/>
      <w:r w:rsidR="002B5403" w:rsidRPr="00B74E74">
        <w:rPr>
          <w:rFonts w:cs="Times New Roman"/>
          <w:sz w:val="24"/>
        </w:rPr>
        <w:t>positions</w:t>
      </w:r>
      <w:bookmarkEnd w:id="32"/>
      <w:bookmarkEnd w:id="33"/>
      <w:bookmarkEnd w:id="34"/>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2648B0" w:rsidRPr="00B74E74" w14:paraId="5D5CC09A" w14:textId="77777777" w:rsidTr="00D731E3">
        <w:tc>
          <w:tcPr>
            <w:tcW w:w="1129" w:type="dxa"/>
            <w:shd w:val="clear" w:color="auto" w:fill="D9D9D9"/>
          </w:tcPr>
          <w:p w14:paraId="5EE5330B" w14:textId="77777777" w:rsidR="005643EA" w:rsidRPr="00B74E74" w:rsidRDefault="002648B0" w:rsidP="00B94200">
            <w:pPr>
              <w:pStyle w:val="InstructionsText"/>
              <w:rPr>
                <w:rStyle w:val="InstructionsTabelleText"/>
                <w:rFonts w:ascii="Times New Roman" w:hAnsi="Times New Roman"/>
                <w:bCs/>
                <w:sz w:val="24"/>
                <w:lang w:eastAsia="en-US"/>
              </w:rPr>
            </w:pPr>
            <w:r w:rsidRPr="00B74E74">
              <w:rPr>
                <w:rStyle w:val="InstructionsTabelleText"/>
                <w:rFonts w:ascii="Times New Roman" w:hAnsi="Times New Roman"/>
                <w:sz w:val="24"/>
              </w:rPr>
              <w:t>Row</w:t>
            </w:r>
          </w:p>
        </w:tc>
        <w:tc>
          <w:tcPr>
            <w:tcW w:w="7620" w:type="dxa"/>
            <w:shd w:val="clear" w:color="auto" w:fill="D9D9D9"/>
          </w:tcPr>
          <w:p w14:paraId="19E41094" w14:textId="77777777" w:rsidR="005643EA" w:rsidRPr="00B74E74" w:rsidRDefault="002648B0" w:rsidP="00B94200">
            <w:pPr>
              <w:pStyle w:val="InstructionsText"/>
              <w:rPr>
                <w:rStyle w:val="InstructionsTabelleText"/>
                <w:rFonts w:ascii="Times New Roman" w:hAnsi="Times New Roman"/>
                <w:bCs/>
                <w:sz w:val="24"/>
                <w:lang w:eastAsia="en-US"/>
              </w:rPr>
            </w:pPr>
            <w:r w:rsidRPr="00B74E74">
              <w:rPr>
                <w:rStyle w:val="InstructionsTabelleText"/>
                <w:rFonts w:ascii="Times New Roman" w:hAnsi="Times New Roman"/>
                <w:sz w:val="24"/>
              </w:rPr>
              <w:t>Legal references and instructions</w:t>
            </w:r>
          </w:p>
        </w:tc>
      </w:tr>
      <w:tr w:rsidR="002648B0" w:rsidRPr="00B74E74" w14:paraId="0E5D273A" w14:textId="77777777" w:rsidTr="00D731E3">
        <w:tc>
          <w:tcPr>
            <w:tcW w:w="1129" w:type="dxa"/>
          </w:tcPr>
          <w:p w14:paraId="4A55AEAF" w14:textId="3BFAC98E" w:rsidR="002648B0" w:rsidRPr="00B74E74" w:rsidRDefault="00004542"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w:t>
            </w:r>
            <w:r w:rsidR="002648B0" w:rsidRPr="00B74E74">
              <w:rPr>
                <w:rStyle w:val="FormatvorlageInstructionsTabelleText"/>
                <w:rFonts w:ascii="Times New Roman" w:hAnsi="Times New Roman"/>
                <w:sz w:val="24"/>
              </w:rPr>
              <w:t>010</w:t>
            </w:r>
            <w:r w:rsidRPr="00B74E74">
              <w:rPr>
                <w:rStyle w:val="FormatvorlageInstructionsTabelleText"/>
                <w:rFonts w:ascii="Times New Roman" w:hAnsi="Times New Roman"/>
                <w:sz w:val="24"/>
              </w:rPr>
              <w:t xml:space="preserve"> – 01</w:t>
            </w:r>
            <w:r w:rsidR="00640FB6" w:rsidRPr="00B74E74">
              <w:rPr>
                <w:rStyle w:val="FormatvorlageInstructionsTabelleText"/>
                <w:rFonts w:ascii="Times New Roman" w:hAnsi="Times New Roman"/>
                <w:sz w:val="24"/>
              </w:rPr>
              <w:t>3</w:t>
            </w:r>
            <w:r w:rsidRPr="00B74E74">
              <w:rPr>
                <w:rStyle w:val="FormatvorlageInstructionsTabelleText"/>
                <w:rFonts w:ascii="Times New Roman" w:hAnsi="Times New Roman"/>
                <w:sz w:val="24"/>
              </w:rPr>
              <w:t>0</w:t>
            </w:r>
          </w:p>
        </w:tc>
        <w:tc>
          <w:tcPr>
            <w:tcW w:w="7620" w:type="dxa"/>
          </w:tcPr>
          <w:p w14:paraId="541B4823" w14:textId="0EF9A745" w:rsidR="00D7242F" w:rsidRPr="00B74E74" w:rsidRDefault="00004542"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G-SII indicators</w:t>
            </w:r>
          </w:p>
          <w:p w14:paraId="71B4C248" w14:textId="77777777" w:rsidR="005643EA" w:rsidRPr="00B74E74" w:rsidRDefault="00004542" w:rsidP="00B94200">
            <w:pPr>
              <w:pStyle w:val="InstructionsText2"/>
              <w:rPr>
                <w:rStyle w:val="FormatvorlageInstructionsTabelleText"/>
                <w:rFonts w:ascii="Times New Roman" w:hAnsi="Times New Roman"/>
                <w:sz w:val="24"/>
              </w:rPr>
            </w:pPr>
            <w:r w:rsidRPr="00B74E74">
              <w:rPr>
                <w:rStyle w:val="FormatvorlageInstructionsTabelleText"/>
                <w:rFonts w:ascii="Times New Roman" w:hAnsi="Times New Roman"/>
                <w:sz w:val="24"/>
              </w:rPr>
              <w:t>The definition of the indicators shall be the same as the definition applied for the purposes of determining the information listed in the Annex to Commission Delegated Regulation (EU) No 1222/2014</w:t>
            </w:r>
            <w:r w:rsidR="00EF0DDB" w:rsidRPr="00B74E74">
              <w:rPr>
                <w:rStyle w:val="FormatvorlageInstructionsTabelleText"/>
                <w:rFonts w:ascii="Times New Roman" w:hAnsi="Times New Roman"/>
                <w:sz w:val="24"/>
              </w:rPr>
              <w:t>.</w:t>
            </w:r>
          </w:p>
          <w:p w14:paraId="77AC76F2" w14:textId="4AA15478" w:rsidR="00EF0DDB" w:rsidRPr="00B74E74" w:rsidRDefault="00087903" w:rsidP="00B94200">
            <w:pPr>
              <w:pStyle w:val="InstructionsText2"/>
              <w:rPr>
                <w:rStyle w:val="FormatvorlageInstructionsTabelleText"/>
                <w:rFonts w:ascii="Times New Roman" w:hAnsi="Times New Roman"/>
                <w:sz w:val="24"/>
              </w:rPr>
            </w:pPr>
            <w:r w:rsidRPr="00B74E74">
              <w:rPr>
                <w:rStyle w:val="FormatvorlageInstructionsTabelleText"/>
                <w:rFonts w:ascii="Times New Roman" w:hAnsi="Times New Roman"/>
                <w:sz w:val="24"/>
              </w:rPr>
              <w:t>In case of changes to the</w:t>
            </w:r>
            <w:r w:rsidR="001E1187" w:rsidRPr="00B74E74">
              <w:rPr>
                <w:rStyle w:val="FormatvorlageInstructionsTabelleText"/>
                <w:rFonts w:ascii="Times New Roman" w:hAnsi="Times New Roman"/>
                <w:sz w:val="24"/>
              </w:rPr>
              <w:t xml:space="preserve"> definitions in that</w:t>
            </w:r>
            <w:r w:rsidRPr="00B74E74">
              <w:rPr>
                <w:rStyle w:val="FormatvorlageInstructionsTabelleText"/>
                <w:rFonts w:ascii="Times New Roman" w:hAnsi="Times New Roman"/>
                <w:sz w:val="24"/>
              </w:rPr>
              <w:t xml:space="preserve"> methodolgy</w:t>
            </w:r>
            <w:r w:rsidR="00EF0DDB" w:rsidRPr="00B74E74">
              <w:rPr>
                <w:rStyle w:val="FormatvorlageInstructionsTabelleText"/>
                <w:rFonts w:ascii="Times New Roman" w:hAnsi="Times New Roman"/>
                <w:sz w:val="24"/>
              </w:rPr>
              <w:t>, th</w:t>
            </w:r>
            <w:r w:rsidR="001E1187" w:rsidRPr="00B74E74">
              <w:rPr>
                <w:rStyle w:val="FormatvorlageInstructionsTabelleText"/>
                <w:rFonts w:ascii="Times New Roman" w:hAnsi="Times New Roman"/>
                <w:sz w:val="24"/>
              </w:rPr>
              <w:t>ose amended definitions in the</w:t>
            </w:r>
            <w:r w:rsidRPr="00B74E74">
              <w:rPr>
                <w:rStyle w:val="FormatvorlageInstructionsTabelleText"/>
                <w:rFonts w:ascii="Times New Roman" w:hAnsi="Times New Roman"/>
                <w:sz w:val="24"/>
              </w:rPr>
              <w:t xml:space="preserve"> </w:t>
            </w:r>
            <w:r w:rsidR="00EF0DDB" w:rsidRPr="00B74E74">
              <w:rPr>
                <w:rStyle w:val="FormatvorlageInstructionsTabelleText"/>
                <w:rFonts w:ascii="Times New Roman" w:hAnsi="Times New Roman"/>
                <w:sz w:val="24"/>
              </w:rPr>
              <w:t xml:space="preserve">methodology applicable for determing the indicators values as of the end of </w:t>
            </w:r>
            <w:r w:rsidRPr="00B74E74">
              <w:rPr>
                <w:rStyle w:val="FormatvorlageInstructionsTabelleText"/>
                <w:rFonts w:ascii="Times New Roman" w:hAnsi="Times New Roman"/>
                <w:sz w:val="24"/>
              </w:rPr>
              <w:t>the</w:t>
            </w:r>
            <w:r w:rsidR="00EF0DDB" w:rsidRPr="00B74E74">
              <w:rPr>
                <w:rStyle w:val="FormatvorlageInstructionsTabelleText"/>
                <w:rFonts w:ascii="Times New Roman" w:hAnsi="Times New Roman"/>
                <w:sz w:val="24"/>
              </w:rPr>
              <w:t xml:space="preserve"> financial year </w:t>
            </w:r>
            <w:r w:rsidR="000009B0" w:rsidRPr="00B74E74">
              <w:rPr>
                <w:rStyle w:val="FormatvorlageInstructionsTabelleText"/>
                <w:rFonts w:ascii="Times New Roman" w:hAnsi="Times New Roman"/>
                <w:sz w:val="24"/>
              </w:rPr>
              <w:t xml:space="preserve">(‘year-end methodology’) </w:t>
            </w:r>
            <w:r w:rsidR="00EF0DDB" w:rsidRPr="00B74E74">
              <w:rPr>
                <w:rStyle w:val="FormatvorlageInstructionsTabelleText"/>
                <w:rFonts w:ascii="Times New Roman" w:hAnsi="Times New Roman"/>
                <w:sz w:val="24"/>
              </w:rPr>
              <w:t>shall be used</w:t>
            </w:r>
            <w:r w:rsidRPr="00B74E74">
              <w:rPr>
                <w:rStyle w:val="FormatvorlageInstructionsTabelleText"/>
                <w:rFonts w:ascii="Times New Roman" w:hAnsi="Times New Roman"/>
                <w:sz w:val="24"/>
              </w:rPr>
              <w:t xml:space="preserve"> for the purposes of reporting information as of the end of the first, second and third quarter of that same financial year.</w:t>
            </w:r>
            <w:r w:rsidR="000009B0" w:rsidRPr="00B74E74">
              <w:rPr>
                <w:rStyle w:val="FormatvorlageInstructionsTabelleText"/>
                <w:rFonts w:ascii="Times New Roman" w:hAnsi="Times New Roman"/>
                <w:sz w:val="24"/>
              </w:rPr>
              <w:t xml:space="preserve"> Where the template of Annex XXVI is subject to amendments in the course of the financial year in question, the year-end methodology </w:t>
            </w:r>
            <w:r w:rsidR="007B4739" w:rsidRPr="00B74E74">
              <w:rPr>
                <w:rStyle w:val="FormatvorlageInstructionsTabelleText"/>
                <w:rFonts w:ascii="Times New Roman" w:hAnsi="Times New Roman"/>
                <w:sz w:val="24"/>
              </w:rPr>
              <w:t>shall</w:t>
            </w:r>
            <w:r w:rsidR="000009B0" w:rsidRPr="00B74E74">
              <w:rPr>
                <w:rStyle w:val="FormatvorlageInstructionsTabelleText"/>
                <w:rFonts w:ascii="Times New Roman" w:hAnsi="Times New Roman"/>
                <w:sz w:val="24"/>
              </w:rPr>
              <w:t xml:space="preserve"> be applied </w:t>
            </w:r>
            <w:r w:rsidR="007B4739" w:rsidRPr="00B74E74">
              <w:rPr>
                <w:rStyle w:val="FormatvorlageInstructionsTabelleText"/>
                <w:rFonts w:ascii="Times New Roman" w:hAnsi="Times New Roman"/>
                <w:sz w:val="24"/>
              </w:rPr>
              <w:t xml:space="preserve">from the first applicable </w:t>
            </w:r>
            <w:r w:rsidR="000009B0" w:rsidRPr="00B74E74">
              <w:rPr>
                <w:rStyle w:val="FormatvorlageInstructionsTabelleText"/>
                <w:rFonts w:ascii="Times New Roman" w:hAnsi="Times New Roman"/>
                <w:sz w:val="24"/>
              </w:rPr>
              <w:t xml:space="preserve">reference dates </w:t>
            </w:r>
            <w:r w:rsidR="007B4739" w:rsidRPr="00B74E74">
              <w:rPr>
                <w:rStyle w:val="FormatvorlageInstructionsTabelleText"/>
                <w:rFonts w:ascii="Times New Roman" w:hAnsi="Times New Roman"/>
                <w:sz w:val="24"/>
              </w:rPr>
              <w:t>after the entry into force of the amending Regulation</w:t>
            </w:r>
            <w:r w:rsidR="000009B0" w:rsidRPr="00B74E74">
              <w:rPr>
                <w:rStyle w:val="FormatvorlageInstructionsTabelleText"/>
                <w:rFonts w:ascii="Times New Roman" w:hAnsi="Times New Roman"/>
                <w:sz w:val="24"/>
              </w:rPr>
              <w:t>.</w:t>
            </w:r>
          </w:p>
          <w:p w14:paraId="09DD6AF6" w14:textId="46653849" w:rsidR="00805C7A" w:rsidRPr="00B74E74" w:rsidRDefault="00805C7A" w:rsidP="00B94200">
            <w:pPr>
              <w:pStyle w:val="InstructionsText2"/>
              <w:rPr>
                <w:rStyle w:val="InstructionsTabelleberschrift"/>
                <w:rFonts w:ascii="Times New Roman" w:hAnsi="Times New Roman"/>
                <w:sz w:val="24"/>
              </w:rPr>
            </w:pPr>
            <w:r w:rsidRPr="00B74E74">
              <w:rPr>
                <w:rStyle w:val="FormatvorlageInstructionsTabelleText"/>
                <w:rFonts w:ascii="Times New Roman" w:hAnsi="Times New Roman"/>
                <w:sz w:val="24"/>
              </w:rPr>
              <w:t>Indicators that are flow measures shall be reported on a cumulative basis since the beginning of the calendar or financial year, as applicable.</w:t>
            </w:r>
          </w:p>
        </w:tc>
      </w:tr>
      <w:tr w:rsidR="000359E7" w:rsidRPr="00B74E74" w14:paraId="3C8BC05D" w14:textId="77777777" w:rsidTr="00D731E3">
        <w:tc>
          <w:tcPr>
            <w:tcW w:w="1129" w:type="dxa"/>
          </w:tcPr>
          <w:p w14:paraId="2DB15F09" w14:textId="10FDDDE8" w:rsidR="000359E7" w:rsidRPr="00B74E74" w:rsidRDefault="000359E7"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0010</w:t>
            </w:r>
          </w:p>
        </w:tc>
        <w:tc>
          <w:tcPr>
            <w:tcW w:w="7620" w:type="dxa"/>
          </w:tcPr>
          <w:p w14:paraId="0897A46E" w14:textId="4CC72B82" w:rsidR="000359E7"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Total exposures</w:t>
            </w:r>
            <w:r w:rsidR="00C53D25" w:rsidRPr="00B74E74">
              <w:rPr>
                <w:rStyle w:val="InstructionsTabelleberschrift"/>
                <w:rFonts w:ascii="Times New Roman" w:hAnsi="Times New Roman"/>
                <w:sz w:val="24"/>
              </w:rPr>
              <w:t>, including insurance subsidiaries</w:t>
            </w:r>
          </w:p>
        </w:tc>
      </w:tr>
      <w:tr w:rsidR="000359E7" w:rsidRPr="00B74E74" w14:paraId="6D4F9F35" w14:textId="77777777" w:rsidTr="00D731E3">
        <w:tc>
          <w:tcPr>
            <w:tcW w:w="1129" w:type="dxa"/>
          </w:tcPr>
          <w:p w14:paraId="744137FA" w14:textId="7636C40D" w:rsidR="000359E7" w:rsidRPr="00B74E74" w:rsidRDefault="000359E7"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0020</w:t>
            </w:r>
          </w:p>
        </w:tc>
        <w:tc>
          <w:tcPr>
            <w:tcW w:w="7620" w:type="dxa"/>
          </w:tcPr>
          <w:p w14:paraId="050D6105" w14:textId="0FDCF45E" w:rsidR="000359E7"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Intra-financial system assets</w:t>
            </w:r>
            <w:r w:rsidR="00C53D25" w:rsidRPr="00B74E74">
              <w:rPr>
                <w:rStyle w:val="InstructionsTabelleberschrift"/>
                <w:rFonts w:ascii="Times New Roman" w:hAnsi="Times New Roman"/>
                <w:sz w:val="24"/>
              </w:rPr>
              <w:t>, including insurance subsidiaries</w:t>
            </w:r>
            <w:r w:rsidR="00C53D25" w:rsidRPr="00B74E74" w:rsidDel="00461B95">
              <w:rPr>
                <w:rStyle w:val="InstructionsTabelleberschrift"/>
                <w:rFonts w:ascii="Times New Roman" w:hAnsi="Times New Roman"/>
                <w:sz w:val="24"/>
              </w:rPr>
              <w:t xml:space="preserve"> </w:t>
            </w:r>
          </w:p>
        </w:tc>
      </w:tr>
      <w:tr w:rsidR="000359E7" w:rsidRPr="00B74E74" w14:paraId="6DDE62D2" w14:textId="77777777" w:rsidTr="00D731E3">
        <w:tc>
          <w:tcPr>
            <w:tcW w:w="1129" w:type="dxa"/>
          </w:tcPr>
          <w:p w14:paraId="119F2029" w14:textId="2E0C1E76" w:rsidR="000359E7" w:rsidRPr="00B74E74" w:rsidRDefault="000359E7"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0030</w:t>
            </w:r>
          </w:p>
        </w:tc>
        <w:tc>
          <w:tcPr>
            <w:tcW w:w="7620" w:type="dxa"/>
          </w:tcPr>
          <w:p w14:paraId="20A17A52" w14:textId="2A978155" w:rsidR="000359E7"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Intra-financial system liabilities</w:t>
            </w:r>
            <w:r w:rsidR="00C53D25" w:rsidRPr="00B74E74">
              <w:rPr>
                <w:rStyle w:val="InstructionsTabelleberschrift"/>
                <w:rFonts w:ascii="Times New Roman" w:hAnsi="Times New Roman"/>
                <w:sz w:val="24"/>
              </w:rPr>
              <w:t>, including insurance subsidiaries</w:t>
            </w:r>
            <w:r w:rsidR="00C53D25" w:rsidRPr="00B74E74" w:rsidDel="00461B95">
              <w:rPr>
                <w:rStyle w:val="InstructionsTabelleberschrift"/>
                <w:rFonts w:ascii="Times New Roman" w:hAnsi="Times New Roman"/>
                <w:sz w:val="24"/>
              </w:rPr>
              <w:t xml:space="preserve"> </w:t>
            </w:r>
          </w:p>
        </w:tc>
      </w:tr>
      <w:tr w:rsidR="000359E7" w:rsidRPr="00B74E74" w14:paraId="1E32E0D4" w14:textId="77777777" w:rsidTr="00D731E3">
        <w:tc>
          <w:tcPr>
            <w:tcW w:w="1129" w:type="dxa"/>
          </w:tcPr>
          <w:p w14:paraId="62806938" w14:textId="21F95289" w:rsidR="000359E7" w:rsidRPr="00B74E74" w:rsidRDefault="000359E7"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lastRenderedPageBreak/>
              <w:t>0040</w:t>
            </w:r>
          </w:p>
        </w:tc>
        <w:tc>
          <w:tcPr>
            <w:tcW w:w="7620" w:type="dxa"/>
          </w:tcPr>
          <w:p w14:paraId="1992577C" w14:textId="744932D1" w:rsidR="000359E7"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Securities outstanding</w:t>
            </w:r>
            <w:r w:rsidR="00C53D25" w:rsidRPr="00B74E74">
              <w:rPr>
                <w:rStyle w:val="InstructionsTabelleberschrift"/>
                <w:rFonts w:ascii="Times New Roman" w:hAnsi="Times New Roman"/>
                <w:sz w:val="24"/>
              </w:rPr>
              <w:t xml:space="preserve">, including </w:t>
            </w:r>
            <w:r w:rsidR="00640FB6" w:rsidRPr="00B74E74">
              <w:rPr>
                <w:rStyle w:val="InstructionsTabelleberschrift"/>
                <w:rFonts w:ascii="Times New Roman" w:hAnsi="Times New Roman"/>
                <w:sz w:val="24"/>
              </w:rPr>
              <w:t xml:space="preserve">securities issued by </w:t>
            </w:r>
            <w:r w:rsidR="00C53D25" w:rsidRPr="00B74E74">
              <w:rPr>
                <w:rStyle w:val="InstructionsTabelleberschrift"/>
                <w:rFonts w:ascii="Times New Roman" w:hAnsi="Times New Roman"/>
                <w:sz w:val="24"/>
              </w:rPr>
              <w:t>insurance subsidiaries</w:t>
            </w:r>
            <w:r w:rsidR="00C53D25" w:rsidRPr="00B74E74" w:rsidDel="00461B95">
              <w:rPr>
                <w:rStyle w:val="InstructionsTabelleberschrift"/>
                <w:rFonts w:ascii="Times New Roman" w:hAnsi="Times New Roman"/>
                <w:sz w:val="24"/>
              </w:rPr>
              <w:t xml:space="preserve"> </w:t>
            </w:r>
          </w:p>
        </w:tc>
      </w:tr>
      <w:tr w:rsidR="000359E7" w:rsidRPr="00B74E74" w14:paraId="168CAFD1" w14:textId="77777777" w:rsidTr="00D731E3">
        <w:tc>
          <w:tcPr>
            <w:tcW w:w="1129" w:type="dxa"/>
          </w:tcPr>
          <w:p w14:paraId="20E7E202" w14:textId="74E0180D" w:rsidR="000359E7" w:rsidRPr="00B74E74" w:rsidRDefault="000359E7"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0050</w:t>
            </w:r>
          </w:p>
        </w:tc>
        <w:tc>
          <w:tcPr>
            <w:tcW w:w="7620" w:type="dxa"/>
          </w:tcPr>
          <w:p w14:paraId="07A315EC" w14:textId="475F88BE" w:rsidR="000359E7"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Payment</w:t>
            </w:r>
            <w:r w:rsidR="00C53D25" w:rsidRPr="00B74E74">
              <w:rPr>
                <w:rStyle w:val="InstructionsTabelleberschrift"/>
                <w:rFonts w:ascii="Times New Roman" w:hAnsi="Times New Roman"/>
                <w:sz w:val="24"/>
              </w:rPr>
              <w:t>s</w:t>
            </w:r>
            <w:r w:rsidRPr="00B74E74">
              <w:rPr>
                <w:rStyle w:val="InstructionsTabelleberschrift"/>
                <w:rFonts w:ascii="Times New Roman" w:hAnsi="Times New Roman"/>
                <w:sz w:val="24"/>
              </w:rPr>
              <w:t xml:space="preserve"> activity</w:t>
            </w:r>
            <w:r w:rsidRPr="00B74E74" w:rsidDel="00461B95">
              <w:rPr>
                <w:rStyle w:val="InstructionsTabelleberschrift"/>
                <w:rFonts w:ascii="Times New Roman" w:hAnsi="Times New Roman"/>
                <w:sz w:val="24"/>
              </w:rPr>
              <w:t xml:space="preserve"> </w:t>
            </w:r>
          </w:p>
        </w:tc>
      </w:tr>
      <w:tr w:rsidR="000359E7" w:rsidRPr="00B74E74" w14:paraId="7D83D84B" w14:textId="77777777" w:rsidTr="00D731E3">
        <w:tc>
          <w:tcPr>
            <w:tcW w:w="1129" w:type="dxa"/>
          </w:tcPr>
          <w:p w14:paraId="2E41976E" w14:textId="54079319" w:rsidR="000359E7" w:rsidRPr="00B74E74" w:rsidRDefault="000359E7"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0060</w:t>
            </w:r>
          </w:p>
        </w:tc>
        <w:tc>
          <w:tcPr>
            <w:tcW w:w="7620" w:type="dxa"/>
          </w:tcPr>
          <w:p w14:paraId="6BD24A93" w14:textId="370DC50E" w:rsidR="000359E7"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Assets under custody</w:t>
            </w:r>
            <w:r w:rsidRPr="00B74E74" w:rsidDel="00461B95">
              <w:rPr>
                <w:rStyle w:val="InstructionsTabelleberschrift"/>
                <w:rFonts w:ascii="Times New Roman" w:hAnsi="Times New Roman"/>
                <w:sz w:val="24"/>
              </w:rPr>
              <w:t xml:space="preserve"> </w:t>
            </w:r>
          </w:p>
        </w:tc>
      </w:tr>
      <w:tr w:rsidR="000359E7" w:rsidRPr="00B74E74" w14:paraId="40C175C7" w14:textId="77777777" w:rsidTr="00D731E3">
        <w:tc>
          <w:tcPr>
            <w:tcW w:w="1129" w:type="dxa"/>
          </w:tcPr>
          <w:p w14:paraId="05CF3D3D" w14:textId="4A19EAF3" w:rsidR="000359E7" w:rsidRPr="00B74E74" w:rsidRDefault="000359E7"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0070</w:t>
            </w:r>
          </w:p>
        </w:tc>
        <w:tc>
          <w:tcPr>
            <w:tcW w:w="7620" w:type="dxa"/>
          </w:tcPr>
          <w:p w14:paraId="7A6CF35F" w14:textId="264D705F" w:rsidR="000359E7"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Underwri</w:t>
            </w:r>
            <w:r w:rsidR="00C53D25" w:rsidRPr="00B74E74">
              <w:rPr>
                <w:rStyle w:val="InstructionsTabelleberschrift"/>
                <w:rFonts w:ascii="Times New Roman" w:hAnsi="Times New Roman"/>
                <w:sz w:val="24"/>
              </w:rPr>
              <w:t>ting activity</w:t>
            </w:r>
            <w:r w:rsidRPr="00B74E74" w:rsidDel="00461B95">
              <w:rPr>
                <w:rStyle w:val="InstructionsTabelleberschrift"/>
                <w:rFonts w:ascii="Times New Roman" w:hAnsi="Times New Roman"/>
                <w:sz w:val="24"/>
              </w:rPr>
              <w:t xml:space="preserve"> </w:t>
            </w:r>
          </w:p>
        </w:tc>
      </w:tr>
      <w:tr w:rsidR="00C53D25" w:rsidRPr="00B74E74" w14:paraId="12E2671F" w14:textId="77777777" w:rsidTr="001676CB">
        <w:tc>
          <w:tcPr>
            <w:tcW w:w="1129" w:type="dxa"/>
          </w:tcPr>
          <w:p w14:paraId="09A598C9" w14:textId="039AD27A" w:rsidR="00C53D25" w:rsidRPr="00B74E74" w:rsidRDefault="00C53D25"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008</w:t>
            </w:r>
            <w:r w:rsidR="00765A2B" w:rsidRPr="00B74E74">
              <w:rPr>
                <w:rStyle w:val="FormatvorlageInstructionsTabelleText"/>
                <w:rFonts w:ascii="Times New Roman" w:hAnsi="Times New Roman"/>
                <w:sz w:val="24"/>
              </w:rPr>
              <w:t>1</w:t>
            </w:r>
          </w:p>
        </w:tc>
        <w:tc>
          <w:tcPr>
            <w:tcW w:w="7620" w:type="dxa"/>
          </w:tcPr>
          <w:p w14:paraId="30E3167C" w14:textId="73F88F82" w:rsidR="00C53D25" w:rsidRPr="00B74E74" w:rsidRDefault="00C53D2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Trading volume</w:t>
            </w:r>
            <w:r w:rsidRPr="00B74E74" w:rsidDel="00461B95">
              <w:rPr>
                <w:rStyle w:val="InstructionsTabelleberschrift"/>
                <w:rFonts w:ascii="Times New Roman" w:hAnsi="Times New Roman"/>
                <w:sz w:val="24"/>
              </w:rPr>
              <w:t xml:space="preserve"> </w:t>
            </w:r>
            <w:r w:rsidRPr="00B74E74">
              <w:rPr>
                <w:rStyle w:val="InstructionsTabelleberschrift"/>
                <w:rFonts w:ascii="Times New Roman" w:hAnsi="Times New Roman"/>
                <w:sz w:val="24"/>
              </w:rPr>
              <w:t>– fixed income</w:t>
            </w:r>
          </w:p>
        </w:tc>
      </w:tr>
      <w:tr w:rsidR="00C53D25" w:rsidRPr="00B74E74" w14:paraId="52CA54E3" w14:textId="77777777" w:rsidTr="001676CB">
        <w:tc>
          <w:tcPr>
            <w:tcW w:w="1129" w:type="dxa"/>
          </w:tcPr>
          <w:p w14:paraId="71073FC3" w14:textId="140E68CD" w:rsidR="00C53D25" w:rsidRPr="00B74E74" w:rsidRDefault="00C53D25"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008</w:t>
            </w:r>
            <w:r w:rsidR="00765A2B" w:rsidRPr="00B74E74">
              <w:rPr>
                <w:rStyle w:val="FormatvorlageInstructionsTabelleText"/>
                <w:rFonts w:ascii="Times New Roman" w:hAnsi="Times New Roman"/>
                <w:sz w:val="24"/>
              </w:rPr>
              <w:t>5</w:t>
            </w:r>
          </w:p>
        </w:tc>
        <w:tc>
          <w:tcPr>
            <w:tcW w:w="7620" w:type="dxa"/>
          </w:tcPr>
          <w:p w14:paraId="3E25FF92" w14:textId="65C0BDE8" w:rsidR="00C53D25" w:rsidRPr="00B74E74" w:rsidRDefault="00C53D2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Trading volume</w:t>
            </w:r>
            <w:r w:rsidRPr="00B74E74" w:rsidDel="00461B95">
              <w:rPr>
                <w:rStyle w:val="InstructionsTabelleberschrift"/>
                <w:rFonts w:ascii="Times New Roman" w:hAnsi="Times New Roman"/>
                <w:sz w:val="24"/>
              </w:rPr>
              <w:t xml:space="preserve"> </w:t>
            </w:r>
            <w:r w:rsidRPr="00B74E74">
              <w:rPr>
                <w:rStyle w:val="InstructionsTabelleberschrift"/>
                <w:rFonts w:ascii="Times New Roman" w:hAnsi="Times New Roman"/>
                <w:sz w:val="24"/>
              </w:rPr>
              <w:t>– equities and other securities</w:t>
            </w:r>
          </w:p>
        </w:tc>
      </w:tr>
      <w:tr w:rsidR="00461B95" w:rsidRPr="00B74E74" w14:paraId="77AC2598" w14:textId="77777777" w:rsidTr="00D731E3">
        <w:tc>
          <w:tcPr>
            <w:tcW w:w="1129" w:type="dxa"/>
          </w:tcPr>
          <w:p w14:paraId="2EA7B719" w14:textId="61AD4AA2" w:rsidR="00461B95" w:rsidRPr="00B74E74" w:rsidRDefault="00461B95"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0090</w:t>
            </w:r>
          </w:p>
        </w:tc>
        <w:tc>
          <w:tcPr>
            <w:tcW w:w="7620" w:type="dxa"/>
          </w:tcPr>
          <w:p w14:paraId="78F8B106" w14:textId="03DCAE87" w:rsidR="00461B95"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Notional amount of OTC derivatives</w:t>
            </w:r>
            <w:r w:rsidR="00765A2B" w:rsidRPr="00B74E74">
              <w:rPr>
                <w:rStyle w:val="InstructionsTabelleberschrift"/>
                <w:rFonts w:ascii="Times New Roman" w:hAnsi="Times New Roman"/>
                <w:sz w:val="24"/>
              </w:rPr>
              <w:t>, including insurance subsidiaries</w:t>
            </w:r>
            <w:r w:rsidR="00765A2B" w:rsidRPr="00B74E74" w:rsidDel="00461B95">
              <w:rPr>
                <w:rStyle w:val="InstructionsTabelleberschrift"/>
                <w:rFonts w:ascii="Times New Roman" w:hAnsi="Times New Roman"/>
                <w:sz w:val="24"/>
              </w:rPr>
              <w:t xml:space="preserve"> </w:t>
            </w:r>
          </w:p>
        </w:tc>
      </w:tr>
      <w:tr w:rsidR="00461B95" w:rsidRPr="00B74E74" w14:paraId="68CA6CE8" w14:textId="77777777" w:rsidTr="00D731E3">
        <w:tc>
          <w:tcPr>
            <w:tcW w:w="1129" w:type="dxa"/>
          </w:tcPr>
          <w:p w14:paraId="6BF1E474" w14:textId="0CCD0D86" w:rsidR="00461B95" w:rsidRPr="00B74E74" w:rsidRDefault="00461B95"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0100</w:t>
            </w:r>
          </w:p>
        </w:tc>
        <w:tc>
          <w:tcPr>
            <w:tcW w:w="7620" w:type="dxa"/>
          </w:tcPr>
          <w:p w14:paraId="39D62EB3" w14:textId="4420257E" w:rsidR="00461B95" w:rsidRPr="00B74E74" w:rsidRDefault="00A14DB6"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 xml:space="preserve">Trading and </w:t>
            </w:r>
            <w:r w:rsidR="00765A2B" w:rsidRPr="00B74E74">
              <w:rPr>
                <w:rStyle w:val="InstructionsTabelleberschrift"/>
                <w:rFonts w:ascii="Times New Roman" w:hAnsi="Times New Roman"/>
                <w:sz w:val="24"/>
              </w:rPr>
              <w:t>AFS</w:t>
            </w:r>
            <w:r w:rsidRPr="00B74E74">
              <w:rPr>
                <w:rStyle w:val="InstructionsTabelleberschrift"/>
                <w:rFonts w:ascii="Times New Roman" w:hAnsi="Times New Roman"/>
                <w:sz w:val="24"/>
              </w:rPr>
              <w:t xml:space="preserve"> securities</w:t>
            </w:r>
          </w:p>
        </w:tc>
      </w:tr>
      <w:tr w:rsidR="00461B95" w:rsidRPr="00B74E74" w14:paraId="43F77E74" w14:textId="77777777" w:rsidTr="00D731E3">
        <w:tc>
          <w:tcPr>
            <w:tcW w:w="1129" w:type="dxa"/>
          </w:tcPr>
          <w:p w14:paraId="222B2025" w14:textId="318C8EA5" w:rsidR="00461B95" w:rsidRPr="00B74E74" w:rsidRDefault="00461B95"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0110</w:t>
            </w:r>
          </w:p>
        </w:tc>
        <w:tc>
          <w:tcPr>
            <w:tcW w:w="7620" w:type="dxa"/>
          </w:tcPr>
          <w:p w14:paraId="6C924F42" w14:textId="204B324F" w:rsidR="00461B95" w:rsidRPr="00B74E74" w:rsidRDefault="00A14DB6"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Level 3 assets</w:t>
            </w:r>
            <w:r w:rsidR="00765A2B" w:rsidRPr="00B74E74">
              <w:rPr>
                <w:rStyle w:val="InstructionsTabelleberschrift"/>
                <w:rFonts w:ascii="Times New Roman" w:hAnsi="Times New Roman"/>
                <w:sz w:val="24"/>
              </w:rPr>
              <w:t>, including insurance subsidiaries</w:t>
            </w:r>
          </w:p>
        </w:tc>
      </w:tr>
      <w:tr w:rsidR="00461B95" w:rsidRPr="00B74E74" w14:paraId="20E3E2F0" w14:textId="77777777" w:rsidTr="00D731E3">
        <w:tc>
          <w:tcPr>
            <w:tcW w:w="1129" w:type="dxa"/>
          </w:tcPr>
          <w:p w14:paraId="4C62BBAD" w14:textId="784915EC" w:rsidR="00461B95" w:rsidRPr="00B74E74" w:rsidRDefault="00461B95"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0120</w:t>
            </w:r>
          </w:p>
        </w:tc>
        <w:tc>
          <w:tcPr>
            <w:tcW w:w="7620" w:type="dxa"/>
          </w:tcPr>
          <w:p w14:paraId="1AAE0433" w14:textId="7FD5CAE0" w:rsidR="00461B95"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 xml:space="preserve">Cross-jurisdictional </w:t>
            </w:r>
            <w:r w:rsidR="002A78CA" w:rsidRPr="00B74E74">
              <w:rPr>
                <w:rStyle w:val="InstructionsTabelleberschrift"/>
                <w:rFonts w:ascii="Times New Roman" w:hAnsi="Times New Roman"/>
                <w:sz w:val="24"/>
              </w:rPr>
              <w:t>claims</w:t>
            </w:r>
          </w:p>
        </w:tc>
      </w:tr>
      <w:tr w:rsidR="00461B95" w:rsidRPr="00B74E74" w14:paraId="00DCCD96" w14:textId="77777777" w:rsidTr="00D731E3">
        <w:tc>
          <w:tcPr>
            <w:tcW w:w="1129" w:type="dxa"/>
          </w:tcPr>
          <w:p w14:paraId="6185C376" w14:textId="0A67EB11" w:rsidR="00461B95" w:rsidRPr="00B74E74" w:rsidRDefault="00461B95"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0130</w:t>
            </w:r>
          </w:p>
        </w:tc>
        <w:tc>
          <w:tcPr>
            <w:tcW w:w="7620" w:type="dxa"/>
          </w:tcPr>
          <w:p w14:paraId="1AC7DFAE" w14:textId="47D4ECD5" w:rsidR="00461B95"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Cross-jurisdictional liabilities</w:t>
            </w:r>
          </w:p>
        </w:tc>
      </w:tr>
      <w:tr w:rsidR="00461B95" w:rsidRPr="00B74E74" w14:paraId="1692F927" w14:textId="77777777" w:rsidTr="00D731E3">
        <w:tc>
          <w:tcPr>
            <w:tcW w:w="1129" w:type="dxa"/>
          </w:tcPr>
          <w:p w14:paraId="0B33EE2F" w14:textId="4E8E9227" w:rsidR="00461B95" w:rsidRPr="00B74E74" w:rsidRDefault="00461B95"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0140 – 01</w:t>
            </w:r>
            <w:r w:rsidR="007A705E" w:rsidRPr="00B74E74">
              <w:rPr>
                <w:rStyle w:val="FormatvorlageInstructionsTabelleText"/>
                <w:rFonts w:ascii="Times New Roman" w:hAnsi="Times New Roman"/>
                <w:sz w:val="24"/>
              </w:rPr>
              <w:t>6</w:t>
            </w:r>
            <w:r w:rsidRPr="00B74E74">
              <w:rPr>
                <w:rStyle w:val="FormatvorlageInstructionsTabelleText"/>
                <w:rFonts w:ascii="Times New Roman" w:hAnsi="Times New Roman"/>
                <w:sz w:val="24"/>
              </w:rPr>
              <w:t>0</w:t>
            </w:r>
          </w:p>
        </w:tc>
        <w:tc>
          <w:tcPr>
            <w:tcW w:w="7620" w:type="dxa"/>
          </w:tcPr>
          <w:p w14:paraId="37D5CB7B" w14:textId="785C02EE" w:rsidR="00461B95"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Items considering the European Banking Union as a single jurisdiction</w:t>
            </w:r>
          </w:p>
          <w:p w14:paraId="5DB1FD22" w14:textId="50C1AAEF" w:rsidR="00461B95" w:rsidRPr="00B74E74" w:rsidRDefault="00461B95" w:rsidP="00B94200">
            <w:pPr>
              <w:pStyle w:val="InstructionsText2"/>
              <w:rPr>
                <w:rStyle w:val="FormatvorlageInstructionsTabelleText"/>
                <w:rFonts w:ascii="Times New Roman" w:hAnsi="Times New Roman"/>
                <w:sz w:val="24"/>
              </w:rPr>
            </w:pPr>
            <w:r w:rsidRPr="00B74E74">
              <w:rPr>
                <w:rStyle w:val="FormatvorlageInstructionsTabelleText"/>
                <w:rFonts w:ascii="Times New Roman" w:hAnsi="Times New Roman"/>
                <w:sz w:val="24"/>
              </w:rPr>
              <w:t>For the purposes of determining the items specified below and in the absence of specifications in the instructions below, the definitions and concepts applied shall be aligned, to the extent possible, with the definitions and concepts defined in the Guidelines for reporting the BIS international banking statistics.</w:t>
            </w:r>
          </w:p>
          <w:p w14:paraId="624545C8" w14:textId="372F5EC2" w:rsidR="00461B95" w:rsidRPr="00B74E74" w:rsidRDefault="00461B95" w:rsidP="00B94200">
            <w:pPr>
              <w:pStyle w:val="InstructionsText2"/>
              <w:rPr>
                <w:rStyle w:val="InstructionsTabelleberschrift"/>
                <w:rFonts w:ascii="Times New Roman" w:hAnsi="Times New Roman"/>
                <w:sz w:val="24"/>
              </w:rPr>
            </w:pPr>
            <w:r w:rsidRPr="00B74E74">
              <w:rPr>
                <w:rStyle w:val="FormatvorlageInstructionsTabelleText"/>
                <w:rFonts w:ascii="Times New Roman" w:hAnsi="Times New Roman"/>
                <w:sz w:val="24"/>
              </w:rPr>
              <w:t>By derogation from that, the reporting entities’ activities across participating Member States as referred to in Article 4 of Regulation (EU) No 806/2014 of the European Parliament and of the Council</w:t>
            </w:r>
            <w:r w:rsidRPr="00B74E74">
              <w:rPr>
                <w:rStyle w:val="FootnoteReference"/>
                <w:rFonts w:ascii="Times New Roman" w:hAnsi="Times New Roman"/>
                <w:sz w:val="24"/>
                <w:szCs w:val="24"/>
                <w:vertAlign w:val="superscript"/>
              </w:rPr>
              <w:footnoteReference w:id="4"/>
            </w:r>
            <w:r w:rsidR="00FE1150" w:rsidRPr="00B74E74">
              <w:t xml:space="preserve"> </w:t>
            </w:r>
            <w:r w:rsidRPr="00B74E74">
              <w:rPr>
                <w:rStyle w:val="FormatvorlageInstructionsTabelleText"/>
                <w:rFonts w:ascii="Times New Roman" w:hAnsi="Times New Roman"/>
                <w:sz w:val="24"/>
              </w:rPr>
              <w:t>shall be excluded, i.e. the Participating Member States shall be considered as one single jurisdiction.</w:t>
            </w:r>
          </w:p>
        </w:tc>
      </w:tr>
      <w:tr w:rsidR="00461B95" w:rsidRPr="00B74E74" w14:paraId="61796B97" w14:textId="77777777" w:rsidTr="00D731E3">
        <w:tc>
          <w:tcPr>
            <w:tcW w:w="1129" w:type="dxa"/>
          </w:tcPr>
          <w:p w14:paraId="03539F89" w14:textId="70440909" w:rsidR="00461B95" w:rsidRPr="00B74E74" w:rsidRDefault="00461B95"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0140</w:t>
            </w:r>
          </w:p>
        </w:tc>
        <w:tc>
          <w:tcPr>
            <w:tcW w:w="7620" w:type="dxa"/>
          </w:tcPr>
          <w:p w14:paraId="5728CDBE" w14:textId="77777777" w:rsidR="00461B95" w:rsidRPr="00B74E74" w:rsidRDefault="00461B95" w:rsidP="00B94200">
            <w:pPr>
              <w:pStyle w:val="InstructionsText"/>
              <w:rPr>
                <w:rStyle w:val="InstructionsTabelleberschrift"/>
                <w:rFonts w:ascii="Times New Roman" w:hAnsi="Times New Roman"/>
                <w:sz w:val="24"/>
              </w:rPr>
            </w:pPr>
            <w:r w:rsidRPr="00B74E74">
              <w:rPr>
                <w:rStyle w:val="InstructionsTabelleberschrift"/>
                <w:rFonts w:ascii="Times New Roman" w:hAnsi="Times New Roman"/>
                <w:sz w:val="24"/>
              </w:rPr>
              <w:t>Total foreign claims on an ultimate risk basis</w:t>
            </w:r>
          </w:p>
          <w:p w14:paraId="3ECF379D" w14:textId="77D3E075" w:rsidR="00461B95" w:rsidRPr="00B74E74" w:rsidRDefault="00461B95"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 xml:space="preserve">Total foreign claims shall be the sum of cross-border claims and local claims of foreign affiliates in local or foreign currency. Claims from positions in derivative contracts shall be excluded. ‘Claims’, ‘cross-border claims’, ‘local claims of foreign affiliates in foreign and local currency’ shall have the same meaning as defined in the Guidelines for reporting the BIS international banking statistics. </w:t>
            </w:r>
          </w:p>
          <w:p w14:paraId="3A1C0F08" w14:textId="1E911A84" w:rsidR="00461B95" w:rsidRPr="00B74E74" w:rsidRDefault="00461B95" w:rsidP="00B94200">
            <w:pPr>
              <w:pStyle w:val="InstructionsText"/>
              <w:rPr>
                <w:rStyle w:val="FormatvorlageInstructionsTabelleText"/>
                <w:rFonts w:ascii="Times New Roman" w:hAnsi="Times New Roman"/>
                <w:sz w:val="24"/>
              </w:rPr>
            </w:pPr>
            <w:r w:rsidRPr="00B74E74">
              <w:rPr>
                <w:rStyle w:val="FormatvorlageInstructionsTabelleText"/>
                <w:rFonts w:ascii="Times New Roman" w:hAnsi="Times New Roman"/>
                <w:sz w:val="24"/>
              </w:rPr>
              <w:t>‘On an ultimate risk basis’ shall mean that, for the purposes of determining whether a claim i</w:t>
            </w:r>
            <w:r w:rsidR="00640FB6" w:rsidRPr="00B74E74">
              <w:rPr>
                <w:rStyle w:val="FormatvorlageInstructionsTabelleText"/>
                <w:rFonts w:ascii="Times New Roman" w:hAnsi="Times New Roman"/>
                <w:sz w:val="24"/>
              </w:rPr>
              <w:t>s</w:t>
            </w:r>
            <w:r w:rsidRPr="00B74E74">
              <w:rPr>
                <w:rStyle w:val="FormatvorlageInstructionsTabelleText"/>
                <w:rFonts w:ascii="Times New Roman" w:hAnsi="Times New Roman"/>
                <w:sz w:val="24"/>
              </w:rPr>
              <w:t xml:space="preserve"> a cross-border or local claim, the position is allocated to a third party that has contracted to assume the debts or obligations of the primary counterparty if that party fails to perform, where such a third party exists. This allocation shall be made in accordance with the provisions on risk transfers provided in the Guidelines for reporting the BIS international banking statistics.</w:t>
            </w:r>
          </w:p>
        </w:tc>
      </w:tr>
      <w:tr w:rsidR="001B7EDC" w:rsidRPr="00B74E74" w14:paraId="33C28A8A" w14:textId="77777777" w:rsidTr="00D731E3">
        <w:tc>
          <w:tcPr>
            <w:tcW w:w="1129" w:type="dxa"/>
          </w:tcPr>
          <w:p w14:paraId="310D6463" w14:textId="0BD4FBE8" w:rsidR="00461B95" w:rsidRPr="00B74E74"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0150</w:t>
            </w:r>
          </w:p>
        </w:tc>
        <w:tc>
          <w:tcPr>
            <w:tcW w:w="7620" w:type="dxa"/>
          </w:tcPr>
          <w:p w14:paraId="370543F2" w14:textId="525560C3" w:rsidR="00461B95" w:rsidRPr="00B74E74" w:rsidRDefault="00461B95">
            <w:pPr>
              <w:pStyle w:val="InstructionsText"/>
              <w:rPr>
                <w:rStyle w:val="InstructionsTabelleberschrift"/>
                <w:rFonts w:ascii="Times New Roman" w:hAnsi="Times New Roman"/>
                <w:sz w:val="24"/>
                <w:lang w:eastAsia="en-US"/>
              </w:rPr>
            </w:pPr>
            <w:r w:rsidRPr="00B74E74">
              <w:rPr>
                <w:rStyle w:val="InstructionsTabelleberschrift"/>
                <w:rFonts w:ascii="Times New Roman" w:hAnsi="Times New Roman"/>
                <w:sz w:val="24"/>
              </w:rPr>
              <w:t>Foreign derivatives claims on an ultimate risk basis</w:t>
            </w:r>
          </w:p>
          <w:p w14:paraId="0B6542C2" w14:textId="05BEA67B" w:rsidR="00461B95" w:rsidRPr="00B74E74"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lastRenderedPageBreak/>
              <w:t xml:space="preserve">The positive fair value of all derivative claims that are cross-border claims, or local claims of foreign affiliates in local or foreign currency. </w:t>
            </w:r>
          </w:p>
          <w:p w14:paraId="3184A088" w14:textId="12521FD1" w:rsidR="00461B95" w:rsidRPr="00B74E74"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Derivatives include forwards, swaps, and options related to foreign exchange, interest rate, equity, commodity, and credit instruments. This includes purchased credit derivatives that hedge or offset credit protection sold or are held for trading purposes.</w:t>
            </w:r>
          </w:p>
          <w:p w14:paraId="1C0B5693" w14:textId="3CF27F9A" w:rsidR="00461B95" w:rsidRPr="00B74E74"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 xml:space="preserve">In case of such purchased credit derivatives, the value shall not be capped at the value of the immediate claim it was purchased to guarantee. </w:t>
            </w:r>
          </w:p>
          <w:p w14:paraId="1BF6CB23" w14:textId="02D1A7F7" w:rsidR="00461B95" w:rsidRPr="00B74E74"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 xml:space="preserve">The positive fair values of derivative contracts may be offset against negative fair values only if the positions were executed with the same counterparty under a legally enforceable netting agreement. Only netting sets with a positive value shall be included in this item. </w:t>
            </w:r>
          </w:p>
          <w:p w14:paraId="1D1D95FC" w14:textId="740A6A60" w:rsidR="00461B95" w:rsidRPr="00B74E74"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 xml:space="preserve">The derivative claims shall be reported gross of any cash collateral. </w:t>
            </w:r>
          </w:p>
          <w:p w14:paraId="57A0BD55" w14:textId="6F964D06" w:rsidR="00461B95" w:rsidRPr="00B74E74"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For the purposes of reporting information on an ultimate risk basis, the following shall apply:</w:t>
            </w:r>
          </w:p>
          <w:p w14:paraId="11BDA188" w14:textId="0341E5B8" w:rsidR="00461B95" w:rsidRPr="00B74E74" w:rsidRDefault="00461B95" w:rsidP="00304B5D">
            <w:pPr>
              <w:pStyle w:val="InstructionsText"/>
              <w:numPr>
                <w:ilvl w:val="0"/>
                <w:numId w:val="20"/>
              </w:numPr>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 xml:space="preserve">When the final risk lies with the counterparty, a derivative is considered foreign if the counterparty is not in the reporting entities’ home jurisdiction. </w:t>
            </w:r>
          </w:p>
          <w:p w14:paraId="4EE29D54" w14:textId="43C9DF9A" w:rsidR="00461B95" w:rsidRPr="00B74E74" w:rsidRDefault="00461B95" w:rsidP="00304B5D">
            <w:pPr>
              <w:pStyle w:val="InstructionsText"/>
              <w:numPr>
                <w:ilvl w:val="0"/>
                <w:numId w:val="20"/>
              </w:numPr>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When the final risk lies with the guarantor, a derivative is considered foreign if the guarantor is not in the reporting entities’ home jurisdiction.</w:t>
            </w:r>
          </w:p>
        </w:tc>
      </w:tr>
      <w:tr w:rsidR="001B7EDC" w:rsidRPr="00EC067D" w14:paraId="35AEB6DF" w14:textId="77777777" w:rsidTr="00D731E3">
        <w:tc>
          <w:tcPr>
            <w:tcW w:w="1129" w:type="dxa"/>
          </w:tcPr>
          <w:p w14:paraId="1B78021A" w14:textId="185021E5" w:rsidR="00461B95" w:rsidRPr="00B74E74"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lastRenderedPageBreak/>
              <w:t>0160</w:t>
            </w:r>
          </w:p>
        </w:tc>
        <w:tc>
          <w:tcPr>
            <w:tcW w:w="7620" w:type="dxa"/>
          </w:tcPr>
          <w:p w14:paraId="4AFA7D61" w14:textId="553941DC" w:rsidR="00461B95" w:rsidRPr="00B74E74" w:rsidRDefault="00461B95">
            <w:pPr>
              <w:pStyle w:val="InstructionsText"/>
              <w:rPr>
                <w:rStyle w:val="InstructionsTabelleberschrift"/>
                <w:rFonts w:ascii="Times New Roman" w:hAnsi="Times New Roman"/>
                <w:sz w:val="24"/>
                <w:lang w:eastAsia="en-US"/>
              </w:rPr>
            </w:pPr>
            <w:r w:rsidRPr="00B74E74">
              <w:rPr>
                <w:rStyle w:val="InstructionsTabelleberschrift"/>
                <w:rFonts w:ascii="Times New Roman" w:hAnsi="Times New Roman"/>
                <w:sz w:val="24"/>
              </w:rPr>
              <w:t>Foreign liabilities on an immediate risk basis, including derivatives</w:t>
            </w:r>
          </w:p>
          <w:p w14:paraId="2232ACAE" w14:textId="04EC1144" w:rsidR="00461B95" w:rsidRPr="00B74E74"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Foreign liabilities, including derivatives, shall be the sum of foreign liabilities and foreign liabilities arising from derivatives. Securities liabilities that are tradable financial assets issued by the reporting institution shall be excluded from this item.</w:t>
            </w:r>
          </w:p>
          <w:p w14:paraId="253FB5E8" w14:textId="6CB78169" w:rsidR="00461B95" w:rsidRPr="00B74E74"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The definition of derivatives shall be the same as applied for row 01</w:t>
            </w:r>
            <w:r w:rsidR="00640FB6" w:rsidRPr="00B74E74">
              <w:rPr>
                <w:rStyle w:val="FormatvorlageInstructionsTabelleText"/>
                <w:rFonts w:ascii="Times New Roman" w:hAnsi="Times New Roman"/>
                <w:sz w:val="24"/>
              </w:rPr>
              <w:t>5</w:t>
            </w:r>
            <w:r w:rsidRPr="00B74E74">
              <w:rPr>
                <w:rStyle w:val="FormatvorlageInstructionsTabelleText"/>
                <w:rFonts w:ascii="Times New Roman" w:hAnsi="Times New Roman"/>
                <w:sz w:val="24"/>
              </w:rPr>
              <w:t>0.</w:t>
            </w:r>
          </w:p>
          <w:p w14:paraId="3AF86A8E" w14:textId="6F1C95F2" w:rsidR="00461B95" w:rsidRPr="00B74E74"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 xml:space="preserve">The negative fair values of derivative contracts may be offset against positive fair values only if the positions were executed with the same counterparty under a legally enforceable netting agreement. Derivatives liabilities shall be reported gross of any collateral (cash and non-cash). </w:t>
            </w:r>
          </w:p>
          <w:p w14:paraId="2F888DBB" w14:textId="6323776F" w:rsidR="00461B95" w:rsidRPr="00EC067D" w:rsidRDefault="00461B95">
            <w:pPr>
              <w:pStyle w:val="InstructionsText"/>
              <w:rPr>
                <w:rStyle w:val="FormatvorlageInstructionsTabelleText"/>
                <w:rFonts w:ascii="Times New Roman" w:hAnsi="Times New Roman"/>
                <w:sz w:val="24"/>
                <w:lang w:eastAsia="en-US"/>
              </w:rPr>
            </w:pPr>
            <w:r w:rsidRPr="00B74E74">
              <w:rPr>
                <w:rStyle w:val="FormatvorlageInstructionsTabelleText"/>
                <w:rFonts w:ascii="Times New Roman" w:hAnsi="Times New Roman"/>
                <w:sz w:val="24"/>
              </w:rPr>
              <w:t>‘On an immediate risk basis’ shall mean that, for the purposes of determining whether a claim is a cross-border or local claim, the position is allocated to the direct counterparty of the contract.</w:t>
            </w:r>
            <w:r w:rsidR="0002547B">
              <w:rPr>
                <w:rStyle w:val="FormatvorlageInstructionsTabelleText"/>
                <w:rFonts w:ascii="Times New Roman" w:hAnsi="Times New Roman"/>
                <w:sz w:val="24"/>
              </w:rPr>
              <w:t>’</w:t>
            </w:r>
            <w:bookmarkStart w:id="35" w:name="_GoBack"/>
            <w:bookmarkEnd w:id="35"/>
          </w:p>
        </w:tc>
      </w:tr>
      <w:bookmarkEnd w:id="0"/>
      <w:bookmarkEnd w:id="1"/>
    </w:tbl>
    <w:p w14:paraId="61DBD972" w14:textId="77777777" w:rsidR="00DD00B4" w:rsidRPr="00EC067D" w:rsidRDefault="00DD00B4" w:rsidP="006137FD">
      <w:pPr>
        <w:spacing w:after="0"/>
        <w:rPr>
          <w:rStyle w:val="InstructionsTabelleText"/>
          <w:rFonts w:ascii="Times New Roman" w:hAnsi="Times New Roman"/>
          <w:sz w:val="24"/>
        </w:rPr>
      </w:pPr>
    </w:p>
    <w:sectPr w:rsidR="00DD00B4" w:rsidRPr="00EC067D" w:rsidSect="00B51F42">
      <w:headerReference w:type="even" r:id="rId14"/>
      <w:headerReference w:type="default" r:id="rId15"/>
      <w:footerReference w:type="even" r:id="rId16"/>
      <w:footerReference w:type="default" r:id="rId17"/>
      <w:headerReference w:type="first" r:id="rId18"/>
      <w:endnotePr>
        <w:numFmt w:val="decimal"/>
      </w:endnotePr>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D880" w16cex:dateUtc="2022-02-23T15:00:00Z"/>
  <w16cex:commentExtensible w16cex:durableId="25C0B6AC" w16cex:dateUtc="2022-02-23T12:35:00Z"/>
  <w16cex:commentExtensible w16cex:durableId="25C0D544" w16cex:dateUtc="2022-02-23T14:46:00Z"/>
  <w16cex:commentExtensible w16cex:durableId="25CB50F5" w16cex:dateUtc="2022-03-03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3A848" w16cid:durableId="25C0D880"/>
  <w16cid:commentId w16cid:paraId="6A5B4EC4" w16cid:durableId="25C0B66E"/>
  <w16cid:commentId w16cid:paraId="6809F2DB" w16cid:durableId="25C0B6AC"/>
  <w16cid:commentId w16cid:paraId="5C8D1CE0" w16cid:durableId="25C0B66F"/>
  <w16cid:commentId w16cid:paraId="40912E61" w16cid:durableId="25C0D544"/>
  <w16cid:commentId w16cid:paraId="440C931A" w16cid:durableId="25CB50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67EC6" w14:textId="77777777" w:rsidR="005E1B10" w:rsidRDefault="005E1B10" w:rsidP="00D946DB">
      <w:pPr>
        <w:spacing w:before="0" w:after="0"/>
      </w:pPr>
      <w:r>
        <w:separator/>
      </w:r>
    </w:p>
  </w:endnote>
  <w:endnote w:type="continuationSeparator" w:id="0">
    <w:p w14:paraId="517AFAD2" w14:textId="77777777" w:rsidR="005E1B10" w:rsidRDefault="005E1B10" w:rsidP="00D946DB">
      <w:pPr>
        <w:spacing w:before="0" w:after="0"/>
      </w:pPr>
      <w:r>
        <w:continuationSeparator/>
      </w:r>
    </w:p>
  </w:endnote>
  <w:endnote w:type="continuationNotice" w:id="1">
    <w:p w14:paraId="59B4096F" w14:textId="77777777" w:rsidR="005E1B10" w:rsidRDefault="005E1B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14ACD" w14:textId="77777777" w:rsidR="00A14DB6" w:rsidRDefault="00A14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E2E8C" w14:textId="2828EE3F" w:rsidR="005E1B10" w:rsidRPr="00ED1956" w:rsidRDefault="005E1B10">
    <w:pPr>
      <w:pStyle w:val="Footer"/>
      <w:jc w:val="right"/>
      <w:rPr>
        <w:rFonts w:ascii="Times New Roman" w:hAnsi="Times New Roman"/>
        <w:sz w:val="22"/>
        <w:szCs w:val="22"/>
      </w:rPr>
    </w:pPr>
    <w:r w:rsidRPr="00ED1956">
      <w:rPr>
        <w:rFonts w:ascii="Times New Roman" w:hAnsi="Times New Roman"/>
        <w:sz w:val="22"/>
        <w:szCs w:val="22"/>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sz w:val="22"/>
        <w:szCs w:val="22"/>
      </w:rPr>
      <w:fldChar w:fldCharType="separate"/>
    </w:r>
    <w:r w:rsidR="00830872">
      <w:rPr>
        <w:rFonts w:ascii="Times New Roman" w:hAnsi="Times New Roman"/>
        <w:noProof/>
        <w:sz w:val="22"/>
        <w:szCs w:val="22"/>
      </w:rPr>
      <w:t>2</w:t>
    </w:r>
    <w:r w:rsidRPr="00ED1956">
      <w:rPr>
        <w:rFonts w:ascii="Times New Roman" w:hAnsi="Times New Roman"/>
        <w:sz w:val="22"/>
        <w:szCs w:val="22"/>
      </w:rPr>
      <w:fldChar w:fldCharType="end"/>
    </w:r>
  </w:p>
  <w:p w14:paraId="14BC9F62" w14:textId="77777777" w:rsidR="005E1B10" w:rsidRDefault="005E1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C43E" w14:textId="0ED9D703" w:rsidR="005E1B10" w:rsidRPr="00E85358" w:rsidRDefault="005E1B10">
    <w:pPr>
      <w:pStyle w:val="Footer"/>
      <w:jc w:val="right"/>
      <w:rPr>
        <w:sz w:val="22"/>
        <w:szCs w:val="22"/>
      </w:rPr>
    </w:pPr>
    <w:r w:rsidRPr="00E85358">
      <w:rPr>
        <w:sz w:val="22"/>
        <w:szCs w:val="22"/>
      </w:rPr>
      <w:fldChar w:fldCharType="begin"/>
    </w:r>
    <w:r w:rsidRPr="00E85358">
      <w:rPr>
        <w:sz w:val="22"/>
        <w:szCs w:val="22"/>
      </w:rPr>
      <w:instrText xml:space="preserve"> PAGE   \* MERGEFORMAT </w:instrText>
    </w:r>
    <w:r w:rsidRPr="00E85358">
      <w:rPr>
        <w:sz w:val="22"/>
        <w:szCs w:val="22"/>
      </w:rPr>
      <w:fldChar w:fldCharType="separate"/>
    </w:r>
    <w:r w:rsidR="00830872">
      <w:rPr>
        <w:noProof/>
        <w:sz w:val="22"/>
        <w:szCs w:val="22"/>
      </w:rPr>
      <w:t>1</w:t>
    </w:r>
    <w:r w:rsidRPr="00E85358">
      <w:rPr>
        <w:noProof/>
        <w:sz w:val="22"/>
        <w:szCs w:val="22"/>
      </w:rPr>
      <w:fldChar w:fldCharType="end"/>
    </w:r>
  </w:p>
  <w:p w14:paraId="4E07410F" w14:textId="77777777" w:rsidR="005E1B10" w:rsidRDefault="005E1B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F2E6" w14:textId="77777777" w:rsidR="005E1B10" w:rsidRDefault="005E1B10">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Pr>
        <w:rStyle w:val="PageNumber"/>
        <w:noProof/>
        <w:szCs w:val="22"/>
      </w:rPr>
      <w:t>183</w:t>
    </w:r>
    <w:r>
      <w:rPr>
        <w:rStyle w:val="PageNumber"/>
        <w:szCs w:val="22"/>
      </w:rPr>
      <w:fldChar w:fldCharType="end"/>
    </w:r>
  </w:p>
  <w:p w14:paraId="484C2E5B" w14:textId="77777777" w:rsidR="005E1B10" w:rsidRDefault="005E1B1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7C733" w14:textId="66BADAE5" w:rsidR="005E1B10" w:rsidRPr="00ED1956" w:rsidRDefault="005E1B10">
    <w:pPr>
      <w:pStyle w:val="Footer"/>
      <w:jc w:val="right"/>
      <w:rPr>
        <w:rFonts w:ascii="Times New Roman" w:hAnsi="Times New Roman"/>
        <w:sz w:val="20"/>
        <w:szCs w:val="20"/>
      </w:rPr>
    </w:pPr>
    <w:r w:rsidRPr="00ED1956">
      <w:rPr>
        <w:rFonts w:ascii="Times New Roman" w:hAnsi="Times New Roman"/>
        <w:sz w:val="20"/>
        <w:szCs w:val="20"/>
      </w:rPr>
      <w:fldChar w:fldCharType="begin"/>
    </w:r>
    <w:r w:rsidRPr="00ED1956">
      <w:rPr>
        <w:rFonts w:ascii="Times New Roman" w:hAnsi="Times New Roman"/>
        <w:sz w:val="20"/>
        <w:szCs w:val="20"/>
      </w:rPr>
      <w:instrText xml:space="preserve"> PAGE   \* MERGEFORMAT </w:instrText>
    </w:r>
    <w:r w:rsidRPr="00ED1956">
      <w:rPr>
        <w:rFonts w:ascii="Times New Roman" w:hAnsi="Times New Roman"/>
        <w:sz w:val="20"/>
        <w:szCs w:val="20"/>
      </w:rPr>
      <w:fldChar w:fldCharType="separate"/>
    </w:r>
    <w:r w:rsidR="00830872">
      <w:rPr>
        <w:rFonts w:ascii="Times New Roman" w:hAnsi="Times New Roman"/>
        <w:noProof/>
        <w:sz w:val="20"/>
        <w:szCs w:val="20"/>
      </w:rPr>
      <w:t>5</w:t>
    </w:r>
    <w:r w:rsidRPr="00ED1956">
      <w:rPr>
        <w:rFonts w:ascii="Times New Roman" w:hAnsi="Times New Roman"/>
        <w:sz w:val="20"/>
        <w:szCs w:val="20"/>
      </w:rPr>
      <w:fldChar w:fldCharType="end"/>
    </w:r>
  </w:p>
  <w:p w14:paraId="4071C94B" w14:textId="77777777" w:rsidR="005E1B10" w:rsidRPr="00A772B4" w:rsidRDefault="005E1B10"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EC82C" w14:textId="77777777" w:rsidR="005E1B10" w:rsidRDefault="005E1B10" w:rsidP="00D946DB">
      <w:pPr>
        <w:spacing w:before="0" w:after="0"/>
      </w:pPr>
      <w:r>
        <w:separator/>
      </w:r>
    </w:p>
  </w:footnote>
  <w:footnote w:type="continuationSeparator" w:id="0">
    <w:p w14:paraId="5D734917" w14:textId="77777777" w:rsidR="005E1B10" w:rsidRDefault="005E1B10" w:rsidP="00D946DB">
      <w:pPr>
        <w:spacing w:before="0" w:after="0"/>
      </w:pPr>
      <w:r>
        <w:continuationSeparator/>
      </w:r>
    </w:p>
  </w:footnote>
  <w:footnote w:type="continuationNotice" w:id="1">
    <w:p w14:paraId="504F2A36" w14:textId="77777777" w:rsidR="005E1B10" w:rsidRDefault="005E1B10">
      <w:pPr>
        <w:spacing w:before="0" w:after="0"/>
      </w:pPr>
    </w:p>
  </w:footnote>
  <w:footnote w:id="2">
    <w:p w14:paraId="3EB62D1F" w14:textId="72DDFBF1" w:rsidR="00FE1150" w:rsidRPr="00F95727" w:rsidRDefault="00FE1150" w:rsidP="00FE1150">
      <w:pPr>
        <w:pStyle w:val="FootnoteText"/>
        <w:spacing w:before="0" w:after="0" w:line="240" w:lineRule="auto"/>
        <w:ind w:left="567" w:hanging="567"/>
        <w:rPr>
          <w:rFonts w:ascii="Times New Roman" w:hAnsi="Times New Roman"/>
          <w:sz w:val="20"/>
          <w:szCs w:val="20"/>
        </w:rPr>
      </w:pPr>
      <w:r w:rsidRPr="002C66A4">
        <w:rPr>
          <w:rStyle w:val="FootnoteReference"/>
          <w:rFonts w:ascii="Times New Roman" w:hAnsi="Times New Roman"/>
          <w:sz w:val="20"/>
          <w:szCs w:val="20"/>
          <w:vertAlign w:val="superscript"/>
        </w:rPr>
        <w:footnoteRef/>
      </w:r>
      <w:r w:rsidRPr="005B592F">
        <w:rPr>
          <w:rFonts w:ascii="Times New Roman" w:hAnsi="Times New Roman"/>
          <w:sz w:val="20"/>
          <w:szCs w:val="20"/>
          <w:lang w:val="en-US"/>
        </w:rPr>
        <w:tab/>
      </w:r>
      <w:r w:rsidRPr="00F95727">
        <w:rPr>
          <w:rFonts w:ascii="Times New Roman" w:hAnsi="Times New Roman"/>
          <w:color w:val="444444"/>
          <w:sz w:val="20"/>
          <w:szCs w:val="20"/>
        </w:rPr>
        <w:t>Directive 2013/36/EU of the European Parliament and of the Council of 26 June 2013 on access to the activity of credit institutions and the prudential supervision of credit institutions, amending Directive 2002/87/EC and repealing Directives 2006/48/EC and 2006/49/EC</w:t>
      </w:r>
      <w:r w:rsidRPr="005B592F">
        <w:rPr>
          <w:rFonts w:ascii="Times New Roman" w:hAnsi="Times New Roman"/>
          <w:color w:val="444444"/>
          <w:sz w:val="20"/>
          <w:szCs w:val="20"/>
          <w:lang w:val="en-US"/>
        </w:rPr>
        <w:t xml:space="preserve"> </w:t>
      </w:r>
      <w:r w:rsidRPr="00F95727">
        <w:rPr>
          <w:rFonts w:ascii="Times New Roman" w:hAnsi="Times New Roman"/>
          <w:color w:val="444444"/>
          <w:sz w:val="20"/>
          <w:szCs w:val="20"/>
        </w:rPr>
        <w:t>(OJ L 176 27.6.2013, p. 338)</w:t>
      </w:r>
      <w:r w:rsidRPr="005B592F">
        <w:rPr>
          <w:rFonts w:ascii="Times New Roman" w:hAnsi="Times New Roman"/>
          <w:color w:val="444444"/>
          <w:sz w:val="20"/>
          <w:szCs w:val="20"/>
          <w:lang w:val="en-US"/>
        </w:rPr>
        <w:t>.</w:t>
      </w:r>
    </w:p>
  </w:footnote>
  <w:footnote w:id="3">
    <w:p w14:paraId="7392EC52" w14:textId="2DD281DF" w:rsidR="00FE1150" w:rsidRPr="00B74E74" w:rsidRDefault="00FE1150" w:rsidP="007A705E">
      <w:pPr>
        <w:pStyle w:val="FootnoteText"/>
        <w:spacing w:before="0" w:after="0" w:line="240" w:lineRule="auto"/>
        <w:ind w:left="567" w:hanging="567"/>
        <w:rPr>
          <w:rFonts w:ascii="Times New Roman" w:hAnsi="Times New Roman"/>
          <w:color w:val="444444"/>
          <w:sz w:val="20"/>
          <w:szCs w:val="20"/>
          <w:lang w:val="en-GB"/>
        </w:rPr>
      </w:pPr>
      <w:r>
        <w:rPr>
          <w:rStyle w:val="FootnoteReference"/>
        </w:rPr>
        <w:footnoteRef/>
      </w:r>
      <w:r>
        <w:tab/>
      </w:r>
      <w:r w:rsidRPr="007A705E">
        <w:rPr>
          <w:rFonts w:ascii="Times New Roman" w:hAnsi="Times New Roman"/>
          <w:color w:val="444444"/>
          <w:sz w:val="20"/>
          <w:szCs w:val="20"/>
        </w:rPr>
        <w:t>Commission Delegated Regulation (EU) No 1222/2014 of 8 October 2014 supplementing Directive 2013/36/EU of the European Parliament and of the Council with regard to regulatory technical standards for the specification of the methodology for the identification of global systemically important institutions and for the definition of subcategories of global systemically important institutions (</w:t>
      </w:r>
      <w:r w:rsidRPr="007A705E">
        <w:rPr>
          <w:rFonts w:ascii="Times New Roman" w:hAnsi="Times New Roman"/>
          <w:sz w:val="20"/>
          <w:szCs w:val="20"/>
        </w:rPr>
        <w:t>OJ L 330, 15.11.2014, p. 27</w:t>
      </w:r>
      <w:r w:rsidRPr="007A705E">
        <w:rPr>
          <w:rFonts w:ascii="Times New Roman" w:hAnsi="Times New Roman"/>
          <w:color w:val="444444"/>
          <w:sz w:val="20"/>
          <w:szCs w:val="20"/>
        </w:rPr>
        <w:t>)</w:t>
      </w:r>
      <w:r w:rsidR="00B26332">
        <w:rPr>
          <w:rFonts w:ascii="Times New Roman" w:hAnsi="Times New Roman"/>
          <w:color w:val="444444"/>
          <w:sz w:val="20"/>
          <w:szCs w:val="20"/>
          <w:lang w:val="en-GB"/>
        </w:rPr>
        <w:t>.</w:t>
      </w:r>
    </w:p>
  </w:footnote>
  <w:footnote w:id="4">
    <w:p w14:paraId="7E81C75F" w14:textId="7AFAACB8" w:rsidR="00461B95" w:rsidRPr="00EF0DDB" w:rsidRDefault="00461B95">
      <w:pPr>
        <w:pStyle w:val="FootnoteText"/>
        <w:rPr>
          <w:lang w:val="en-GB"/>
        </w:rPr>
      </w:pPr>
      <w:r>
        <w:rPr>
          <w:rStyle w:val="FootnoteReference"/>
        </w:rPr>
        <w:footnoteRef/>
      </w:r>
      <w:r>
        <w:t xml:space="preserve"> </w:t>
      </w:r>
      <w:r w:rsidRPr="00EF0DDB">
        <w:t>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(OJ L 225, 30.7.2014,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919D" w14:textId="314B02EC" w:rsidR="00A14DB6" w:rsidRDefault="00A14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82C1" w14:textId="7813F92C" w:rsidR="00A14DB6" w:rsidRDefault="00A14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14EE" w14:textId="41DDE12B" w:rsidR="00A14DB6" w:rsidRDefault="00A14D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8513B" w14:textId="734F3CD6" w:rsidR="00512D46" w:rsidRDefault="00512D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CFDC" w14:textId="2AE6CCE5" w:rsidR="00512D46" w:rsidRDefault="00512D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A3CA" w14:textId="464A4932" w:rsidR="005E1B10" w:rsidRDefault="005E1B10">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2"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7D7F02"/>
    <w:multiLevelType w:val="multilevel"/>
    <w:tmpl w:val="0407001D"/>
    <w:numStyleLink w:val="Formatvorlage3"/>
  </w:abstractNum>
  <w:abstractNum w:abstractNumId="5" w15:restartNumberingAfterBreak="0">
    <w:nsid w:val="33057CB8"/>
    <w:multiLevelType w:val="hybridMultilevel"/>
    <w:tmpl w:val="760C1692"/>
    <w:lvl w:ilvl="0" w:tplc="236EA62C">
      <w:start w:val="1"/>
      <w:numFmt w:val="decimal"/>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6" w15:restartNumberingAfterBreak="0">
    <w:nsid w:val="348F026D"/>
    <w:multiLevelType w:val="hybridMultilevel"/>
    <w:tmpl w:val="020AB0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1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8"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9"/>
  </w:num>
  <w:num w:numId="4">
    <w:abstractNumId w:val="9"/>
  </w:num>
  <w:num w:numId="5">
    <w:abstractNumId w:val="16"/>
  </w:num>
  <w:num w:numId="6">
    <w:abstractNumId w:val="8"/>
  </w:num>
  <w:num w:numId="7">
    <w:abstractNumId w:val="18"/>
  </w:num>
  <w:num w:numId="8">
    <w:abstractNumId w:val="2"/>
  </w:num>
  <w:num w:numId="9">
    <w:abstractNumId w:val="14"/>
  </w:num>
  <w:num w:numId="10">
    <w:abstractNumId w:val="7"/>
  </w:num>
  <w:num w:numId="11">
    <w:abstractNumId w:val="11"/>
  </w:num>
  <w:num w:numId="12">
    <w:abstractNumId w:val="3"/>
  </w:num>
  <w:num w:numId="13">
    <w:abstractNumId w:val="15"/>
  </w:num>
  <w:num w:numId="14">
    <w:abstractNumId w:val="12"/>
  </w:num>
  <w:num w:numId="15">
    <w:abstractNumId w:val="5"/>
  </w:num>
  <w:num w:numId="16">
    <w:abstractNumId w:val="10"/>
  </w:num>
  <w:num w:numId="17">
    <w:abstractNumId w:val="4"/>
  </w:num>
  <w:num w:numId="18">
    <w:abstractNumId w:val="17"/>
  </w:num>
  <w:num w:numId="19">
    <w:abstractNumId w:val="1"/>
  </w:num>
  <w:num w:numId="20">
    <w:abstractNumId w:val="6"/>
  </w:num>
  <w:num w:numId="21">
    <w:abstractNumId w:val="5"/>
  </w:num>
  <w:num w:numId="22">
    <w:abstractNumId w:val="15"/>
  </w:num>
  <w:num w:numId="23">
    <w:abstractNumId w:val="15"/>
  </w:num>
  <w:num w:numId="24">
    <w:abstractNumId w:val="15"/>
  </w:num>
  <w:num w:numId="2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170"/>
  <w:drawingGridHorizontalSpacing w:val="100"/>
  <w:displayHorizontalDrawingGridEvery w:val="2"/>
  <w:characterSpacingControl w:val="doNotCompress"/>
  <w:hdrShapeDefaults>
    <o:shapedefaults v:ext="edit" spidmax="1187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884FEB"/>
    <w:rsid w:val="000001EC"/>
    <w:rsid w:val="00000255"/>
    <w:rsid w:val="000009B0"/>
    <w:rsid w:val="00000F70"/>
    <w:rsid w:val="000017F3"/>
    <w:rsid w:val="00001AF1"/>
    <w:rsid w:val="000020E5"/>
    <w:rsid w:val="00002933"/>
    <w:rsid w:val="00002E14"/>
    <w:rsid w:val="00004478"/>
    <w:rsid w:val="000044B7"/>
    <w:rsid w:val="00004542"/>
    <w:rsid w:val="00004978"/>
    <w:rsid w:val="00004D21"/>
    <w:rsid w:val="00004FE8"/>
    <w:rsid w:val="00005078"/>
    <w:rsid w:val="00005765"/>
    <w:rsid w:val="00005FFC"/>
    <w:rsid w:val="00007605"/>
    <w:rsid w:val="00007D0D"/>
    <w:rsid w:val="00010124"/>
    <w:rsid w:val="00011BD0"/>
    <w:rsid w:val="000120EB"/>
    <w:rsid w:val="00014890"/>
    <w:rsid w:val="00014DC3"/>
    <w:rsid w:val="0001693F"/>
    <w:rsid w:val="00020200"/>
    <w:rsid w:val="00020516"/>
    <w:rsid w:val="00020857"/>
    <w:rsid w:val="00020AF9"/>
    <w:rsid w:val="0002157C"/>
    <w:rsid w:val="00021A05"/>
    <w:rsid w:val="0002267E"/>
    <w:rsid w:val="00023102"/>
    <w:rsid w:val="000232E2"/>
    <w:rsid w:val="00023383"/>
    <w:rsid w:val="000242CC"/>
    <w:rsid w:val="000243CE"/>
    <w:rsid w:val="0002547B"/>
    <w:rsid w:val="0002657F"/>
    <w:rsid w:val="00027235"/>
    <w:rsid w:val="000326C1"/>
    <w:rsid w:val="00033B7C"/>
    <w:rsid w:val="00033C55"/>
    <w:rsid w:val="00034431"/>
    <w:rsid w:val="00034834"/>
    <w:rsid w:val="000359E1"/>
    <w:rsid w:val="000359E7"/>
    <w:rsid w:val="000364CE"/>
    <w:rsid w:val="00037093"/>
    <w:rsid w:val="000377CC"/>
    <w:rsid w:val="00037FCC"/>
    <w:rsid w:val="00041480"/>
    <w:rsid w:val="000433C4"/>
    <w:rsid w:val="00045036"/>
    <w:rsid w:val="0004590F"/>
    <w:rsid w:val="00047C1D"/>
    <w:rsid w:val="00052CAE"/>
    <w:rsid w:val="000530BC"/>
    <w:rsid w:val="0005400A"/>
    <w:rsid w:val="000548A2"/>
    <w:rsid w:val="0005609F"/>
    <w:rsid w:val="000565B6"/>
    <w:rsid w:val="00056C0F"/>
    <w:rsid w:val="00056C8D"/>
    <w:rsid w:val="00057154"/>
    <w:rsid w:val="00057362"/>
    <w:rsid w:val="0005746D"/>
    <w:rsid w:val="00061E48"/>
    <w:rsid w:val="00062A1F"/>
    <w:rsid w:val="00063085"/>
    <w:rsid w:val="00063B3F"/>
    <w:rsid w:val="0006666B"/>
    <w:rsid w:val="00067DC1"/>
    <w:rsid w:val="00067EEA"/>
    <w:rsid w:val="00070AF9"/>
    <w:rsid w:val="00070E18"/>
    <w:rsid w:val="00071341"/>
    <w:rsid w:val="000716F4"/>
    <w:rsid w:val="000758FE"/>
    <w:rsid w:val="00076091"/>
    <w:rsid w:val="00076880"/>
    <w:rsid w:val="00077C5F"/>
    <w:rsid w:val="0008111C"/>
    <w:rsid w:val="0008126E"/>
    <w:rsid w:val="00082265"/>
    <w:rsid w:val="000828C6"/>
    <w:rsid w:val="000843B3"/>
    <w:rsid w:val="00084A4D"/>
    <w:rsid w:val="000858A9"/>
    <w:rsid w:val="00086C6E"/>
    <w:rsid w:val="00087700"/>
    <w:rsid w:val="00087903"/>
    <w:rsid w:val="00087E1A"/>
    <w:rsid w:val="000903FA"/>
    <w:rsid w:val="000904F3"/>
    <w:rsid w:val="0009195D"/>
    <w:rsid w:val="00092F67"/>
    <w:rsid w:val="00093686"/>
    <w:rsid w:val="00094D25"/>
    <w:rsid w:val="00095191"/>
    <w:rsid w:val="00096566"/>
    <w:rsid w:val="0009761E"/>
    <w:rsid w:val="00097A17"/>
    <w:rsid w:val="00097C81"/>
    <w:rsid w:val="00097E91"/>
    <w:rsid w:val="000A1955"/>
    <w:rsid w:val="000A3B1A"/>
    <w:rsid w:val="000A4B61"/>
    <w:rsid w:val="000A4C10"/>
    <w:rsid w:val="000A57BC"/>
    <w:rsid w:val="000A7D27"/>
    <w:rsid w:val="000B0B09"/>
    <w:rsid w:val="000B0E46"/>
    <w:rsid w:val="000B0EBE"/>
    <w:rsid w:val="000B13A1"/>
    <w:rsid w:val="000B3C33"/>
    <w:rsid w:val="000B3E00"/>
    <w:rsid w:val="000B6A14"/>
    <w:rsid w:val="000B70E1"/>
    <w:rsid w:val="000B73C4"/>
    <w:rsid w:val="000B7FB0"/>
    <w:rsid w:val="000C0127"/>
    <w:rsid w:val="000C0A34"/>
    <w:rsid w:val="000C24B5"/>
    <w:rsid w:val="000C30A6"/>
    <w:rsid w:val="000C4A6C"/>
    <w:rsid w:val="000C5A1A"/>
    <w:rsid w:val="000C5EA7"/>
    <w:rsid w:val="000C6938"/>
    <w:rsid w:val="000C7632"/>
    <w:rsid w:val="000C7EAA"/>
    <w:rsid w:val="000D194E"/>
    <w:rsid w:val="000D220D"/>
    <w:rsid w:val="000D3636"/>
    <w:rsid w:val="000D3CBC"/>
    <w:rsid w:val="000D3E1C"/>
    <w:rsid w:val="000D4352"/>
    <w:rsid w:val="000D5292"/>
    <w:rsid w:val="000D5958"/>
    <w:rsid w:val="000D6B9B"/>
    <w:rsid w:val="000E093A"/>
    <w:rsid w:val="000E1572"/>
    <w:rsid w:val="000E2774"/>
    <w:rsid w:val="000E29C9"/>
    <w:rsid w:val="000E3F99"/>
    <w:rsid w:val="000E3FB9"/>
    <w:rsid w:val="000E40DD"/>
    <w:rsid w:val="000E6835"/>
    <w:rsid w:val="000E7BA8"/>
    <w:rsid w:val="000E7F08"/>
    <w:rsid w:val="000F11B2"/>
    <w:rsid w:val="000F13F9"/>
    <w:rsid w:val="000F1CEA"/>
    <w:rsid w:val="000F2EC8"/>
    <w:rsid w:val="000F2F09"/>
    <w:rsid w:val="000F33AF"/>
    <w:rsid w:val="000F46D5"/>
    <w:rsid w:val="000F4702"/>
    <w:rsid w:val="000F6A80"/>
    <w:rsid w:val="000F6B25"/>
    <w:rsid w:val="000F7045"/>
    <w:rsid w:val="000F70EC"/>
    <w:rsid w:val="0010177C"/>
    <w:rsid w:val="00102C6F"/>
    <w:rsid w:val="00104370"/>
    <w:rsid w:val="0010455D"/>
    <w:rsid w:val="00104A65"/>
    <w:rsid w:val="0010559F"/>
    <w:rsid w:val="0010605A"/>
    <w:rsid w:val="00106FC5"/>
    <w:rsid w:val="00110996"/>
    <w:rsid w:val="00110F40"/>
    <w:rsid w:val="00113E45"/>
    <w:rsid w:val="00113EA5"/>
    <w:rsid w:val="001151C1"/>
    <w:rsid w:val="0011539B"/>
    <w:rsid w:val="00115685"/>
    <w:rsid w:val="0012049B"/>
    <w:rsid w:val="001219C2"/>
    <w:rsid w:val="00124A44"/>
    <w:rsid w:val="00124B85"/>
    <w:rsid w:val="001250CC"/>
    <w:rsid w:val="00125707"/>
    <w:rsid w:val="00125D44"/>
    <w:rsid w:val="00125DEE"/>
    <w:rsid w:val="00126395"/>
    <w:rsid w:val="001273B5"/>
    <w:rsid w:val="00127986"/>
    <w:rsid w:val="00130586"/>
    <w:rsid w:val="00130EEF"/>
    <w:rsid w:val="001323BF"/>
    <w:rsid w:val="00132778"/>
    <w:rsid w:val="00132C4A"/>
    <w:rsid w:val="00133107"/>
    <w:rsid w:val="001331F5"/>
    <w:rsid w:val="00133396"/>
    <w:rsid w:val="00133AC1"/>
    <w:rsid w:val="00136316"/>
    <w:rsid w:val="00137AC5"/>
    <w:rsid w:val="001402DB"/>
    <w:rsid w:val="001409D9"/>
    <w:rsid w:val="00140F6E"/>
    <w:rsid w:val="00141DD1"/>
    <w:rsid w:val="00142917"/>
    <w:rsid w:val="001432EE"/>
    <w:rsid w:val="00144F03"/>
    <w:rsid w:val="0014657C"/>
    <w:rsid w:val="00146D50"/>
    <w:rsid w:val="001474E0"/>
    <w:rsid w:val="0015008C"/>
    <w:rsid w:val="00151071"/>
    <w:rsid w:val="00151B44"/>
    <w:rsid w:val="00151D8A"/>
    <w:rsid w:val="0015288B"/>
    <w:rsid w:val="00152B33"/>
    <w:rsid w:val="00153BEC"/>
    <w:rsid w:val="00154859"/>
    <w:rsid w:val="00155114"/>
    <w:rsid w:val="00156555"/>
    <w:rsid w:val="001570C4"/>
    <w:rsid w:val="00157B19"/>
    <w:rsid w:val="0016042C"/>
    <w:rsid w:val="0016072E"/>
    <w:rsid w:val="0016282F"/>
    <w:rsid w:val="001628F4"/>
    <w:rsid w:val="00162CCF"/>
    <w:rsid w:val="00163DBA"/>
    <w:rsid w:val="00164970"/>
    <w:rsid w:val="00164B62"/>
    <w:rsid w:val="00167619"/>
    <w:rsid w:val="00167763"/>
    <w:rsid w:val="00167E59"/>
    <w:rsid w:val="001721BD"/>
    <w:rsid w:val="001734AB"/>
    <w:rsid w:val="0017440D"/>
    <w:rsid w:val="00175957"/>
    <w:rsid w:val="001771A4"/>
    <w:rsid w:val="00181174"/>
    <w:rsid w:val="00181888"/>
    <w:rsid w:val="001822DF"/>
    <w:rsid w:val="00183B7A"/>
    <w:rsid w:val="00184045"/>
    <w:rsid w:val="001840A5"/>
    <w:rsid w:val="00184E8A"/>
    <w:rsid w:val="0018533B"/>
    <w:rsid w:val="001854F6"/>
    <w:rsid w:val="00185877"/>
    <w:rsid w:val="00187348"/>
    <w:rsid w:val="00187488"/>
    <w:rsid w:val="0019088A"/>
    <w:rsid w:val="00190FA3"/>
    <w:rsid w:val="001919E9"/>
    <w:rsid w:val="001924F4"/>
    <w:rsid w:val="00192744"/>
    <w:rsid w:val="0019394E"/>
    <w:rsid w:val="001959EF"/>
    <w:rsid w:val="0019727D"/>
    <w:rsid w:val="00197C28"/>
    <w:rsid w:val="001A0143"/>
    <w:rsid w:val="001A2115"/>
    <w:rsid w:val="001A3980"/>
    <w:rsid w:val="001A44B3"/>
    <w:rsid w:val="001A523B"/>
    <w:rsid w:val="001A531E"/>
    <w:rsid w:val="001A627D"/>
    <w:rsid w:val="001A741B"/>
    <w:rsid w:val="001A7742"/>
    <w:rsid w:val="001B023A"/>
    <w:rsid w:val="001B140A"/>
    <w:rsid w:val="001B1531"/>
    <w:rsid w:val="001B1F77"/>
    <w:rsid w:val="001B21AE"/>
    <w:rsid w:val="001B44EE"/>
    <w:rsid w:val="001B4EA5"/>
    <w:rsid w:val="001B5499"/>
    <w:rsid w:val="001B5725"/>
    <w:rsid w:val="001B6D4D"/>
    <w:rsid w:val="001B7D0F"/>
    <w:rsid w:val="001B7EDC"/>
    <w:rsid w:val="001B7F1A"/>
    <w:rsid w:val="001C1392"/>
    <w:rsid w:val="001C24B0"/>
    <w:rsid w:val="001C2BA5"/>
    <w:rsid w:val="001C3443"/>
    <w:rsid w:val="001C3D30"/>
    <w:rsid w:val="001C5557"/>
    <w:rsid w:val="001C5CA8"/>
    <w:rsid w:val="001C6166"/>
    <w:rsid w:val="001C6416"/>
    <w:rsid w:val="001C7897"/>
    <w:rsid w:val="001C79CB"/>
    <w:rsid w:val="001C7AB7"/>
    <w:rsid w:val="001C7F2A"/>
    <w:rsid w:val="001D1F64"/>
    <w:rsid w:val="001D2FE6"/>
    <w:rsid w:val="001D3409"/>
    <w:rsid w:val="001D4848"/>
    <w:rsid w:val="001D4B9D"/>
    <w:rsid w:val="001D5403"/>
    <w:rsid w:val="001D6D7C"/>
    <w:rsid w:val="001D7382"/>
    <w:rsid w:val="001E01BA"/>
    <w:rsid w:val="001E0C80"/>
    <w:rsid w:val="001E1187"/>
    <w:rsid w:val="001E332C"/>
    <w:rsid w:val="001E38FD"/>
    <w:rsid w:val="001E39E5"/>
    <w:rsid w:val="001E3EF1"/>
    <w:rsid w:val="001E5A75"/>
    <w:rsid w:val="001E6127"/>
    <w:rsid w:val="001E6B9D"/>
    <w:rsid w:val="001E7AE4"/>
    <w:rsid w:val="001E7EA7"/>
    <w:rsid w:val="001F0111"/>
    <w:rsid w:val="001F0D60"/>
    <w:rsid w:val="001F1711"/>
    <w:rsid w:val="001F2830"/>
    <w:rsid w:val="001F2920"/>
    <w:rsid w:val="001F3BBE"/>
    <w:rsid w:val="001F3D6A"/>
    <w:rsid w:val="001F4225"/>
    <w:rsid w:val="001F5AC3"/>
    <w:rsid w:val="001F6487"/>
    <w:rsid w:val="001F73EA"/>
    <w:rsid w:val="00200D6E"/>
    <w:rsid w:val="00200E8E"/>
    <w:rsid w:val="00201704"/>
    <w:rsid w:val="00201F3E"/>
    <w:rsid w:val="00202198"/>
    <w:rsid w:val="00202742"/>
    <w:rsid w:val="0020282E"/>
    <w:rsid w:val="00206687"/>
    <w:rsid w:val="00206D7E"/>
    <w:rsid w:val="00211293"/>
    <w:rsid w:val="00213102"/>
    <w:rsid w:val="0021389C"/>
    <w:rsid w:val="00213DC3"/>
    <w:rsid w:val="00213E0E"/>
    <w:rsid w:val="00214FDA"/>
    <w:rsid w:val="00215548"/>
    <w:rsid w:val="00216D67"/>
    <w:rsid w:val="0021767A"/>
    <w:rsid w:val="00220265"/>
    <w:rsid w:val="00221103"/>
    <w:rsid w:val="00221C2F"/>
    <w:rsid w:val="00222596"/>
    <w:rsid w:val="002229FF"/>
    <w:rsid w:val="00222AC6"/>
    <w:rsid w:val="00222CD3"/>
    <w:rsid w:val="0022315F"/>
    <w:rsid w:val="00224016"/>
    <w:rsid w:val="00224828"/>
    <w:rsid w:val="002249DB"/>
    <w:rsid w:val="00224FE5"/>
    <w:rsid w:val="0022597E"/>
    <w:rsid w:val="00225D42"/>
    <w:rsid w:val="002300C6"/>
    <w:rsid w:val="002301C6"/>
    <w:rsid w:val="002305D2"/>
    <w:rsid w:val="00232217"/>
    <w:rsid w:val="00232702"/>
    <w:rsid w:val="0023276A"/>
    <w:rsid w:val="002327CE"/>
    <w:rsid w:val="00233577"/>
    <w:rsid w:val="0023488F"/>
    <w:rsid w:val="00234E7D"/>
    <w:rsid w:val="0023571F"/>
    <w:rsid w:val="002357EA"/>
    <w:rsid w:val="00235897"/>
    <w:rsid w:val="002367E6"/>
    <w:rsid w:val="00236E33"/>
    <w:rsid w:val="0023700C"/>
    <w:rsid w:val="00237276"/>
    <w:rsid w:val="0023738B"/>
    <w:rsid w:val="0023769E"/>
    <w:rsid w:val="002376B2"/>
    <w:rsid w:val="002409C1"/>
    <w:rsid w:val="00241190"/>
    <w:rsid w:val="00241845"/>
    <w:rsid w:val="00242134"/>
    <w:rsid w:val="002423CA"/>
    <w:rsid w:val="002446F1"/>
    <w:rsid w:val="002450B6"/>
    <w:rsid w:val="00245325"/>
    <w:rsid w:val="00245E37"/>
    <w:rsid w:val="00246BCA"/>
    <w:rsid w:val="00250176"/>
    <w:rsid w:val="002506A3"/>
    <w:rsid w:val="00251CF4"/>
    <w:rsid w:val="00251F24"/>
    <w:rsid w:val="0025267A"/>
    <w:rsid w:val="0025290C"/>
    <w:rsid w:val="00253022"/>
    <w:rsid w:val="002540B2"/>
    <w:rsid w:val="002547C1"/>
    <w:rsid w:val="00254DF6"/>
    <w:rsid w:val="00255BA9"/>
    <w:rsid w:val="0025607F"/>
    <w:rsid w:val="002562F9"/>
    <w:rsid w:val="00257FBC"/>
    <w:rsid w:val="00260AA2"/>
    <w:rsid w:val="00261201"/>
    <w:rsid w:val="002618F4"/>
    <w:rsid w:val="00261B63"/>
    <w:rsid w:val="002625C0"/>
    <w:rsid w:val="00262B48"/>
    <w:rsid w:val="00262C1B"/>
    <w:rsid w:val="002630FB"/>
    <w:rsid w:val="0026352F"/>
    <w:rsid w:val="002647D2"/>
    <w:rsid w:val="0026485D"/>
    <w:rsid w:val="002648B0"/>
    <w:rsid w:val="00264C8C"/>
    <w:rsid w:val="002664C7"/>
    <w:rsid w:val="002678CE"/>
    <w:rsid w:val="00267A21"/>
    <w:rsid w:val="0027034D"/>
    <w:rsid w:val="00271C8B"/>
    <w:rsid w:val="00272F65"/>
    <w:rsid w:val="00273432"/>
    <w:rsid w:val="002735FE"/>
    <w:rsid w:val="002754C0"/>
    <w:rsid w:val="00276720"/>
    <w:rsid w:val="00276B41"/>
    <w:rsid w:val="00277058"/>
    <w:rsid w:val="002805FD"/>
    <w:rsid w:val="0028072E"/>
    <w:rsid w:val="00280B99"/>
    <w:rsid w:val="00283B5F"/>
    <w:rsid w:val="00283C5E"/>
    <w:rsid w:val="00284A6D"/>
    <w:rsid w:val="00285E2F"/>
    <w:rsid w:val="0028628A"/>
    <w:rsid w:val="00287E82"/>
    <w:rsid w:val="00290CAD"/>
    <w:rsid w:val="002917CA"/>
    <w:rsid w:val="002920FF"/>
    <w:rsid w:val="00292409"/>
    <w:rsid w:val="00292A20"/>
    <w:rsid w:val="0029520F"/>
    <w:rsid w:val="00295225"/>
    <w:rsid w:val="0029630E"/>
    <w:rsid w:val="00297074"/>
    <w:rsid w:val="0029726F"/>
    <w:rsid w:val="002A04D3"/>
    <w:rsid w:val="002A09D5"/>
    <w:rsid w:val="002A1B49"/>
    <w:rsid w:val="002A4B85"/>
    <w:rsid w:val="002A5969"/>
    <w:rsid w:val="002A5BC5"/>
    <w:rsid w:val="002A6913"/>
    <w:rsid w:val="002A78CA"/>
    <w:rsid w:val="002A7C84"/>
    <w:rsid w:val="002B004B"/>
    <w:rsid w:val="002B15B5"/>
    <w:rsid w:val="002B1600"/>
    <w:rsid w:val="002B2BA3"/>
    <w:rsid w:val="002B3E36"/>
    <w:rsid w:val="002B5403"/>
    <w:rsid w:val="002B5492"/>
    <w:rsid w:val="002B5B50"/>
    <w:rsid w:val="002B5CD1"/>
    <w:rsid w:val="002B5F2D"/>
    <w:rsid w:val="002B66BD"/>
    <w:rsid w:val="002C0206"/>
    <w:rsid w:val="002C053E"/>
    <w:rsid w:val="002C06FD"/>
    <w:rsid w:val="002C1068"/>
    <w:rsid w:val="002C1251"/>
    <w:rsid w:val="002C1FEC"/>
    <w:rsid w:val="002C37D9"/>
    <w:rsid w:val="002C41F1"/>
    <w:rsid w:val="002C4D74"/>
    <w:rsid w:val="002C5671"/>
    <w:rsid w:val="002C6263"/>
    <w:rsid w:val="002C66A4"/>
    <w:rsid w:val="002C674A"/>
    <w:rsid w:val="002C7A6B"/>
    <w:rsid w:val="002D2C75"/>
    <w:rsid w:val="002D31E5"/>
    <w:rsid w:val="002D3982"/>
    <w:rsid w:val="002D4561"/>
    <w:rsid w:val="002D4E10"/>
    <w:rsid w:val="002D4F6A"/>
    <w:rsid w:val="002D6B9E"/>
    <w:rsid w:val="002D7779"/>
    <w:rsid w:val="002E053A"/>
    <w:rsid w:val="002E0DDB"/>
    <w:rsid w:val="002E136A"/>
    <w:rsid w:val="002E1B35"/>
    <w:rsid w:val="002E2061"/>
    <w:rsid w:val="002E2164"/>
    <w:rsid w:val="002E3720"/>
    <w:rsid w:val="002E4EB7"/>
    <w:rsid w:val="002E587F"/>
    <w:rsid w:val="002F07EA"/>
    <w:rsid w:val="002F0FB3"/>
    <w:rsid w:val="002F1163"/>
    <w:rsid w:val="002F170E"/>
    <w:rsid w:val="002F1920"/>
    <w:rsid w:val="002F19BB"/>
    <w:rsid w:val="002F1E8D"/>
    <w:rsid w:val="002F2663"/>
    <w:rsid w:val="002F39A7"/>
    <w:rsid w:val="002F4A67"/>
    <w:rsid w:val="002F4A87"/>
    <w:rsid w:val="002F5571"/>
    <w:rsid w:val="002F78EA"/>
    <w:rsid w:val="002F7E28"/>
    <w:rsid w:val="00300224"/>
    <w:rsid w:val="00302C3F"/>
    <w:rsid w:val="00304B5D"/>
    <w:rsid w:val="00304CA5"/>
    <w:rsid w:val="0030572F"/>
    <w:rsid w:val="00306163"/>
    <w:rsid w:val="00306AD1"/>
    <w:rsid w:val="00306F71"/>
    <w:rsid w:val="00306F8E"/>
    <w:rsid w:val="003073B2"/>
    <w:rsid w:val="003105C6"/>
    <w:rsid w:val="00310F05"/>
    <w:rsid w:val="00310F96"/>
    <w:rsid w:val="00311119"/>
    <w:rsid w:val="00311B2D"/>
    <w:rsid w:val="00312BA3"/>
    <w:rsid w:val="003132E6"/>
    <w:rsid w:val="003137B9"/>
    <w:rsid w:val="00313D20"/>
    <w:rsid w:val="003141F6"/>
    <w:rsid w:val="00320BB4"/>
    <w:rsid w:val="00321A3B"/>
    <w:rsid w:val="003220BD"/>
    <w:rsid w:val="00325654"/>
    <w:rsid w:val="003259DA"/>
    <w:rsid w:val="0032635E"/>
    <w:rsid w:val="003300FF"/>
    <w:rsid w:val="00330199"/>
    <w:rsid w:val="00331FE6"/>
    <w:rsid w:val="00333A44"/>
    <w:rsid w:val="00334093"/>
    <w:rsid w:val="003374C1"/>
    <w:rsid w:val="00337849"/>
    <w:rsid w:val="00337BEA"/>
    <w:rsid w:val="00340094"/>
    <w:rsid w:val="003400BB"/>
    <w:rsid w:val="00342B6A"/>
    <w:rsid w:val="00342C4B"/>
    <w:rsid w:val="003438E8"/>
    <w:rsid w:val="003459F8"/>
    <w:rsid w:val="00345A82"/>
    <w:rsid w:val="00345E53"/>
    <w:rsid w:val="00346C65"/>
    <w:rsid w:val="0034786E"/>
    <w:rsid w:val="00347FF9"/>
    <w:rsid w:val="00350DDB"/>
    <w:rsid w:val="00352A45"/>
    <w:rsid w:val="00352C6E"/>
    <w:rsid w:val="00352FB3"/>
    <w:rsid w:val="00353D40"/>
    <w:rsid w:val="003556A3"/>
    <w:rsid w:val="00356773"/>
    <w:rsid w:val="00357CD1"/>
    <w:rsid w:val="00357F63"/>
    <w:rsid w:val="003616A1"/>
    <w:rsid w:val="00361D60"/>
    <w:rsid w:val="00363969"/>
    <w:rsid w:val="0036415F"/>
    <w:rsid w:val="00364EBB"/>
    <w:rsid w:val="00366794"/>
    <w:rsid w:val="00370576"/>
    <w:rsid w:val="00370D79"/>
    <w:rsid w:val="00371593"/>
    <w:rsid w:val="00371653"/>
    <w:rsid w:val="00373E3E"/>
    <w:rsid w:val="00375C47"/>
    <w:rsid w:val="00380D47"/>
    <w:rsid w:val="003812AC"/>
    <w:rsid w:val="003813DF"/>
    <w:rsid w:val="0038147E"/>
    <w:rsid w:val="003826D9"/>
    <w:rsid w:val="00383D4B"/>
    <w:rsid w:val="00383FF2"/>
    <w:rsid w:val="00385C95"/>
    <w:rsid w:val="00386492"/>
    <w:rsid w:val="00387E40"/>
    <w:rsid w:val="003908C5"/>
    <w:rsid w:val="00390DDA"/>
    <w:rsid w:val="003927BE"/>
    <w:rsid w:val="00392C11"/>
    <w:rsid w:val="00392FFD"/>
    <w:rsid w:val="0039346B"/>
    <w:rsid w:val="00393539"/>
    <w:rsid w:val="0039435E"/>
    <w:rsid w:val="00394410"/>
    <w:rsid w:val="00394FF1"/>
    <w:rsid w:val="003953E6"/>
    <w:rsid w:val="00397314"/>
    <w:rsid w:val="00397A77"/>
    <w:rsid w:val="003A0835"/>
    <w:rsid w:val="003A0C05"/>
    <w:rsid w:val="003A1469"/>
    <w:rsid w:val="003A1B96"/>
    <w:rsid w:val="003A200A"/>
    <w:rsid w:val="003A3877"/>
    <w:rsid w:val="003A449C"/>
    <w:rsid w:val="003A497B"/>
    <w:rsid w:val="003A4C8B"/>
    <w:rsid w:val="003A5743"/>
    <w:rsid w:val="003A5D8C"/>
    <w:rsid w:val="003A7214"/>
    <w:rsid w:val="003B00F4"/>
    <w:rsid w:val="003B06B9"/>
    <w:rsid w:val="003B20D7"/>
    <w:rsid w:val="003B25F0"/>
    <w:rsid w:val="003B2712"/>
    <w:rsid w:val="003B3112"/>
    <w:rsid w:val="003B3533"/>
    <w:rsid w:val="003B3DBB"/>
    <w:rsid w:val="003B7060"/>
    <w:rsid w:val="003C050A"/>
    <w:rsid w:val="003C0FB5"/>
    <w:rsid w:val="003C1BB1"/>
    <w:rsid w:val="003C2409"/>
    <w:rsid w:val="003C2566"/>
    <w:rsid w:val="003C3168"/>
    <w:rsid w:val="003C3AAB"/>
    <w:rsid w:val="003C3B79"/>
    <w:rsid w:val="003C3FD5"/>
    <w:rsid w:val="003C4307"/>
    <w:rsid w:val="003C60B9"/>
    <w:rsid w:val="003C7853"/>
    <w:rsid w:val="003D10E9"/>
    <w:rsid w:val="003D1657"/>
    <w:rsid w:val="003D17D0"/>
    <w:rsid w:val="003D199D"/>
    <w:rsid w:val="003D3CED"/>
    <w:rsid w:val="003D431C"/>
    <w:rsid w:val="003D485B"/>
    <w:rsid w:val="003D56DE"/>
    <w:rsid w:val="003D655D"/>
    <w:rsid w:val="003D69CB"/>
    <w:rsid w:val="003D725D"/>
    <w:rsid w:val="003D7822"/>
    <w:rsid w:val="003D7F50"/>
    <w:rsid w:val="003E098F"/>
    <w:rsid w:val="003E3102"/>
    <w:rsid w:val="003E4EF2"/>
    <w:rsid w:val="003E5145"/>
    <w:rsid w:val="003E52DA"/>
    <w:rsid w:val="003E7AEC"/>
    <w:rsid w:val="003F05A0"/>
    <w:rsid w:val="003F1103"/>
    <w:rsid w:val="003F15BB"/>
    <w:rsid w:val="003F17BB"/>
    <w:rsid w:val="003F3523"/>
    <w:rsid w:val="00401111"/>
    <w:rsid w:val="0040156B"/>
    <w:rsid w:val="0040521E"/>
    <w:rsid w:val="00405C0A"/>
    <w:rsid w:val="00407110"/>
    <w:rsid w:val="00407936"/>
    <w:rsid w:val="00410796"/>
    <w:rsid w:val="004120DF"/>
    <w:rsid w:val="004129D0"/>
    <w:rsid w:val="00412D44"/>
    <w:rsid w:val="004133D9"/>
    <w:rsid w:val="00415A1B"/>
    <w:rsid w:val="00417984"/>
    <w:rsid w:val="00422449"/>
    <w:rsid w:val="00423007"/>
    <w:rsid w:val="00423556"/>
    <w:rsid w:val="00423F7E"/>
    <w:rsid w:val="004255D6"/>
    <w:rsid w:val="0042594B"/>
    <w:rsid w:val="00425F4C"/>
    <w:rsid w:val="0042766A"/>
    <w:rsid w:val="0043001B"/>
    <w:rsid w:val="004304C0"/>
    <w:rsid w:val="00430F6F"/>
    <w:rsid w:val="0043168D"/>
    <w:rsid w:val="004317F7"/>
    <w:rsid w:val="004319EB"/>
    <w:rsid w:val="0043231D"/>
    <w:rsid w:val="004350F2"/>
    <w:rsid w:val="004357B9"/>
    <w:rsid w:val="00436204"/>
    <w:rsid w:val="00436490"/>
    <w:rsid w:val="00436A46"/>
    <w:rsid w:val="00436BBC"/>
    <w:rsid w:val="004377DA"/>
    <w:rsid w:val="004377E2"/>
    <w:rsid w:val="004402E9"/>
    <w:rsid w:val="004408E7"/>
    <w:rsid w:val="00443003"/>
    <w:rsid w:val="00443DD0"/>
    <w:rsid w:val="0044539D"/>
    <w:rsid w:val="00445E06"/>
    <w:rsid w:val="0044639C"/>
    <w:rsid w:val="0045099E"/>
    <w:rsid w:val="00450A2E"/>
    <w:rsid w:val="00451220"/>
    <w:rsid w:val="00451B63"/>
    <w:rsid w:val="00452FEF"/>
    <w:rsid w:val="00453999"/>
    <w:rsid w:val="00454082"/>
    <w:rsid w:val="00454139"/>
    <w:rsid w:val="00454CFC"/>
    <w:rsid w:val="00455364"/>
    <w:rsid w:val="00455B49"/>
    <w:rsid w:val="004600E4"/>
    <w:rsid w:val="004603C7"/>
    <w:rsid w:val="00460A9C"/>
    <w:rsid w:val="00461A5A"/>
    <w:rsid w:val="00461B95"/>
    <w:rsid w:val="004629A2"/>
    <w:rsid w:val="00462BAB"/>
    <w:rsid w:val="00464DCB"/>
    <w:rsid w:val="00464F34"/>
    <w:rsid w:val="00465D5A"/>
    <w:rsid w:val="00467F08"/>
    <w:rsid w:val="00471A96"/>
    <w:rsid w:val="00474C49"/>
    <w:rsid w:val="0047503C"/>
    <w:rsid w:val="0047563E"/>
    <w:rsid w:val="00475B6A"/>
    <w:rsid w:val="0047602E"/>
    <w:rsid w:val="00476209"/>
    <w:rsid w:val="00476566"/>
    <w:rsid w:val="004766D4"/>
    <w:rsid w:val="0047693D"/>
    <w:rsid w:val="004773AB"/>
    <w:rsid w:val="00477C45"/>
    <w:rsid w:val="00477CB6"/>
    <w:rsid w:val="00480A69"/>
    <w:rsid w:val="0048116C"/>
    <w:rsid w:val="0048143B"/>
    <w:rsid w:val="00483FC9"/>
    <w:rsid w:val="00484DDA"/>
    <w:rsid w:val="004852B9"/>
    <w:rsid w:val="00486DA5"/>
    <w:rsid w:val="00487597"/>
    <w:rsid w:val="004901BE"/>
    <w:rsid w:val="00491113"/>
    <w:rsid w:val="004913CE"/>
    <w:rsid w:val="00491F4D"/>
    <w:rsid w:val="00492D77"/>
    <w:rsid w:val="00493D5E"/>
    <w:rsid w:val="00496C53"/>
    <w:rsid w:val="00496F5D"/>
    <w:rsid w:val="004970FA"/>
    <w:rsid w:val="00497D60"/>
    <w:rsid w:val="004A01BF"/>
    <w:rsid w:val="004A0885"/>
    <w:rsid w:val="004A0D4A"/>
    <w:rsid w:val="004A11BD"/>
    <w:rsid w:val="004A1D97"/>
    <w:rsid w:val="004A3247"/>
    <w:rsid w:val="004A3A58"/>
    <w:rsid w:val="004A3B3D"/>
    <w:rsid w:val="004A5880"/>
    <w:rsid w:val="004A6C52"/>
    <w:rsid w:val="004A705D"/>
    <w:rsid w:val="004A7B60"/>
    <w:rsid w:val="004B031B"/>
    <w:rsid w:val="004B135C"/>
    <w:rsid w:val="004B29EB"/>
    <w:rsid w:val="004B2A17"/>
    <w:rsid w:val="004B38D3"/>
    <w:rsid w:val="004B38D7"/>
    <w:rsid w:val="004B3B58"/>
    <w:rsid w:val="004B4DF9"/>
    <w:rsid w:val="004B572C"/>
    <w:rsid w:val="004B5870"/>
    <w:rsid w:val="004B67ED"/>
    <w:rsid w:val="004B7F4A"/>
    <w:rsid w:val="004C03BC"/>
    <w:rsid w:val="004C0508"/>
    <w:rsid w:val="004C15A0"/>
    <w:rsid w:val="004C1ACF"/>
    <w:rsid w:val="004C4478"/>
    <w:rsid w:val="004C6E6F"/>
    <w:rsid w:val="004C74EC"/>
    <w:rsid w:val="004C7CBE"/>
    <w:rsid w:val="004D0C15"/>
    <w:rsid w:val="004D2031"/>
    <w:rsid w:val="004D2753"/>
    <w:rsid w:val="004D36B6"/>
    <w:rsid w:val="004D4419"/>
    <w:rsid w:val="004D45AA"/>
    <w:rsid w:val="004D5161"/>
    <w:rsid w:val="004D6755"/>
    <w:rsid w:val="004D6C74"/>
    <w:rsid w:val="004D780C"/>
    <w:rsid w:val="004E0244"/>
    <w:rsid w:val="004E04BF"/>
    <w:rsid w:val="004E081B"/>
    <w:rsid w:val="004E0A91"/>
    <w:rsid w:val="004E2725"/>
    <w:rsid w:val="004E28B1"/>
    <w:rsid w:val="004E2BE7"/>
    <w:rsid w:val="004E5B02"/>
    <w:rsid w:val="004E6D5F"/>
    <w:rsid w:val="004E7936"/>
    <w:rsid w:val="004E7DF2"/>
    <w:rsid w:val="004F0D16"/>
    <w:rsid w:val="004F2B30"/>
    <w:rsid w:val="004F3766"/>
    <w:rsid w:val="004F458D"/>
    <w:rsid w:val="004F4775"/>
    <w:rsid w:val="004F4BB8"/>
    <w:rsid w:val="004F50AF"/>
    <w:rsid w:val="004F5C89"/>
    <w:rsid w:val="004F6B6B"/>
    <w:rsid w:val="00502363"/>
    <w:rsid w:val="00502FC6"/>
    <w:rsid w:val="0050394C"/>
    <w:rsid w:val="0050399F"/>
    <w:rsid w:val="00503F93"/>
    <w:rsid w:val="00504A16"/>
    <w:rsid w:val="005050CE"/>
    <w:rsid w:val="00505B5C"/>
    <w:rsid w:val="005067A1"/>
    <w:rsid w:val="00512D46"/>
    <w:rsid w:val="005130D9"/>
    <w:rsid w:val="005135D6"/>
    <w:rsid w:val="00513822"/>
    <w:rsid w:val="00514158"/>
    <w:rsid w:val="00514783"/>
    <w:rsid w:val="00521D56"/>
    <w:rsid w:val="00522F33"/>
    <w:rsid w:val="0052367C"/>
    <w:rsid w:val="00523DD6"/>
    <w:rsid w:val="0053078D"/>
    <w:rsid w:val="00530BA1"/>
    <w:rsid w:val="00530FC7"/>
    <w:rsid w:val="00531FC9"/>
    <w:rsid w:val="00532026"/>
    <w:rsid w:val="0053327A"/>
    <w:rsid w:val="00533D6A"/>
    <w:rsid w:val="00533D84"/>
    <w:rsid w:val="00533E53"/>
    <w:rsid w:val="005342A5"/>
    <w:rsid w:val="00535350"/>
    <w:rsid w:val="00535A98"/>
    <w:rsid w:val="00536B6D"/>
    <w:rsid w:val="0053702D"/>
    <w:rsid w:val="005429A0"/>
    <w:rsid w:val="00542C33"/>
    <w:rsid w:val="00542EAE"/>
    <w:rsid w:val="00543964"/>
    <w:rsid w:val="00543DBD"/>
    <w:rsid w:val="005447C2"/>
    <w:rsid w:val="00544DA4"/>
    <w:rsid w:val="00544E37"/>
    <w:rsid w:val="005454E9"/>
    <w:rsid w:val="00547047"/>
    <w:rsid w:val="00550113"/>
    <w:rsid w:val="005511AD"/>
    <w:rsid w:val="00551271"/>
    <w:rsid w:val="0055245C"/>
    <w:rsid w:val="005528C1"/>
    <w:rsid w:val="00552A83"/>
    <w:rsid w:val="00552E3E"/>
    <w:rsid w:val="00554886"/>
    <w:rsid w:val="00554A32"/>
    <w:rsid w:val="005563DA"/>
    <w:rsid w:val="0055657F"/>
    <w:rsid w:val="0055791B"/>
    <w:rsid w:val="00557D09"/>
    <w:rsid w:val="00560A14"/>
    <w:rsid w:val="005617F7"/>
    <w:rsid w:val="00562181"/>
    <w:rsid w:val="00563313"/>
    <w:rsid w:val="005643EA"/>
    <w:rsid w:val="00564A89"/>
    <w:rsid w:val="00565031"/>
    <w:rsid w:val="005666F4"/>
    <w:rsid w:val="00566A45"/>
    <w:rsid w:val="005723E9"/>
    <w:rsid w:val="00572C82"/>
    <w:rsid w:val="0057350E"/>
    <w:rsid w:val="00573DB4"/>
    <w:rsid w:val="00576215"/>
    <w:rsid w:val="0057632A"/>
    <w:rsid w:val="0058081E"/>
    <w:rsid w:val="005808DE"/>
    <w:rsid w:val="00581FA5"/>
    <w:rsid w:val="00582923"/>
    <w:rsid w:val="00583884"/>
    <w:rsid w:val="00584165"/>
    <w:rsid w:val="00585466"/>
    <w:rsid w:val="00585C1D"/>
    <w:rsid w:val="0058617B"/>
    <w:rsid w:val="00590386"/>
    <w:rsid w:val="005911AC"/>
    <w:rsid w:val="0059138D"/>
    <w:rsid w:val="00593E1F"/>
    <w:rsid w:val="0059657D"/>
    <w:rsid w:val="005965CE"/>
    <w:rsid w:val="00597BBC"/>
    <w:rsid w:val="005A020C"/>
    <w:rsid w:val="005A18FB"/>
    <w:rsid w:val="005A2182"/>
    <w:rsid w:val="005A2363"/>
    <w:rsid w:val="005A2C21"/>
    <w:rsid w:val="005A43B1"/>
    <w:rsid w:val="005A6305"/>
    <w:rsid w:val="005A760D"/>
    <w:rsid w:val="005A7CA9"/>
    <w:rsid w:val="005B02DE"/>
    <w:rsid w:val="005B0463"/>
    <w:rsid w:val="005B04C9"/>
    <w:rsid w:val="005B0C8D"/>
    <w:rsid w:val="005B13A0"/>
    <w:rsid w:val="005B321D"/>
    <w:rsid w:val="005B3AEF"/>
    <w:rsid w:val="005B3B7C"/>
    <w:rsid w:val="005B54BB"/>
    <w:rsid w:val="005B5D85"/>
    <w:rsid w:val="005C14B0"/>
    <w:rsid w:val="005C1BC9"/>
    <w:rsid w:val="005C287F"/>
    <w:rsid w:val="005C2A1D"/>
    <w:rsid w:val="005C5136"/>
    <w:rsid w:val="005C517E"/>
    <w:rsid w:val="005C6CF7"/>
    <w:rsid w:val="005C6DEB"/>
    <w:rsid w:val="005C7A91"/>
    <w:rsid w:val="005D2F62"/>
    <w:rsid w:val="005D3318"/>
    <w:rsid w:val="005D35A0"/>
    <w:rsid w:val="005D3DD9"/>
    <w:rsid w:val="005D3E00"/>
    <w:rsid w:val="005D40D9"/>
    <w:rsid w:val="005D48F6"/>
    <w:rsid w:val="005D5914"/>
    <w:rsid w:val="005E0301"/>
    <w:rsid w:val="005E03B8"/>
    <w:rsid w:val="005E0917"/>
    <w:rsid w:val="005E1B10"/>
    <w:rsid w:val="005E3471"/>
    <w:rsid w:val="005E4BEC"/>
    <w:rsid w:val="005E5070"/>
    <w:rsid w:val="005E7377"/>
    <w:rsid w:val="005E7DF2"/>
    <w:rsid w:val="005F05ED"/>
    <w:rsid w:val="005F1095"/>
    <w:rsid w:val="005F12F9"/>
    <w:rsid w:val="005F1957"/>
    <w:rsid w:val="005F1EB8"/>
    <w:rsid w:val="005F3409"/>
    <w:rsid w:val="005F3BBE"/>
    <w:rsid w:val="005F5B6B"/>
    <w:rsid w:val="005F5DF8"/>
    <w:rsid w:val="005F6354"/>
    <w:rsid w:val="005F6603"/>
    <w:rsid w:val="005F6FDF"/>
    <w:rsid w:val="0060043C"/>
    <w:rsid w:val="00600733"/>
    <w:rsid w:val="00601450"/>
    <w:rsid w:val="006015FF"/>
    <w:rsid w:val="0060179C"/>
    <w:rsid w:val="006022CB"/>
    <w:rsid w:val="00602FA5"/>
    <w:rsid w:val="0060500C"/>
    <w:rsid w:val="00605A9A"/>
    <w:rsid w:val="00605F23"/>
    <w:rsid w:val="0060673F"/>
    <w:rsid w:val="00606885"/>
    <w:rsid w:val="0060723F"/>
    <w:rsid w:val="00607523"/>
    <w:rsid w:val="006108B8"/>
    <w:rsid w:val="00610920"/>
    <w:rsid w:val="00610B56"/>
    <w:rsid w:val="00611073"/>
    <w:rsid w:val="0061222C"/>
    <w:rsid w:val="0061248F"/>
    <w:rsid w:val="00612780"/>
    <w:rsid w:val="006128D7"/>
    <w:rsid w:val="006137FD"/>
    <w:rsid w:val="00614509"/>
    <w:rsid w:val="0061482E"/>
    <w:rsid w:val="0061552A"/>
    <w:rsid w:val="00616264"/>
    <w:rsid w:val="00616690"/>
    <w:rsid w:val="00616E90"/>
    <w:rsid w:val="00620AB3"/>
    <w:rsid w:val="00622B37"/>
    <w:rsid w:val="00622DF8"/>
    <w:rsid w:val="00623BD2"/>
    <w:rsid w:val="00623EAD"/>
    <w:rsid w:val="00624624"/>
    <w:rsid w:val="0062558D"/>
    <w:rsid w:val="006259C7"/>
    <w:rsid w:val="006269F7"/>
    <w:rsid w:val="00626A88"/>
    <w:rsid w:val="00627143"/>
    <w:rsid w:val="00630711"/>
    <w:rsid w:val="006317A9"/>
    <w:rsid w:val="0063337F"/>
    <w:rsid w:val="00633D3C"/>
    <w:rsid w:val="00633DEB"/>
    <w:rsid w:val="0063493E"/>
    <w:rsid w:val="006364E5"/>
    <w:rsid w:val="00640475"/>
    <w:rsid w:val="00640FB6"/>
    <w:rsid w:val="00643011"/>
    <w:rsid w:val="00643362"/>
    <w:rsid w:val="0064497A"/>
    <w:rsid w:val="006452A4"/>
    <w:rsid w:val="00645573"/>
    <w:rsid w:val="006455B0"/>
    <w:rsid w:val="00646287"/>
    <w:rsid w:val="00646D1B"/>
    <w:rsid w:val="006477B8"/>
    <w:rsid w:val="00647F9C"/>
    <w:rsid w:val="00650B6C"/>
    <w:rsid w:val="00650D5A"/>
    <w:rsid w:val="00650DB8"/>
    <w:rsid w:val="00651C18"/>
    <w:rsid w:val="00652460"/>
    <w:rsid w:val="00652DF7"/>
    <w:rsid w:val="00652F11"/>
    <w:rsid w:val="00652FA2"/>
    <w:rsid w:val="00654A02"/>
    <w:rsid w:val="00656BF0"/>
    <w:rsid w:val="0066173C"/>
    <w:rsid w:val="0066186C"/>
    <w:rsid w:val="00662545"/>
    <w:rsid w:val="00664361"/>
    <w:rsid w:val="006646B6"/>
    <w:rsid w:val="00664874"/>
    <w:rsid w:val="006660B9"/>
    <w:rsid w:val="00666996"/>
    <w:rsid w:val="00672D2A"/>
    <w:rsid w:val="006746DB"/>
    <w:rsid w:val="00674BF5"/>
    <w:rsid w:val="006750B8"/>
    <w:rsid w:val="00676B42"/>
    <w:rsid w:val="00676B98"/>
    <w:rsid w:val="006771CE"/>
    <w:rsid w:val="006778A2"/>
    <w:rsid w:val="00677A91"/>
    <w:rsid w:val="00680478"/>
    <w:rsid w:val="00681382"/>
    <w:rsid w:val="0068329E"/>
    <w:rsid w:val="00685182"/>
    <w:rsid w:val="0068594D"/>
    <w:rsid w:val="00690D01"/>
    <w:rsid w:val="006916DC"/>
    <w:rsid w:val="00691F49"/>
    <w:rsid w:val="00691F9C"/>
    <w:rsid w:val="00692A55"/>
    <w:rsid w:val="00692B10"/>
    <w:rsid w:val="0069572F"/>
    <w:rsid w:val="006966FF"/>
    <w:rsid w:val="00696F12"/>
    <w:rsid w:val="006972E8"/>
    <w:rsid w:val="006A01F5"/>
    <w:rsid w:val="006A14F6"/>
    <w:rsid w:val="006A20A0"/>
    <w:rsid w:val="006A3201"/>
    <w:rsid w:val="006A3A82"/>
    <w:rsid w:val="006A4B1B"/>
    <w:rsid w:val="006A6049"/>
    <w:rsid w:val="006A66C9"/>
    <w:rsid w:val="006A6822"/>
    <w:rsid w:val="006A6CCF"/>
    <w:rsid w:val="006A7AEE"/>
    <w:rsid w:val="006B08A5"/>
    <w:rsid w:val="006B19A0"/>
    <w:rsid w:val="006B1A77"/>
    <w:rsid w:val="006B2333"/>
    <w:rsid w:val="006B2A31"/>
    <w:rsid w:val="006B36C2"/>
    <w:rsid w:val="006B3BAE"/>
    <w:rsid w:val="006B42A7"/>
    <w:rsid w:val="006B4AC8"/>
    <w:rsid w:val="006B55D6"/>
    <w:rsid w:val="006B5A2B"/>
    <w:rsid w:val="006B5BA8"/>
    <w:rsid w:val="006B7228"/>
    <w:rsid w:val="006B72F3"/>
    <w:rsid w:val="006C0691"/>
    <w:rsid w:val="006C0915"/>
    <w:rsid w:val="006C0EF3"/>
    <w:rsid w:val="006C11BB"/>
    <w:rsid w:val="006C163A"/>
    <w:rsid w:val="006C1FB5"/>
    <w:rsid w:val="006C2F61"/>
    <w:rsid w:val="006C35BA"/>
    <w:rsid w:val="006C3FF9"/>
    <w:rsid w:val="006C4136"/>
    <w:rsid w:val="006C4174"/>
    <w:rsid w:val="006C45C6"/>
    <w:rsid w:val="006C4A8F"/>
    <w:rsid w:val="006C4D76"/>
    <w:rsid w:val="006C52E6"/>
    <w:rsid w:val="006C66DB"/>
    <w:rsid w:val="006C6D3F"/>
    <w:rsid w:val="006C6EE0"/>
    <w:rsid w:val="006C7201"/>
    <w:rsid w:val="006D35FC"/>
    <w:rsid w:val="006D3B1A"/>
    <w:rsid w:val="006D49F3"/>
    <w:rsid w:val="006D665A"/>
    <w:rsid w:val="006D6AE0"/>
    <w:rsid w:val="006D7512"/>
    <w:rsid w:val="006E01DA"/>
    <w:rsid w:val="006E0809"/>
    <w:rsid w:val="006E3440"/>
    <w:rsid w:val="006E52E7"/>
    <w:rsid w:val="006E5D07"/>
    <w:rsid w:val="006E6778"/>
    <w:rsid w:val="006E6AEF"/>
    <w:rsid w:val="006F0968"/>
    <w:rsid w:val="006F20A4"/>
    <w:rsid w:val="006F2637"/>
    <w:rsid w:val="006F2989"/>
    <w:rsid w:val="006F3626"/>
    <w:rsid w:val="006F503D"/>
    <w:rsid w:val="006F53D7"/>
    <w:rsid w:val="00700DE8"/>
    <w:rsid w:val="00700DFD"/>
    <w:rsid w:val="00703C87"/>
    <w:rsid w:val="00705025"/>
    <w:rsid w:val="007051CB"/>
    <w:rsid w:val="0070528F"/>
    <w:rsid w:val="0070625B"/>
    <w:rsid w:val="007065FE"/>
    <w:rsid w:val="00706D25"/>
    <w:rsid w:val="0070781A"/>
    <w:rsid w:val="007106FB"/>
    <w:rsid w:val="007111B3"/>
    <w:rsid w:val="00711F3A"/>
    <w:rsid w:val="007121C9"/>
    <w:rsid w:val="00712B6C"/>
    <w:rsid w:val="00712C8C"/>
    <w:rsid w:val="0071377A"/>
    <w:rsid w:val="00713E91"/>
    <w:rsid w:val="00720ADC"/>
    <w:rsid w:val="00721A22"/>
    <w:rsid w:val="00721CEA"/>
    <w:rsid w:val="0072265E"/>
    <w:rsid w:val="00722A10"/>
    <w:rsid w:val="007233B1"/>
    <w:rsid w:val="007241D3"/>
    <w:rsid w:val="007247ED"/>
    <w:rsid w:val="007248BD"/>
    <w:rsid w:val="007260DA"/>
    <w:rsid w:val="00727756"/>
    <w:rsid w:val="00730040"/>
    <w:rsid w:val="0073242B"/>
    <w:rsid w:val="007326CD"/>
    <w:rsid w:val="00732D6D"/>
    <w:rsid w:val="00733B77"/>
    <w:rsid w:val="007345D3"/>
    <w:rsid w:val="0073473E"/>
    <w:rsid w:val="0073527C"/>
    <w:rsid w:val="0073581C"/>
    <w:rsid w:val="00735DC1"/>
    <w:rsid w:val="00736AD5"/>
    <w:rsid w:val="00736D27"/>
    <w:rsid w:val="00736F34"/>
    <w:rsid w:val="00741BA6"/>
    <w:rsid w:val="007420C6"/>
    <w:rsid w:val="007434D0"/>
    <w:rsid w:val="007445C4"/>
    <w:rsid w:val="00745142"/>
    <w:rsid w:val="00745369"/>
    <w:rsid w:val="007463E2"/>
    <w:rsid w:val="007466A4"/>
    <w:rsid w:val="007474F6"/>
    <w:rsid w:val="00747FFA"/>
    <w:rsid w:val="007503D4"/>
    <w:rsid w:val="00750B41"/>
    <w:rsid w:val="007510AA"/>
    <w:rsid w:val="0075112B"/>
    <w:rsid w:val="00752B94"/>
    <w:rsid w:val="0075303E"/>
    <w:rsid w:val="0075517F"/>
    <w:rsid w:val="007574C3"/>
    <w:rsid w:val="00757C76"/>
    <w:rsid w:val="007608E4"/>
    <w:rsid w:val="007615A8"/>
    <w:rsid w:val="00761856"/>
    <w:rsid w:val="00761891"/>
    <w:rsid w:val="0076257F"/>
    <w:rsid w:val="00763A4B"/>
    <w:rsid w:val="00763B4B"/>
    <w:rsid w:val="00764BC5"/>
    <w:rsid w:val="00764E61"/>
    <w:rsid w:val="00765008"/>
    <w:rsid w:val="00765A2B"/>
    <w:rsid w:val="007676ED"/>
    <w:rsid w:val="007679BF"/>
    <w:rsid w:val="00770830"/>
    <w:rsid w:val="00770D40"/>
    <w:rsid w:val="00770EAF"/>
    <w:rsid w:val="00770F0C"/>
    <w:rsid w:val="007711E7"/>
    <w:rsid w:val="007715D6"/>
    <w:rsid w:val="00771E97"/>
    <w:rsid w:val="0077276E"/>
    <w:rsid w:val="007745EB"/>
    <w:rsid w:val="0077559A"/>
    <w:rsid w:val="0078015D"/>
    <w:rsid w:val="00781160"/>
    <w:rsid w:val="007827A3"/>
    <w:rsid w:val="00783881"/>
    <w:rsid w:val="00783DA7"/>
    <w:rsid w:val="00784477"/>
    <w:rsid w:val="00784A19"/>
    <w:rsid w:val="0078506A"/>
    <w:rsid w:val="00785E60"/>
    <w:rsid w:val="00785F3E"/>
    <w:rsid w:val="007864CA"/>
    <w:rsid w:val="00787028"/>
    <w:rsid w:val="00787CDE"/>
    <w:rsid w:val="00791DA9"/>
    <w:rsid w:val="0079311D"/>
    <w:rsid w:val="00795EC6"/>
    <w:rsid w:val="007969A4"/>
    <w:rsid w:val="00797715"/>
    <w:rsid w:val="00797C89"/>
    <w:rsid w:val="007A00D6"/>
    <w:rsid w:val="007A1067"/>
    <w:rsid w:val="007A1D61"/>
    <w:rsid w:val="007A1E2E"/>
    <w:rsid w:val="007A212A"/>
    <w:rsid w:val="007A40CB"/>
    <w:rsid w:val="007A49AC"/>
    <w:rsid w:val="007A4CFD"/>
    <w:rsid w:val="007A705E"/>
    <w:rsid w:val="007B0068"/>
    <w:rsid w:val="007B025E"/>
    <w:rsid w:val="007B0AC3"/>
    <w:rsid w:val="007B16A3"/>
    <w:rsid w:val="007B2F85"/>
    <w:rsid w:val="007B4739"/>
    <w:rsid w:val="007B4F0B"/>
    <w:rsid w:val="007B4FD3"/>
    <w:rsid w:val="007B5523"/>
    <w:rsid w:val="007C099C"/>
    <w:rsid w:val="007C3B71"/>
    <w:rsid w:val="007C4C33"/>
    <w:rsid w:val="007C5DF2"/>
    <w:rsid w:val="007C64F7"/>
    <w:rsid w:val="007C65B0"/>
    <w:rsid w:val="007C6E13"/>
    <w:rsid w:val="007C6E66"/>
    <w:rsid w:val="007C795D"/>
    <w:rsid w:val="007D1696"/>
    <w:rsid w:val="007D183F"/>
    <w:rsid w:val="007D1F12"/>
    <w:rsid w:val="007D2AEF"/>
    <w:rsid w:val="007D2CE6"/>
    <w:rsid w:val="007D4FF8"/>
    <w:rsid w:val="007D633B"/>
    <w:rsid w:val="007D63B3"/>
    <w:rsid w:val="007D7D73"/>
    <w:rsid w:val="007E16E5"/>
    <w:rsid w:val="007E18BB"/>
    <w:rsid w:val="007E33D4"/>
    <w:rsid w:val="007E39E6"/>
    <w:rsid w:val="007E3DCF"/>
    <w:rsid w:val="007E475F"/>
    <w:rsid w:val="007E5285"/>
    <w:rsid w:val="007E6F35"/>
    <w:rsid w:val="007E7340"/>
    <w:rsid w:val="007F0442"/>
    <w:rsid w:val="007F1970"/>
    <w:rsid w:val="007F3089"/>
    <w:rsid w:val="007F360A"/>
    <w:rsid w:val="007F5225"/>
    <w:rsid w:val="007F5488"/>
    <w:rsid w:val="007F6D99"/>
    <w:rsid w:val="007F7831"/>
    <w:rsid w:val="007F7A60"/>
    <w:rsid w:val="008004DF"/>
    <w:rsid w:val="008015A0"/>
    <w:rsid w:val="00802421"/>
    <w:rsid w:val="008024B2"/>
    <w:rsid w:val="00802958"/>
    <w:rsid w:val="00804D43"/>
    <w:rsid w:val="00805255"/>
    <w:rsid w:val="00805C7A"/>
    <w:rsid w:val="00810D73"/>
    <w:rsid w:val="00810F87"/>
    <w:rsid w:val="0081176B"/>
    <w:rsid w:val="00812582"/>
    <w:rsid w:val="008125D7"/>
    <w:rsid w:val="008136B4"/>
    <w:rsid w:val="008151A6"/>
    <w:rsid w:val="00816B32"/>
    <w:rsid w:val="00816F2D"/>
    <w:rsid w:val="00820E23"/>
    <w:rsid w:val="0082105B"/>
    <w:rsid w:val="008241B9"/>
    <w:rsid w:val="008247BA"/>
    <w:rsid w:val="008248E0"/>
    <w:rsid w:val="008249BD"/>
    <w:rsid w:val="00827C9A"/>
    <w:rsid w:val="008304E8"/>
    <w:rsid w:val="00830872"/>
    <w:rsid w:val="00830F86"/>
    <w:rsid w:val="0083278B"/>
    <w:rsid w:val="0083285E"/>
    <w:rsid w:val="00833EC0"/>
    <w:rsid w:val="008343BD"/>
    <w:rsid w:val="0083444D"/>
    <w:rsid w:val="00836845"/>
    <w:rsid w:val="00837E6A"/>
    <w:rsid w:val="00841322"/>
    <w:rsid w:val="00841645"/>
    <w:rsid w:val="008420D9"/>
    <w:rsid w:val="008427C5"/>
    <w:rsid w:val="00842A5C"/>
    <w:rsid w:val="00843FAA"/>
    <w:rsid w:val="00844689"/>
    <w:rsid w:val="00845545"/>
    <w:rsid w:val="008469DF"/>
    <w:rsid w:val="008503E1"/>
    <w:rsid w:val="00850C75"/>
    <w:rsid w:val="00852CAD"/>
    <w:rsid w:val="00854E5A"/>
    <w:rsid w:val="008551AF"/>
    <w:rsid w:val="0085520E"/>
    <w:rsid w:val="00855D5F"/>
    <w:rsid w:val="008564FF"/>
    <w:rsid w:val="00856854"/>
    <w:rsid w:val="0085692D"/>
    <w:rsid w:val="00856E42"/>
    <w:rsid w:val="0086119A"/>
    <w:rsid w:val="0086634C"/>
    <w:rsid w:val="00867EDC"/>
    <w:rsid w:val="00870531"/>
    <w:rsid w:val="00871877"/>
    <w:rsid w:val="00871CAF"/>
    <w:rsid w:val="008726CA"/>
    <w:rsid w:val="008737EA"/>
    <w:rsid w:val="00873855"/>
    <w:rsid w:val="00873BC6"/>
    <w:rsid w:val="0087411F"/>
    <w:rsid w:val="008744A5"/>
    <w:rsid w:val="008745D3"/>
    <w:rsid w:val="0087489F"/>
    <w:rsid w:val="00874F0C"/>
    <w:rsid w:val="00875044"/>
    <w:rsid w:val="00875C7F"/>
    <w:rsid w:val="008815DE"/>
    <w:rsid w:val="0088172D"/>
    <w:rsid w:val="00882103"/>
    <w:rsid w:val="008824B3"/>
    <w:rsid w:val="00883142"/>
    <w:rsid w:val="00884B2C"/>
    <w:rsid w:val="00884FEB"/>
    <w:rsid w:val="00885185"/>
    <w:rsid w:val="00885309"/>
    <w:rsid w:val="0088587E"/>
    <w:rsid w:val="0088630E"/>
    <w:rsid w:val="00887637"/>
    <w:rsid w:val="00887A83"/>
    <w:rsid w:val="0089010B"/>
    <w:rsid w:val="00893133"/>
    <w:rsid w:val="008932B5"/>
    <w:rsid w:val="00894221"/>
    <w:rsid w:val="008968A4"/>
    <w:rsid w:val="00897812"/>
    <w:rsid w:val="008A0983"/>
    <w:rsid w:val="008A1A1E"/>
    <w:rsid w:val="008A1C51"/>
    <w:rsid w:val="008A301C"/>
    <w:rsid w:val="008A3152"/>
    <w:rsid w:val="008A3D96"/>
    <w:rsid w:val="008A49E8"/>
    <w:rsid w:val="008A509C"/>
    <w:rsid w:val="008A5DBC"/>
    <w:rsid w:val="008A61B3"/>
    <w:rsid w:val="008A7A5D"/>
    <w:rsid w:val="008B1A0F"/>
    <w:rsid w:val="008B2119"/>
    <w:rsid w:val="008B2F5E"/>
    <w:rsid w:val="008B37B1"/>
    <w:rsid w:val="008B3E8F"/>
    <w:rsid w:val="008B6066"/>
    <w:rsid w:val="008B695F"/>
    <w:rsid w:val="008B6B86"/>
    <w:rsid w:val="008B7267"/>
    <w:rsid w:val="008B73EE"/>
    <w:rsid w:val="008C017D"/>
    <w:rsid w:val="008C09FE"/>
    <w:rsid w:val="008C122C"/>
    <w:rsid w:val="008C2330"/>
    <w:rsid w:val="008C26F8"/>
    <w:rsid w:val="008C2DC4"/>
    <w:rsid w:val="008C5233"/>
    <w:rsid w:val="008C624D"/>
    <w:rsid w:val="008C6A9B"/>
    <w:rsid w:val="008C6E0B"/>
    <w:rsid w:val="008D0D6A"/>
    <w:rsid w:val="008D1D6C"/>
    <w:rsid w:val="008D2210"/>
    <w:rsid w:val="008D230A"/>
    <w:rsid w:val="008D24A6"/>
    <w:rsid w:val="008D274F"/>
    <w:rsid w:val="008D30F0"/>
    <w:rsid w:val="008D4535"/>
    <w:rsid w:val="008D53B8"/>
    <w:rsid w:val="008D6256"/>
    <w:rsid w:val="008D6581"/>
    <w:rsid w:val="008D7D83"/>
    <w:rsid w:val="008E0E86"/>
    <w:rsid w:val="008E0F08"/>
    <w:rsid w:val="008E10EF"/>
    <w:rsid w:val="008E20BD"/>
    <w:rsid w:val="008E3CA9"/>
    <w:rsid w:val="008E47D2"/>
    <w:rsid w:val="008E5ADB"/>
    <w:rsid w:val="008F0BB5"/>
    <w:rsid w:val="008F1D51"/>
    <w:rsid w:val="008F2C6B"/>
    <w:rsid w:val="008F2D4E"/>
    <w:rsid w:val="008F42E6"/>
    <w:rsid w:val="008F50DF"/>
    <w:rsid w:val="008F54B0"/>
    <w:rsid w:val="008F5BFE"/>
    <w:rsid w:val="008F7C56"/>
    <w:rsid w:val="0090036A"/>
    <w:rsid w:val="00900C1D"/>
    <w:rsid w:val="00900C99"/>
    <w:rsid w:val="00901501"/>
    <w:rsid w:val="00902EFC"/>
    <w:rsid w:val="00905EA9"/>
    <w:rsid w:val="009068C9"/>
    <w:rsid w:val="00907115"/>
    <w:rsid w:val="00907513"/>
    <w:rsid w:val="00910210"/>
    <w:rsid w:val="009109C8"/>
    <w:rsid w:val="009118EE"/>
    <w:rsid w:val="00912DF5"/>
    <w:rsid w:val="00920491"/>
    <w:rsid w:val="00921700"/>
    <w:rsid w:val="00922F04"/>
    <w:rsid w:val="009247A0"/>
    <w:rsid w:val="00924EEF"/>
    <w:rsid w:val="00924FE7"/>
    <w:rsid w:val="009265F9"/>
    <w:rsid w:val="009270FE"/>
    <w:rsid w:val="00927A7A"/>
    <w:rsid w:val="00927A8B"/>
    <w:rsid w:val="00927F02"/>
    <w:rsid w:val="0093055F"/>
    <w:rsid w:val="00930817"/>
    <w:rsid w:val="009308DB"/>
    <w:rsid w:val="00931528"/>
    <w:rsid w:val="009317AA"/>
    <w:rsid w:val="0093202C"/>
    <w:rsid w:val="00932E47"/>
    <w:rsid w:val="009339C1"/>
    <w:rsid w:val="00934BDB"/>
    <w:rsid w:val="00934F04"/>
    <w:rsid w:val="00936395"/>
    <w:rsid w:val="00936BB3"/>
    <w:rsid w:val="00936DD1"/>
    <w:rsid w:val="009371BA"/>
    <w:rsid w:val="0094162B"/>
    <w:rsid w:val="00941843"/>
    <w:rsid w:val="00942368"/>
    <w:rsid w:val="009433BC"/>
    <w:rsid w:val="0094380A"/>
    <w:rsid w:val="00943B93"/>
    <w:rsid w:val="00944530"/>
    <w:rsid w:val="00947028"/>
    <w:rsid w:val="00947A01"/>
    <w:rsid w:val="00950950"/>
    <w:rsid w:val="00954485"/>
    <w:rsid w:val="00954A0C"/>
    <w:rsid w:val="00955AA6"/>
    <w:rsid w:val="00955C81"/>
    <w:rsid w:val="00955F25"/>
    <w:rsid w:val="00960B47"/>
    <w:rsid w:val="00962BBD"/>
    <w:rsid w:val="0096378F"/>
    <w:rsid w:val="00964E1D"/>
    <w:rsid w:val="00965272"/>
    <w:rsid w:val="00965D27"/>
    <w:rsid w:val="00966663"/>
    <w:rsid w:val="00967868"/>
    <w:rsid w:val="00967FAE"/>
    <w:rsid w:val="00971A2C"/>
    <w:rsid w:val="009720F9"/>
    <w:rsid w:val="00972A1C"/>
    <w:rsid w:val="00973707"/>
    <w:rsid w:val="00973B8E"/>
    <w:rsid w:val="00974150"/>
    <w:rsid w:val="00974E3F"/>
    <w:rsid w:val="00975CA2"/>
    <w:rsid w:val="00975F7F"/>
    <w:rsid w:val="009769DE"/>
    <w:rsid w:val="00981540"/>
    <w:rsid w:val="0098182F"/>
    <w:rsid w:val="0098245F"/>
    <w:rsid w:val="00984A5C"/>
    <w:rsid w:val="00985397"/>
    <w:rsid w:val="00986FA9"/>
    <w:rsid w:val="0098757C"/>
    <w:rsid w:val="0098778D"/>
    <w:rsid w:val="00991C37"/>
    <w:rsid w:val="00991D59"/>
    <w:rsid w:val="009921F0"/>
    <w:rsid w:val="0099270E"/>
    <w:rsid w:val="00995A7F"/>
    <w:rsid w:val="00995B12"/>
    <w:rsid w:val="009964E1"/>
    <w:rsid w:val="0099694B"/>
    <w:rsid w:val="009A1317"/>
    <w:rsid w:val="009A1A9B"/>
    <w:rsid w:val="009A2864"/>
    <w:rsid w:val="009A2E43"/>
    <w:rsid w:val="009A30B3"/>
    <w:rsid w:val="009A3874"/>
    <w:rsid w:val="009A455A"/>
    <w:rsid w:val="009A47E2"/>
    <w:rsid w:val="009A4B3E"/>
    <w:rsid w:val="009A6E08"/>
    <w:rsid w:val="009A7A38"/>
    <w:rsid w:val="009B09F5"/>
    <w:rsid w:val="009B0E38"/>
    <w:rsid w:val="009B14E0"/>
    <w:rsid w:val="009B25C7"/>
    <w:rsid w:val="009B355E"/>
    <w:rsid w:val="009B511B"/>
    <w:rsid w:val="009B526D"/>
    <w:rsid w:val="009B591B"/>
    <w:rsid w:val="009B5985"/>
    <w:rsid w:val="009B6CE4"/>
    <w:rsid w:val="009C001E"/>
    <w:rsid w:val="009C083D"/>
    <w:rsid w:val="009C2C58"/>
    <w:rsid w:val="009C3801"/>
    <w:rsid w:val="009C3D16"/>
    <w:rsid w:val="009C3DD6"/>
    <w:rsid w:val="009C4291"/>
    <w:rsid w:val="009C42F0"/>
    <w:rsid w:val="009C44E7"/>
    <w:rsid w:val="009C4702"/>
    <w:rsid w:val="009C5582"/>
    <w:rsid w:val="009C68BF"/>
    <w:rsid w:val="009C7899"/>
    <w:rsid w:val="009C7D6A"/>
    <w:rsid w:val="009D30AF"/>
    <w:rsid w:val="009D3244"/>
    <w:rsid w:val="009D50E7"/>
    <w:rsid w:val="009D5501"/>
    <w:rsid w:val="009D5D1A"/>
    <w:rsid w:val="009D6EDB"/>
    <w:rsid w:val="009D7A90"/>
    <w:rsid w:val="009E283E"/>
    <w:rsid w:val="009E2BBD"/>
    <w:rsid w:val="009E42EE"/>
    <w:rsid w:val="009E4FA0"/>
    <w:rsid w:val="009E563E"/>
    <w:rsid w:val="009E5DCC"/>
    <w:rsid w:val="009E655E"/>
    <w:rsid w:val="009E718A"/>
    <w:rsid w:val="009E7D4D"/>
    <w:rsid w:val="009F0653"/>
    <w:rsid w:val="009F1084"/>
    <w:rsid w:val="009F1550"/>
    <w:rsid w:val="009F1F3F"/>
    <w:rsid w:val="009F2B54"/>
    <w:rsid w:val="009F3AD0"/>
    <w:rsid w:val="009F45B7"/>
    <w:rsid w:val="009F5262"/>
    <w:rsid w:val="009F78B4"/>
    <w:rsid w:val="009F7C08"/>
    <w:rsid w:val="00A01C72"/>
    <w:rsid w:val="00A02850"/>
    <w:rsid w:val="00A03C89"/>
    <w:rsid w:val="00A03DC9"/>
    <w:rsid w:val="00A045D1"/>
    <w:rsid w:val="00A0483F"/>
    <w:rsid w:val="00A04CFA"/>
    <w:rsid w:val="00A10C90"/>
    <w:rsid w:val="00A11C6E"/>
    <w:rsid w:val="00A12B66"/>
    <w:rsid w:val="00A136CD"/>
    <w:rsid w:val="00A14679"/>
    <w:rsid w:val="00A14DB6"/>
    <w:rsid w:val="00A16FFF"/>
    <w:rsid w:val="00A201CF"/>
    <w:rsid w:val="00A232F8"/>
    <w:rsid w:val="00A24751"/>
    <w:rsid w:val="00A248E2"/>
    <w:rsid w:val="00A26662"/>
    <w:rsid w:val="00A2674E"/>
    <w:rsid w:val="00A2757B"/>
    <w:rsid w:val="00A30C4C"/>
    <w:rsid w:val="00A31125"/>
    <w:rsid w:val="00A320B1"/>
    <w:rsid w:val="00A325F5"/>
    <w:rsid w:val="00A33695"/>
    <w:rsid w:val="00A33C55"/>
    <w:rsid w:val="00A34026"/>
    <w:rsid w:val="00A367D8"/>
    <w:rsid w:val="00A369B8"/>
    <w:rsid w:val="00A369C3"/>
    <w:rsid w:val="00A36F51"/>
    <w:rsid w:val="00A37988"/>
    <w:rsid w:val="00A37A04"/>
    <w:rsid w:val="00A402A8"/>
    <w:rsid w:val="00A41661"/>
    <w:rsid w:val="00A4281F"/>
    <w:rsid w:val="00A4309F"/>
    <w:rsid w:val="00A4319E"/>
    <w:rsid w:val="00A50EB7"/>
    <w:rsid w:val="00A51AA9"/>
    <w:rsid w:val="00A5221E"/>
    <w:rsid w:val="00A53C11"/>
    <w:rsid w:val="00A56F0F"/>
    <w:rsid w:val="00A60195"/>
    <w:rsid w:val="00A6394C"/>
    <w:rsid w:val="00A64421"/>
    <w:rsid w:val="00A648C2"/>
    <w:rsid w:val="00A6683C"/>
    <w:rsid w:val="00A66EC6"/>
    <w:rsid w:val="00A6706B"/>
    <w:rsid w:val="00A675D9"/>
    <w:rsid w:val="00A70159"/>
    <w:rsid w:val="00A70245"/>
    <w:rsid w:val="00A72DF3"/>
    <w:rsid w:val="00A73282"/>
    <w:rsid w:val="00A7376F"/>
    <w:rsid w:val="00A74B40"/>
    <w:rsid w:val="00A74D8D"/>
    <w:rsid w:val="00A76381"/>
    <w:rsid w:val="00A772B4"/>
    <w:rsid w:val="00A774C1"/>
    <w:rsid w:val="00A779E9"/>
    <w:rsid w:val="00A801A9"/>
    <w:rsid w:val="00A80A02"/>
    <w:rsid w:val="00A80C2E"/>
    <w:rsid w:val="00A82F95"/>
    <w:rsid w:val="00A8318E"/>
    <w:rsid w:val="00A840BE"/>
    <w:rsid w:val="00A840D5"/>
    <w:rsid w:val="00A85CE0"/>
    <w:rsid w:val="00A85E91"/>
    <w:rsid w:val="00A86139"/>
    <w:rsid w:val="00A86EB4"/>
    <w:rsid w:val="00A90BDF"/>
    <w:rsid w:val="00A92CFF"/>
    <w:rsid w:val="00A92F0D"/>
    <w:rsid w:val="00A94F5F"/>
    <w:rsid w:val="00A94FBC"/>
    <w:rsid w:val="00A9559C"/>
    <w:rsid w:val="00A95FD0"/>
    <w:rsid w:val="00AA02BE"/>
    <w:rsid w:val="00AA1B66"/>
    <w:rsid w:val="00AA2374"/>
    <w:rsid w:val="00AA3189"/>
    <w:rsid w:val="00AA629F"/>
    <w:rsid w:val="00AA6A66"/>
    <w:rsid w:val="00AA7658"/>
    <w:rsid w:val="00AB01A1"/>
    <w:rsid w:val="00AB0412"/>
    <w:rsid w:val="00AB1C4B"/>
    <w:rsid w:val="00AB2C97"/>
    <w:rsid w:val="00AB2F46"/>
    <w:rsid w:val="00AB393F"/>
    <w:rsid w:val="00AB3FE1"/>
    <w:rsid w:val="00AB4E51"/>
    <w:rsid w:val="00AB63E5"/>
    <w:rsid w:val="00AB6610"/>
    <w:rsid w:val="00AB67AA"/>
    <w:rsid w:val="00AB7B8D"/>
    <w:rsid w:val="00AB7C07"/>
    <w:rsid w:val="00AB7EF6"/>
    <w:rsid w:val="00AC06B8"/>
    <w:rsid w:val="00AC0C9F"/>
    <w:rsid w:val="00AC0F2C"/>
    <w:rsid w:val="00AC14E2"/>
    <w:rsid w:val="00AC3054"/>
    <w:rsid w:val="00AC4299"/>
    <w:rsid w:val="00AC4E3A"/>
    <w:rsid w:val="00AC5975"/>
    <w:rsid w:val="00AC5D72"/>
    <w:rsid w:val="00AC5F45"/>
    <w:rsid w:val="00AC6255"/>
    <w:rsid w:val="00AC654C"/>
    <w:rsid w:val="00AC6570"/>
    <w:rsid w:val="00AC7107"/>
    <w:rsid w:val="00AD061B"/>
    <w:rsid w:val="00AD0C6F"/>
    <w:rsid w:val="00AD1A08"/>
    <w:rsid w:val="00AD4571"/>
    <w:rsid w:val="00AD70F1"/>
    <w:rsid w:val="00AE0C1B"/>
    <w:rsid w:val="00AE1CD7"/>
    <w:rsid w:val="00AE3D79"/>
    <w:rsid w:val="00AE7CD3"/>
    <w:rsid w:val="00AF003B"/>
    <w:rsid w:val="00AF07E2"/>
    <w:rsid w:val="00AF1037"/>
    <w:rsid w:val="00AF1E50"/>
    <w:rsid w:val="00AF1F57"/>
    <w:rsid w:val="00AF3C10"/>
    <w:rsid w:val="00AF3D7A"/>
    <w:rsid w:val="00AF4ED2"/>
    <w:rsid w:val="00AF62BC"/>
    <w:rsid w:val="00AF672F"/>
    <w:rsid w:val="00AF6F2C"/>
    <w:rsid w:val="00AF7FA5"/>
    <w:rsid w:val="00B006E9"/>
    <w:rsid w:val="00B01163"/>
    <w:rsid w:val="00B024AD"/>
    <w:rsid w:val="00B024D7"/>
    <w:rsid w:val="00B048F1"/>
    <w:rsid w:val="00B049B4"/>
    <w:rsid w:val="00B04D23"/>
    <w:rsid w:val="00B057CA"/>
    <w:rsid w:val="00B11505"/>
    <w:rsid w:val="00B11D0D"/>
    <w:rsid w:val="00B12EA6"/>
    <w:rsid w:val="00B14253"/>
    <w:rsid w:val="00B145A2"/>
    <w:rsid w:val="00B15280"/>
    <w:rsid w:val="00B15DB6"/>
    <w:rsid w:val="00B17100"/>
    <w:rsid w:val="00B171C0"/>
    <w:rsid w:val="00B17999"/>
    <w:rsid w:val="00B20317"/>
    <w:rsid w:val="00B20E5D"/>
    <w:rsid w:val="00B21DE2"/>
    <w:rsid w:val="00B21E50"/>
    <w:rsid w:val="00B22110"/>
    <w:rsid w:val="00B22E27"/>
    <w:rsid w:val="00B23005"/>
    <w:rsid w:val="00B26332"/>
    <w:rsid w:val="00B267A1"/>
    <w:rsid w:val="00B26927"/>
    <w:rsid w:val="00B30046"/>
    <w:rsid w:val="00B31D8A"/>
    <w:rsid w:val="00B32AFB"/>
    <w:rsid w:val="00B34001"/>
    <w:rsid w:val="00B34B0B"/>
    <w:rsid w:val="00B34B77"/>
    <w:rsid w:val="00B34DD6"/>
    <w:rsid w:val="00B35F80"/>
    <w:rsid w:val="00B36BA6"/>
    <w:rsid w:val="00B36EAA"/>
    <w:rsid w:val="00B4177D"/>
    <w:rsid w:val="00B431BD"/>
    <w:rsid w:val="00B439B1"/>
    <w:rsid w:val="00B43C2A"/>
    <w:rsid w:val="00B43F29"/>
    <w:rsid w:val="00B4423C"/>
    <w:rsid w:val="00B442BD"/>
    <w:rsid w:val="00B4512A"/>
    <w:rsid w:val="00B46A4E"/>
    <w:rsid w:val="00B47F0C"/>
    <w:rsid w:val="00B50194"/>
    <w:rsid w:val="00B51CC6"/>
    <w:rsid w:val="00B51F42"/>
    <w:rsid w:val="00B522A4"/>
    <w:rsid w:val="00B52872"/>
    <w:rsid w:val="00B53030"/>
    <w:rsid w:val="00B53847"/>
    <w:rsid w:val="00B53939"/>
    <w:rsid w:val="00B542AB"/>
    <w:rsid w:val="00B62635"/>
    <w:rsid w:val="00B70A6C"/>
    <w:rsid w:val="00B71CD5"/>
    <w:rsid w:val="00B71DAC"/>
    <w:rsid w:val="00B72E87"/>
    <w:rsid w:val="00B730C7"/>
    <w:rsid w:val="00B7350E"/>
    <w:rsid w:val="00B74792"/>
    <w:rsid w:val="00B74827"/>
    <w:rsid w:val="00B74E74"/>
    <w:rsid w:val="00B759BA"/>
    <w:rsid w:val="00B811B0"/>
    <w:rsid w:val="00B816A3"/>
    <w:rsid w:val="00B822A4"/>
    <w:rsid w:val="00B83834"/>
    <w:rsid w:val="00B846EC"/>
    <w:rsid w:val="00B8560C"/>
    <w:rsid w:val="00B8575F"/>
    <w:rsid w:val="00B85F75"/>
    <w:rsid w:val="00B86114"/>
    <w:rsid w:val="00B86CA9"/>
    <w:rsid w:val="00B91440"/>
    <w:rsid w:val="00B918B1"/>
    <w:rsid w:val="00B93FA1"/>
    <w:rsid w:val="00B94200"/>
    <w:rsid w:val="00B96FBD"/>
    <w:rsid w:val="00B976CF"/>
    <w:rsid w:val="00B97F1B"/>
    <w:rsid w:val="00BA05FE"/>
    <w:rsid w:val="00BA1C6C"/>
    <w:rsid w:val="00BA2863"/>
    <w:rsid w:val="00BA325A"/>
    <w:rsid w:val="00BA58FE"/>
    <w:rsid w:val="00BA5C1F"/>
    <w:rsid w:val="00BA6384"/>
    <w:rsid w:val="00BA6E03"/>
    <w:rsid w:val="00BA7CE0"/>
    <w:rsid w:val="00BB169C"/>
    <w:rsid w:val="00BB22D4"/>
    <w:rsid w:val="00BB3CBE"/>
    <w:rsid w:val="00BB50BB"/>
    <w:rsid w:val="00BB5B5D"/>
    <w:rsid w:val="00BB6397"/>
    <w:rsid w:val="00BB73C8"/>
    <w:rsid w:val="00BB7E19"/>
    <w:rsid w:val="00BC035C"/>
    <w:rsid w:val="00BC05EA"/>
    <w:rsid w:val="00BC068F"/>
    <w:rsid w:val="00BC0A7F"/>
    <w:rsid w:val="00BC1220"/>
    <w:rsid w:val="00BC2C58"/>
    <w:rsid w:val="00BC3F13"/>
    <w:rsid w:val="00BC40B5"/>
    <w:rsid w:val="00BC43FD"/>
    <w:rsid w:val="00BC47BF"/>
    <w:rsid w:val="00BC4F1C"/>
    <w:rsid w:val="00BC61CD"/>
    <w:rsid w:val="00BC67C0"/>
    <w:rsid w:val="00BC6F41"/>
    <w:rsid w:val="00BC793E"/>
    <w:rsid w:val="00BD1270"/>
    <w:rsid w:val="00BD1379"/>
    <w:rsid w:val="00BD2FE7"/>
    <w:rsid w:val="00BD36DE"/>
    <w:rsid w:val="00BD4E13"/>
    <w:rsid w:val="00BD52C3"/>
    <w:rsid w:val="00BD5485"/>
    <w:rsid w:val="00BD5F43"/>
    <w:rsid w:val="00BD661B"/>
    <w:rsid w:val="00BD687C"/>
    <w:rsid w:val="00BD6DB9"/>
    <w:rsid w:val="00BD75D1"/>
    <w:rsid w:val="00BE0363"/>
    <w:rsid w:val="00BE0A45"/>
    <w:rsid w:val="00BE1233"/>
    <w:rsid w:val="00BE1311"/>
    <w:rsid w:val="00BE19C2"/>
    <w:rsid w:val="00BE358B"/>
    <w:rsid w:val="00BE4109"/>
    <w:rsid w:val="00BE447B"/>
    <w:rsid w:val="00BE4782"/>
    <w:rsid w:val="00BE47D8"/>
    <w:rsid w:val="00BE4FD9"/>
    <w:rsid w:val="00BE5D73"/>
    <w:rsid w:val="00BE6DFE"/>
    <w:rsid w:val="00BF0637"/>
    <w:rsid w:val="00BF124A"/>
    <w:rsid w:val="00BF37A9"/>
    <w:rsid w:val="00BF4770"/>
    <w:rsid w:val="00BF540A"/>
    <w:rsid w:val="00BF67D7"/>
    <w:rsid w:val="00BF6EC1"/>
    <w:rsid w:val="00BF7257"/>
    <w:rsid w:val="00C017D1"/>
    <w:rsid w:val="00C029BC"/>
    <w:rsid w:val="00C04D37"/>
    <w:rsid w:val="00C05941"/>
    <w:rsid w:val="00C0657C"/>
    <w:rsid w:val="00C074C4"/>
    <w:rsid w:val="00C10CD4"/>
    <w:rsid w:val="00C11B8D"/>
    <w:rsid w:val="00C11F10"/>
    <w:rsid w:val="00C12AE0"/>
    <w:rsid w:val="00C12FEB"/>
    <w:rsid w:val="00C140C6"/>
    <w:rsid w:val="00C144EF"/>
    <w:rsid w:val="00C1534E"/>
    <w:rsid w:val="00C211DC"/>
    <w:rsid w:val="00C2135F"/>
    <w:rsid w:val="00C233C6"/>
    <w:rsid w:val="00C23D4E"/>
    <w:rsid w:val="00C24ED2"/>
    <w:rsid w:val="00C25670"/>
    <w:rsid w:val="00C259E2"/>
    <w:rsid w:val="00C2636B"/>
    <w:rsid w:val="00C277FB"/>
    <w:rsid w:val="00C27CEA"/>
    <w:rsid w:val="00C30639"/>
    <w:rsid w:val="00C306B3"/>
    <w:rsid w:val="00C306F6"/>
    <w:rsid w:val="00C3194E"/>
    <w:rsid w:val="00C31BBB"/>
    <w:rsid w:val="00C345ED"/>
    <w:rsid w:val="00C34837"/>
    <w:rsid w:val="00C348B3"/>
    <w:rsid w:val="00C3548F"/>
    <w:rsid w:val="00C356C8"/>
    <w:rsid w:val="00C367B4"/>
    <w:rsid w:val="00C36B2D"/>
    <w:rsid w:val="00C37615"/>
    <w:rsid w:val="00C37B29"/>
    <w:rsid w:val="00C40D60"/>
    <w:rsid w:val="00C439A7"/>
    <w:rsid w:val="00C43A7D"/>
    <w:rsid w:val="00C4425F"/>
    <w:rsid w:val="00C44421"/>
    <w:rsid w:val="00C44A04"/>
    <w:rsid w:val="00C46DB1"/>
    <w:rsid w:val="00C4706F"/>
    <w:rsid w:val="00C47BD3"/>
    <w:rsid w:val="00C504D3"/>
    <w:rsid w:val="00C536B3"/>
    <w:rsid w:val="00C53B22"/>
    <w:rsid w:val="00C53D25"/>
    <w:rsid w:val="00C542A9"/>
    <w:rsid w:val="00C54763"/>
    <w:rsid w:val="00C55547"/>
    <w:rsid w:val="00C55649"/>
    <w:rsid w:val="00C563A1"/>
    <w:rsid w:val="00C576F8"/>
    <w:rsid w:val="00C57F07"/>
    <w:rsid w:val="00C604F5"/>
    <w:rsid w:val="00C61FF5"/>
    <w:rsid w:val="00C62CD3"/>
    <w:rsid w:val="00C635CF"/>
    <w:rsid w:val="00C635FD"/>
    <w:rsid w:val="00C64027"/>
    <w:rsid w:val="00C66473"/>
    <w:rsid w:val="00C67004"/>
    <w:rsid w:val="00C679E4"/>
    <w:rsid w:val="00C707EE"/>
    <w:rsid w:val="00C7103D"/>
    <w:rsid w:val="00C717C8"/>
    <w:rsid w:val="00C7187C"/>
    <w:rsid w:val="00C71AF2"/>
    <w:rsid w:val="00C71B86"/>
    <w:rsid w:val="00C71D62"/>
    <w:rsid w:val="00C723EA"/>
    <w:rsid w:val="00C731CE"/>
    <w:rsid w:val="00C76E4A"/>
    <w:rsid w:val="00C774E6"/>
    <w:rsid w:val="00C80731"/>
    <w:rsid w:val="00C80811"/>
    <w:rsid w:val="00C84BAF"/>
    <w:rsid w:val="00C84C64"/>
    <w:rsid w:val="00C8571F"/>
    <w:rsid w:val="00C87CEE"/>
    <w:rsid w:val="00C9009E"/>
    <w:rsid w:val="00C917B0"/>
    <w:rsid w:val="00C91DC9"/>
    <w:rsid w:val="00C93697"/>
    <w:rsid w:val="00C93FC2"/>
    <w:rsid w:val="00C941FF"/>
    <w:rsid w:val="00C94812"/>
    <w:rsid w:val="00C94AFD"/>
    <w:rsid w:val="00C95414"/>
    <w:rsid w:val="00C95E48"/>
    <w:rsid w:val="00C960CE"/>
    <w:rsid w:val="00C9673B"/>
    <w:rsid w:val="00C973FB"/>
    <w:rsid w:val="00CA0C40"/>
    <w:rsid w:val="00CA126C"/>
    <w:rsid w:val="00CA13B9"/>
    <w:rsid w:val="00CA21CA"/>
    <w:rsid w:val="00CA236C"/>
    <w:rsid w:val="00CA270D"/>
    <w:rsid w:val="00CA2E80"/>
    <w:rsid w:val="00CA2E92"/>
    <w:rsid w:val="00CA4EB2"/>
    <w:rsid w:val="00CA61EE"/>
    <w:rsid w:val="00CA6F54"/>
    <w:rsid w:val="00CB1F27"/>
    <w:rsid w:val="00CB256D"/>
    <w:rsid w:val="00CB484B"/>
    <w:rsid w:val="00CB4E0C"/>
    <w:rsid w:val="00CB5059"/>
    <w:rsid w:val="00CB6C8D"/>
    <w:rsid w:val="00CB7F46"/>
    <w:rsid w:val="00CC2508"/>
    <w:rsid w:val="00CC26A6"/>
    <w:rsid w:val="00CC2F2F"/>
    <w:rsid w:val="00CC47A1"/>
    <w:rsid w:val="00CC4F4F"/>
    <w:rsid w:val="00CC4F94"/>
    <w:rsid w:val="00CC6811"/>
    <w:rsid w:val="00CC6A7B"/>
    <w:rsid w:val="00CC7195"/>
    <w:rsid w:val="00CD1420"/>
    <w:rsid w:val="00CD1B30"/>
    <w:rsid w:val="00CD35F2"/>
    <w:rsid w:val="00CD385E"/>
    <w:rsid w:val="00CD3F0E"/>
    <w:rsid w:val="00CD7D5B"/>
    <w:rsid w:val="00CD7ED8"/>
    <w:rsid w:val="00CE0354"/>
    <w:rsid w:val="00CE1093"/>
    <w:rsid w:val="00CE1794"/>
    <w:rsid w:val="00CE2B78"/>
    <w:rsid w:val="00CE31F7"/>
    <w:rsid w:val="00CE47AF"/>
    <w:rsid w:val="00CE4BEB"/>
    <w:rsid w:val="00CE4C49"/>
    <w:rsid w:val="00CE5ACF"/>
    <w:rsid w:val="00CE7F91"/>
    <w:rsid w:val="00CF0568"/>
    <w:rsid w:val="00CF2D64"/>
    <w:rsid w:val="00CF5466"/>
    <w:rsid w:val="00CF55F4"/>
    <w:rsid w:val="00CF6D85"/>
    <w:rsid w:val="00CF6F63"/>
    <w:rsid w:val="00D021AF"/>
    <w:rsid w:val="00D024BD"/>
    <w:rsid w:val="00D02770"/>
    <w:rsid w:val="00D02E89"/>
    <w:rsid w:val="00D054C0"/>
    <w:rsid w:val="00D05A94"/>
    <w:rsid w:val="00D06F70"/>
    <w:rsid w:val="00D10700"/>
    <w:rsid w:val="00D11D41"/>
    <w:rsid w:val="00D1223C"/>
    <w:rsid w:val="00D14A32"/>
    <w:rsid w:val="00D14EE0"/>
    <w:rsid w:val="00D15808"/>
    <w:rsid w:val="00D16380"/>
    <w:rsid w:val="00D1690D"/>
    <w:rsid w:val="00D16FBF"/>
    <w:rsid w:val="00D1786A"/>
    <w:rsid w:val="00D2018B"/>
    <w:rsid w:val="00D20799"/>
    <w:rsid w:val="00D209AF"/>
    <w:rsid w:val="00D20C67"/>
    <w:rsid w:val="00D212FE"/>
    <w:rsid w:val="00D21B29"/>
    <w:rsid w:val="00D2428D"/>
    <w:rsid w:val="00D2506C"/>
    <w:rsid w:val="00D27F99"/>
    <w:rsid w:val="00D300D9"/>
    <w:rsid w:val="00D30A68"/>
    <w:rsid w:val="00D30BE6"/>
    <w:rsid w:val="00D30C04"/>
    <w:rsid w:val="00D314D5"/>
    <w:rsid w:val="00D31C7A"/>
    <w:rsid w:val="00D32447"/>
    <w:rsid w:val="00D33AA1"/>
    <w:rsid w:val="00D34F75"/>
    <w:rsid w:val="00D35BD5"/>
    <w:rsid w:val="00D35C30"/>
    <w:rsid w:val="00D36501"/>
    <w:rsid w:val="00D3686E"/>
    <w:rsid w:val="00D412C0"/>
    <w:rsid w:val="00D4194D"/>
    <w:rsid w:val="00D424CA"/>
    <w:rsid w:val="00D4457C"/>
    <w:rsid w:val="00D459F5"/>
    <w:rsid w:val="00D45B15"/>
    <w:rsid w:val="00D47551"/>
    <w:rsid w:val="00D47CD7"/>
    <w:rsid w:val="00D51A17"/>
    <w:rsid w:val="00D52387"/>
    <w:rsid w:val="00D5285D"/>
    <w:rsid w:val="00D52A03"/>
    <w:rsid w:val="00D52FC3"/>
    <w:rsid w:val="00D52FEA"/>
    <w:rsid w:val="00D533DD"/>
    <w:rsid w:val="00D53774"/>
    <w:rsid w:val="00D5433B"/>
    <w:rsid w:val="00D54C42"/>
    <w:rsid w:val="00D56AF5"/>
    <w:rsid w:val="00D60795"/>
    <w:rsid w:val="00D60F96"/>
    <w:rsid w:val="00D61651"/>
    <w:rsid w:val="00D618CD"/>
    <w:rsid w:val="00D634CB"/>
    <w:rsid w:val="00D6494A"/>
    <w:rsid w:val="00D64ADE"/>
    <w:rsid w:val="00D64B66"/>
    <w:rsid w:val="00D65EF4"/>
    <w:rsid w:val="00D6607A"/>
    <w:rsid w:val="00D66CAA"/>
    <w:rsid w:val="00D66F87"/>
    <w:rsid w:val="00D67483"/>
    <w:rsid w:val="00D70AD1"/>
    <w:rsid w:val="00D70B5E"/>
    <w:rsid w:val="00D70F07"/>
    <w:rsid w:val="00D7242F"/>
    <w:rsid w:val="00D731E3"/>
    <w:rsid w:val="00D742A8"/>
    <w:rsid w:val="00D74308"/>
    <w:rsid w:val="00D75438"/>
    <w:rsid w:val="00D77799"/>
    <w:rsid w:val="00D8096D"/>
    <w:rsid w:val="00D81422"/>
    <w:rsid w:val="00D81C35"/>
    <w:rsid w:val="00D8254C"/>
    <w:rsid w:val="00D826AC"/>
    <w:rsid w:val="00D82913"/>
    <w:rsid w:val="00D82B60"/>
    <w:rsid w:val="00D8369E"/>
    <w:rsid w:val="00D8416E"/>
    <w:rsid w:val="00D84EB7"/>
    <w:rsid w:val="00D8545A"/>
    <w:rsid w:val="00D85AC7"/>
    <w:rsid w:val="00D87BAB"/>
    <w:rsid w:val="00D90713"/>
    <w:rsid w:val="00D90BFF"/>
    <w:rsid w:val="00D92396"/>
    <w:rsid w:val="00D946DB"/>
    <w:rsid w:val="00D95045"/>
    <w:rsid w:val="00D956C2"/>
    <w:rsid w:val="00D96E61"/>
    <w:rsid w:val="00DA040A"/>
    <w:rsid w:val="00DA0B84"/>
    <w:rsid w:val="00DA0DB4"/>
    <w:rsid w:val="00DA1253"/>
    <w:rsid w:val="00DA1525"/>
    <w:rsid w:val="00DA3B36"/>
    <w:rsid w:val="00DA3E72"/>
    <w:rsid w:val="00DA3FEB"/>
    <w:rsid w:val="00DA4727"/>
    <w:rsid w:val="00DA4A2F"/>
    <w:rsid w:val="00DA4AAA"/>
    <w:rsid w:val="00DA6CB8"/>
    <w:rsid w:val="00DA77E1"/>
    <w:rsid w:val="00DA7F01"/>
    <w:rsid w:val="00DB0274"/>
    <w:rsid w:val="00DB0F07"/>
    <w:rsid w:val="00DB2DD0"/>
    <w:rsid w:val="00DB3B68"/>
    <w:rsid w:val="00DB3EEA"/>
    <w:rsid w:val="00DB40CA"/>
    <w:rsid w:val="00DB5503"/>
    <w:rsid w:val="00DB61BB"/>
    <w:rsid w:val="00DC03E0"/>
    <w:rsid w:val="00DC0817"/>
    <w:rsid w:val="00DC09EA"/>
    <w:rsid w:val="00DC1FD1"/>
    <w:rsid w:val="00DC2D05"/>
    <w:rsid w:val="00DC3A83"/>
    <w:rsid w:val="00DC3B38"/>
    <w:rsid w:val="00DC40DA"/>
    <w:rsid w:val="00DC4CE4"/>
    <w:rsid w:val="00DC6228"/>
    <w:rsid w:val="00DD00B4"/>
    <w:rsid w:val="00DD07FF"/>
    <w:rsid w:val="00DD092D"/>
    <w:rsid w:val="00DD156E"/>
    <w:rsid w:val="00DD1906"/>
    <w:rsid w:val="00DD2C1E"/>
    <w:rsid w:val="00DD41BE"/>
    <w:rsid w:val="00DD4CFC"/>
    <w:rsid w:val="00DD5F87"/>
    <w:rsid w:val="00DD60DF"/>
    <w:rsid w:val="00DD6D54"/>
    <w:rsid w:val="00DD6F35"/>
    <w:rsid w:val="00DD72AA"/>
    <w:rsid w:val="00DE0157"/>
    <w:rsid w:val="00DE0962"/>
    <w:rsid w:val="00DE21B5"/>
    <w:rsid w:val="00DE223B"/>
    <w:rsid w:val="00DE230A"/>
    <w:rsid w:val="00DE26F2"/>
    <w:rsid w:val="00DE3389"/>
    <w:rsid w:val="00DE4001"/>
    <w:rsid w:val="00DE489B"/>
    <w:rsid w:val="00DE48EF"/>
    <w:rsid w:val="00DE4EF2"/>
    <w:rsid w:val="00DE5A31"/>
    <w:rsid w:val="00DE73B4"/>
    <w:rsid w:val="00DE7B41"/>
    <w:rsid w:val="00DE7EE1"/>
    <w:rsid w:val="00DF0EF2"/>
    <w:rsid w:val="00DF30EB"/>
    <w:rsid w:val="00DF65DF"/>
    <w:rsid w:val="00DF70AE"/>
    <w:rsid w:val="00DF7382"/>
    <w:rsid w:val="00E0175F"/>
    <w:rsid w:val="00E01F9D"/>
    <w:rsid w:val="00E026FB"/>
    <w:rsid w:val="00E02F76"/>
    <w:rsid w:val="00E03AD2"/>
    <w:rsid w:val="00E050F3"/>
    <w:rsid w:val="00E052A9"/>
    <w:rsid w:val="00E0639C"/>
    <w:rsid w:val="00E06628"/>
    <w:rsid w:val="00E06E19"/>
    <w:rsid w:val="00E07C8E"/>
    <w:rsid w:val="00E10726"/>
    <w:rsid w:val="00E10B85"/>
    <w:rsid w:val="00E11F7B"/>
    <w:rsid w:val="00E143FD"/>
    <w:rsid w:val="00E14C4D"/>
    <w:rsid w:val="00E16498"/>
    <w:rsid w:val="00E1696D"/>
    <w:rsid w:val="00E1750A"/>
    <w:rsid w:val="00E20FAC"/>
    <w:rsid w:val="00E2178E"/>
    <w:rsid w:val="00E2447E"/>
    <w:rsid w:val="00E249EF"/>
    <w:rsid w:val="00E25862"/>
    <w:rsid w:val="00E25A69"/>
    <w:rsid w:val="00E26CB6"/>
    <w:rsid w:val="00E27969"/>
    <w:rsid w:val="00E3279F"/>
    <w:rsid w:val="00E32DA2"/>
    <w:rsid w:val="00E33BF7"/>
    <w:rsid w:val="00E340D7"/>
    <w:rsid w:val="00E41A58"/>
    <w:rsid w:val="00E41E4F"/>
    <w:rsid w:val="00E42A4D"/>
    <w:rsid w:val="00E43CD2"/>
    <w:rsid w:val="00E440D2"/>
    <w:rsid w:val="00E45F52"/>
    <w:rsid w:val="00E46936"/>
    <w:rsid w:val="00E46AC0"/>
    <w:rsid w:val="00E473B0"/>
    <w:rsid w:val="00E47B54"/>
    <w:rsid w:val="00E47CCD"/>
    <w:rsid w:val="00E509EA"/>
    <w:rsid w:val="00E50E79"/>
    <w:rsid w:val="00E52782"/>
    <w:rsid w:val="00E53E55"/>
    <w:rsid w:val="00E543B2"/>
    <w:rsid w:val="00E54B05"/>
    <w:rsid w:val="00E60B53"/>
    <w:rsid w:val="00E60C82"/>
    <w:rsid w:val="00E61840"/>
    <w:rsid w:val="00E6373B"/>
    <w:rsid w:val="00E63DC8"/>
    <w:rsid w:val="00E64BFE"/>
    <w:rsid w:val="00E66040"/>
    <w:rsid w:val="00E6616A"/>
    <w:rsid w:val="00E67F16"/>
    <w:rsid w:val="00E70445"/>
    <w:rsid w:val="00E70AB0"/>
    <w:rsid w:val="00E71171"/>
    <w:rsid w:val="00E721D9"/>
    <w:rsid w:val="00E72404"/>
    <w:rsid w:val="00E73F4B"/>
    <w:rsid w:val="00E74C2C"/>
    <w:rsid w:val="00E75993"/>
    <w:rsid w:val="00E764E7"/>
    <w:rsid w:val="00E80172"/>
    <w:rsid w:val="00E804CC"/>
    <w:rsid w:val="00E81DB9"/>
    <w:rsid w:val="00E81F69"/>
    <w:rsid w:val="00E822F7"/>
    <w:rsid w:val="00E8231C"/>
    <w:rsid w:val="00E8262F"/>
    <w:rsid w:val="00E84C8E"/>
    <w:rsid w:val="00E85358"/>
    <w:rsid w:val="00E863C1"/>
    <w:rsid w:val="00E86638"/>
    <w:rsid w:val="00E86B98"/>
    <w:rsid w:val="00E871FE"/>
    <w:rsid w:val="00E87B6C"/>
    <w:rsid w:val="00E921F1"/>
    <w:rsid w:val="00E92556"/>
    <w:rsid w:val="00E92C04"/>
    <w:rsid w:val="00E93AB5"/>
    <w:rsid w:val="00E96A85"/>
    <w:rsid w:val="00E9758A"/>
    <w:rsid w:val="00E979E9"/>
    <w:rsid w:val="00E97CD2"/>
    <w:rsid w:val="00EA050A"/>
    <w:rsid w:val="00EA0754"/>
    <w:rsid w:val="00EA0BAB"/>
    <w:rsid w:val="00EA11F0"/>
    <w:rsid w:val="00EA1F5A"/>
    <w:rsid w:val="00EA3FEF"/>
    <w:rsid w:val="00EA4108"/>
    <w:rsid w:val="00EA419C"/>
    <w:rsid w:val="00EA56D1"/>
    <w:rsid w:val="00EB154B"/>
    <w:rsid w:val="00EB1DBE"/>
    <w:rsid w:val="00EB5013"/>
    <w:rsid w:val="00EB5804"/>
    <w:rsid w:val="00EB5C9A"/>
    <w:rsid w:val="00EB6224"/>
    <w:rsid w:val="00EB62C2"/>
    <w:rsid w:val="00EB6DEA"/>
    <w:rsid w:val="00EB6E04"/>
    <w:rsid w:val="00EB6FC2"/>
    <w:rsid w:val="00EC067D"/>
    <w:rsid w:val="00EC0B74"/>
    <w:rsid w:val="00EC19AE"/>
    <w:rsid w:val="00EC5046"/>
    <w:rsid w:val="00EC53E0"/>
    <w:rsid w:val="00EC57C6"/>
    <w:rsid w:val="00EC5FA2"/>
    <w:rsid w:val="00EC7AB4"/>
    <w:rsid w:val="00ED048B"/>
    <w:rsid w:val="00ED1379"/>
    <w:rsid w:val="00ED1956"/>
    <w:rsid w:val="00ED4629"/>
    <w:rsid w:val="00ED52BC"/>
    <w:rsid w:val="00ED55F7"/>
    <w:rsid w:val="00ED66A4"/>
    <w:rsid w:val="00ED78AD"/>
    <w:rsid w:val="00ED7C8E"/>
    <w:rsid w:val="00EE079A"/>
    <w:rsid w:val="00EE0B9D"/>
    <w:rsid w:val="00EE2205"/>
    <w:rsid w:val="00EE2BDA"/>
    <w:rsid w:val="00EE2BEA"/>
    <w:rsid w:val="00EE34F2"/>
    <w:rsid w:val="00EE5691"/>
    <w:rsid w:val="00EE580E"/>
    <w:rsid w:val="00EE63B4"/>
    <w:rsid w:val="00EF03E6"/>
    <w:rsid w:val="00EF0C0C"/>
    <w:rsid w:val="00EF0DA4"/>
    <w:rsid w:val="00EF0DDB"/>
    <w:rsid w:val="00EF36D2"/>
    <w:rsid w:val="00EF3F40"/>
    <w:rsid w:val="00EF6FD5"/>
    <w:rsid w:val="00F006CF"/>
    <w:rsid w:val="00F00A38"/>
    <w:rsid w:val="00F015E6"/>
    <w:rsid w:val="00F0322C"/>
    <w:rsid w:val="00F052D1"/>
    <w:rsid w:val="00F1041F"/>
    <w:rsid w:val="00F1062E"/>
    <w:rsid w:val="00F11185"/>
    <w:rsid w:val="00F114E6"/>
    <w:rsid w:val="00F117D1"/>
    <w:rsid w:val="00F12EA3"/>
    <w:rsid w:val="00F1455C"/>
    <w:rsid w:val="00F14B07"/>
    <w:rsid w:val="00F163FF"/>
    <w:rsid w:val="00F177C6"/>
    <w:rsid w:val="00F17B2E"/>
    <w:rsid w:val="00F215C7"/>
    <w:rsid w:val="00F2228C"/>
    <w:rsid w:val="00F22648"/>
    <w:rsid w:val="00F23247"/>
    <w:rsid w:val="00F249CD"/>
    <w:rsid w:val="00F2521E"/>
    <w:rsid w:val="00F26B14"/>
    <w:rsid w:val="00F271B3"/>
    <w:rsid w:val="00F30076"/>
    <w:rsid w:val="00F315FD"/>
    <w:rsid w:val="00F325B9"/>
    <w:rsid w:val="00F32D09"/>
    <w:rsid w:val="00F33ABB"/>
    <w:rsid w:val="00F356CE"/>
    <w:rsid w:val="00F358AF"/>
    <w:rsid w:val="00F36287"/>
    <w:rsid w:val="00F41508"/>
    <w:rsid w:val="00F423F0"/>
    <w:rsid w:val="00F4393C"/>
    <w:rsid w:val="00F45359"/>
    <w:rsid w:val="00F46113"/>
    <w:rsid w:val="00F463F5"/>
    <w:rsid w:val="00F47628"/>
    <w:rsid w:val="00F47A9F"/>
    <w:rsid w:val="00F50709"/>
    <w:rsid w:val="00F5132F"/>
    <w:rsid w:val="00F519A4"/>
    <w:rsid w:val="00F52DF6"/>
    <w:rsid w:val="00F52FC6"/>
    <w:rsid w:val="00F535E7"/>
    <w:rsid w:val="00F5381F"/>
    <w:rsid w:val="00F5524C"/>
    <w:rsid w:val="00F56205"/>
    <w:rsid w:val="00F56546"/>
    <w:rsid w:val="00F56641"/>
    <w:rsid w:val="00F56956"/>
    <w:rsid w:val="00F57838"/>
    <w:rsid w:val="00F57A08"/>
    <w:rsid w:val="00F57ED1"/>
    <w:rsid w:val="00F60315"/>
    <w:rsid w:val="00F60F37"/>
    <w:rsid w:val="00F61095"/>
    <w:rsid w:val="00F61AC4"/>
    <w:rsid w:val="00F620A2"/>
    <w:rsid w:val="00F63080"/>
    <w:rsid w:val="00F63BA7"/>
    <w:rsid w:val="00F65282"/>
    <w:rsid w:val="00F66294"/>
    <w:rsid w:val="00F66371"/>
    <w:rsid w:val="00F66830"/>
    <w:rsid w:val="00F67634"/>
    <w:rsid w:val="00F71DF2"/>
    <w:rsid w:val="00F75FD2"/>
    <w:rsid w:val="00F777C7"/>
    <w:rsid w:val="00F800B6"/>
    <w:rsid w:val="00F8071F"/>
    <w:rsid w:val="00F811C6"/>
    <w:rsid w:val="00F811F8"/>
    <w:rsid w:val="00F8411E"/>
    <w:rsid w:val="00F84B2D"/>
    <w:rsid w:val="00F84BC7"/>
    <w:rsid w:val="00F855D5"/>
    <w:rsid w:val="00F85D06"/>
    <w:rsid w:val="00F87E46"/>
    <w:rsid w:val="00F913DC"/>
    <w:rsid w:val="00F9145F"/>
    <w:rsid w:val="00F91E30"/>
    <w:rsid w:val="00F93400"/>
    <w:rsid w:val="00F93B5F"/>
    <w:rsid w:val="00F9591C"/>
    <w:rsid w:val="00FA3858"/>
    <w:rsid w:val="00FA3865"/>
    <w:rsid w:val="00FA46C8"/>
    <w:rsid w:val="00FA4E19"/>
    <w:rsid w:val="00FA610E"/>
    <w:rsid w:val="00FA641C"/>
    <w:rsid w:val="00FA6E69"/>
    <w:rsid w:val="00FA77E4"/>
    <w:rsid w:val="00FB1578"/>
    <w:rsid w:val="00FB199D"/>
    <w:rsid w:val="00FB1C26"/>
    <w:rsid w:val="00FB1D44"/>
    <w:rsid w:val="00FB25EE"/>
    <w:rsid w:val="00FB2CD7"/>
    <w:rsid w:val="00FB2E7B"/>
    <w:rsid w:val="00FB4960"/>
    <w:rsid w:val="00FB5258"/>
    <w:rsid w:val="00FB5985"/>
    <w:rsid w:val="00FC019F"/>
    <w:rsid w:val="00FC04E6"/>
    <w:rsid w:val="00FC0624"/>
    <w:rsid w:val="00FC0B81"/>
    <w:rsid w:val="00FC0F84"/>
    <w:rsid w:val="00FC1030"/>
    <w:rsid w:val="00FC1715"/>
    <w:rsid w:val="00FC20DD"/>
    <w:rsid w:val="00FC223C"/>
    <w:rsid w:val="00FC371D"/>
    <w:rsid w:val="00FC41EC"/>
    <w:rsid w:val="00FC4D06"/>
    <w:rsid w:val="00FC5515"/>
    <w:rsid w:val="00FC6275"/>
    <w:rsid w:val="00FC6D7A"/>
    <w:rsid w:val="00FD0193"/>
    <w:rsid w:val="00FD0FAA"/>
    <w:rsid w:val="00FD16F5"/>
    <w:rsid w:val="00FD239F"/>
    <w:rsid w:val="00FD380B"/>
    <w:rsid w:val="00FD3883"/>
    <w:rsid w:val="00FD38B8"/>
    <w:rsid w:val="00FD457C"/>
    <w:rsid w:val="00FD54FC"/>
    <w:rsid w:val="00FD5ABD"/>
    <w:rsid w:val="00FD6CCB"/>
    <w:rsid w:val="00FD6D27"/>
    <w:rsid w:val="00FD7524"/>
    <w:rsid w:val="00FD7960"/>
    <w:rsid w:val="00FD7E66"/>
    <w:rsid w:val="00FD7FB3"/>
    <w:rsid w:val="00FE052A"/>
    <w:rsid w:val="00FE1150"/>
    <w:rsid w:val="00FE11FA"/>
    <w:rsid w:val="00FE219F"/>
    <w:rsid w:val="00FE21F5"/>
    <w:rsid w:val="00FE30C1"/>
    <w:rsid w:val="00FE3BD8"/>
    <w:rsid w:val="00FE43D5"/>
    <w:rsid w:val="00FE4AE0"/>
    <w:rsid w:val="00FE4D22"/>
    <w:rsid w:val="00FE6995"/>
    <w:rsid w:val="00FE69AC"/>
    <w:rsid w:val="00FE6CFB"/>
    <w:rsid w:val="00FF0040"/>
    <w:rsid w:val="00FF1422"/>
    <w:rsid w:val="00FF208F"/>
    <w:rsid w:val="00FF2658"/>
    <w:rsid w:val="00FF2818"/>
    <w:rsid w:val="00FF2D0E"/>
    <w:rsid w:val="00FF36A5"/>
    <w:rsid w:val="00FF3B3B"/>
    <w:rsid w:val="00FF75CC"/>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774D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ne-NP"/>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B"/>
    <w:pPr>
      <w:spacing w:before="120" w:after="120"/>
      <w:jc w:val="both"/>
    </w:pPr>
    <w:rPr>
      <w:rFonts w:ascii="Verdana" w:eastAsia="Times New Roman" w:hAnsi="Verdana"/>
      <w:szCs w:val="24"/>
      <w:lang w:eastAsia="en-US" w:bidi="ar-SA"/>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EC067D"/>
    <w:pPr>
      <w:keepNext/>
      <w:spacing w:before="240"/>
      <w:outlineLvl w:val="1"/>
    </w:pPr>
    <w:rPr>
      <w:rFonts w:ascii="Times New Roman" w:eastAsia="Arial" w:hAnsi="Times New Roman"/>
      <w:b/>
      <w:sz w:val="24"/>
      <w:lang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067D"/>
    <w:rPr>
      <w:rFonts w:ascii="Times New Roman" w:hAnsi="Times New Roman"/>
      <w:b/>
      <w:sz w:val="24"/>
      <w:szCs w:val="24"/>
      <w:lang w:eastAsia="x-none" w:bidi="ar-SA"/>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bidi="ar-SA"/>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bidi="ar-SA"/>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bidi="ar-SA"/>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B94200"/>
    <w:pPr>
      <w:spacing w:before="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bidi="ar-SA"/>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B94200"/>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lang w:bidi="ar-SA"/>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 w:type="paragraph" w:customStyle="1" w:styleId="CM1">
    <w:name w:val="CM1"/>
    <w:basedOn w:val="Default"/>
    <w:next w:val="Default"/>
    <w:uiPriority w:val="99"/>
    <w:rsid w:val="003D7822"/>
    <w:rPr>
      <w:rFonts w:ascii="EU Albertina" w:hAnsi="EU Albertina" w:cs="Times New Roman"/>
      <w:color w:val="auto"/>
    </w:rPr>
  </w:style>
  <w:style w:type="paragraph" w:customStyle="1" w:styleId="CM3">
    <w:name w:val="CM3"/>
    <w:basedOn w:val="Default"/>
    <w:next w:val="Default"/>
    <w:uiPriority w:val="99"/>
    <w:rsid w:val="003D7822"/>
    <w:rPr>
      <w:rFonts w:ascii="EU Albertina" w:hAnsi="EU Albertina" w:cs="Times New Roman"/>
      <w:color w:val="auto"/>
    </w:rPr>
  </w:style>
  <w:style w:type="paragraph" w:styleId="NormalWeb">
    <w:name w:val="Normal (Web)"/>
    <w:basedOn w:val="Normal"/>
    <w:uiPriority w:val="99"/>
    <w:unhideWhenUsed/>
    <w:locked/>
    <w:rsid w:val="00C7103D"/>
    <w:pPr>
      <w:spacing w:before="100" w:beforeAutospacing="1" w:after="100" w:afterAutospacing="1"/>
      <w:jc w:val="left"/>
    </w:pPr>
    <w:rPr>
      <w:rFonts w:ascii="Times New Roman" w:hAnsi="Times New Roman"/>
      <w:sz w:val="24"/>
      <w:lang w:eastAsia="en-GB"/>
    </w:rPr>
  </w:style>
  <w:style w:type="character" w:styleId="Emphasis">
    <w:name w:val="Emphasis"/>
    <w:basedOn w:val="DefaultParagraphFont"/>
    <w:uiPriority w:val="20"/>
    <w:qFormat/>
    <w:locked/>
    <w:rsid w:val="00C7103D"/>
    <w:rPr>
      <w:i/>
      <w:iCs/>
    </w:rPr>
  </w:style>
  <w:style w:type="paragraph" w:customStyle="1" w:styleId="TableMainHeading">
    <w:name w:val="TableMainHeading"/>
    <w:basedOn w:val="Normal"/>
    <w:next w:val="Normal"/>
    <w:uiPriority w:val="99"/>
    <w:rsid w:val="007C64F7"/>
    <w:pPr>
      <w:jc w:val="left"/>
    </w:pPr>
    <w:rPr>
      <w:rFonts w:ascii="Segoe UI" w:hAnsi="Segoe UI"/>
      <w:sz w:val="22"/>
      <w:szCs w:val="20"/>
    </w:rPr>
  </w:style>
  <w:style w:type="paragraph" w:customStyle="1" w:styleId="body">
    <w:name w:val="body"/>
    <w:qFormat/>
    <w:rsid w:val="008151A6"/>
    <w:pPr>
      <w:spacing w:before="240" w:after="120" w:line="276" w:lineRule="auto"/>
      <w:jc w:val="both"/>
    </w:pPr>
    <w:rPr>
      <w:rFonts w:asciiTheme="minorHAnsi" w:eastAsiaTheme="minorEastAsia" w:hAnsiTheme="minorHAnsi" w:cstheme="minorBidi"/>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5551">
      <w:bodyDiv w:val="1"/>
      <w:marLeft w:val="0"/>
      <w:marRight w:val="0"/>
      <w:marTop w:val="0"/>
      <w:marBottom w:val="0"/>
      <w:divBdr>
        <w:top w:val="none" w:sz="0" w:space="0" w:color="auto"/>
        <w:left w:val="none" w:sz="0" w:space="0" w:color="auto"/>
        <w:bottom w:val="none" w:sz="0" w:space="0" w:color="auto"/>
        <w:right w:val="none" w:sz="0" w:space="0" w:color="auto"/>
      </w:divBdr>
    </w:div>
    <w:div w:id="189728779">
      <w:bodyDiv w:val="1"/>
      <w:marLeft w:val="0"/>
      <w:marRight w:val="0"/>
      <w:marTop w:val="0"/>
      <w:marBottom w:val="0"/>
      <w:divBdr>
        <w:top w:val="none" w:sz="0" w:space="0" w:color="auto"/>
        <w:left w:val="none" w:sz="0" w:space="0" w:color="auto"/>
        <w:bottom w:val="none" w:sz="0" w:space="0" w:color="auto"/>
        <w:right w:val="none" w:sz="0" w:space="0" w:color="auto"/>
      </w:divBdr>
    </w:div>
    <w:div w:id="299265773">
      <w:bodyDiv w:val="1"/>
      <w:marLeft w:val="0"/>
      <w:marRight w:val="0"/>
      <w:marTop w:val="0"/>
      <w:marBottom w:val="0"/>
      <w:divBdr>
        <w:top w:val="none" w:sz="0" w:space="0" w:color="auto"/>
        <w:left w:val="none" w:sz="0" w:space="0" w:color="auto"/>
        <w:bottom w:val="none" w:sz="0" w:space="0" w:color="auto"/>
        <w:right w:val="none" w:sz="0" w:space="0" w:color="auto"/>
      </w:divBdr>
    </w:div>
    <w:div w:id="538904984">
      <w:bodyDiv w:val="1"/>
      <w:marLeft w:val="0"/>
      <w:marRight w:val="0"/>
      <w:marTop w:val="0"/>
      <w:marBottom w:val="0"/>
      <w:divBdr>
        <w:top w:val="none" w:sz="0" w:space="0" w:color="auto"/>
        <w:left w:val="none" w:sz="0" w:space="0" w:color="auto"/>
        <w:bottom w:val="none" w:sz="0" w:space="0" w:color="auto"/>
        <w:right w:val="none" w:sz="0" w:space="0" w:color="auto"/>
      </w:divBdr>
    </w:div>
    <w:div w:id="718362389">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1071536696">
      <w:bodyDiv w:val="1"/>
      <w:marLeft w:val="0"/>
      <w:marRight w:val="0"/>
      <w:marTop w:val="0"/>
      <w:marBottom w:val="0"/>
      <w:divBdr>
        <w:top w:val="none" w:sz="0" w:space="0" w:color="auto"/>
        <w:left w:val="none" w:sz="0" w:space="0" w:color="auto"/>
        <w:bottom w:val="none" w:sz="0" w:space="0" w:color="auto"/>
        <w:right w:val="none" w:sz="0" w:space="0" w:color="auto"/>
      </w:divBdr>
    </w:div>
    <w:div w:id="1127431200">
      <w:bodyDiv w:val="1"/>
      <w:marLeft w:val="0"/>
      <w:marRight w:val="0"/>
      <w:marTop w:val="0"/>
      <w:marBottom w:val="0"/>
      <w:divBdr>
        <w:top w:val="none" w:sz="0" w:space="0" w:color="auto"/>
        <w:left w:val="none" w:sz="0" w:space="0" w:color="auto"/>
        <w:bottom w:val="none" w:sz="0" w:space="0" w:color="auto"/>
        <w:right w:val="none" w:sz="0" w:space="0" w:color="auto"/>
      </w:divBdr>
    </w:div>
    <w:div w:id="17751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C5D54-2A50-4C0D-BCD8-3613886A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7683</Characters>
  <Application>Microsoft Office Word</Application>
  <DocSecurity>0</DocSecurity>
  <Lines>150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Links>
    <vt:vector size="606" baseType="variant">
      <vt:variant>
        <vt:i4>1441854</vt:i4>
      </vt:variant>
      <vt:variant>
        <vt:i4>602</vt:i4>
      </vt:variant>
      <vt:variant>
        <vt:i4>0</vt:i4>
      </vt:variant>
      <vt:variant>
        <vt:i4>5</vt:i4>
      </vt:variant>
      <vt:variant>
        <vt:lpwstr/>
      </vt:variant>
      <vt:variant>
        <vt:lpwstr>_Toc429746721</vt:lpwstr>
      </vt:variant>
      <vt:variant>
        <vt:i4>1441854</vt:i4>
      </vt:variant>
      <vt:variant>
        <vt:i4>596</vt:i4>
      </vt:variant>
      <vt:variant>
        <vt:i4>0</vt:i4>
      </vt:variant>
      <vt:variant>
        <vt:i4>5</vt:i4>
      </vt:variant>
      <vt:variant>
        <vt:lpwstr/>
      </vt:variant>
      <vt:variant>
        <vt:lpwstr>_Toc429746720</vt:lpwstr>
      </vt:variant>
      <vt:variant>
        <vt:i4>1376318</vt:i4>
      </vt:variant>
      <vt:variant>
        <vt:i4>590</vt:i4>
      </vt:variant>
      <vt:variant>
        <vt:i4>0</vt:i4>
      </vt:variant>
      <vt:variant>
        <vt:i4>5</vt:i4>
      </vt:variant>
      <vt:variant>
        <vt:lpwstr/>
      </vt:variant>
      <vt:variant>
        <vt:lpwstr>_Toc429746719</vt:lpwstr>
      </vt:variant>
      <vt:variant>
        <vt:i4>1376318</vt:i4>
      </vt:variant>
      <vt:variant>
        <vt:i4>584</vt:i4>
      </vt:variant>
      <vt:variant>
        <vt:i4>0</vt:i4>
      </vt:variant>
      <vt:variant>
        <vt:i4>5</vt:i4>
      </vt:variant>
      <vt:variant>
        <vt:lpwstr/>
      </vt:variant>
      <vt:variant>
        <vt:lpwstr>_Toc429746718</vt:lpwstr>
      </vt:variant>
      <vt:variant>
        <vt:i4>1376318</vt:i4>
      </vt:variant>
      <vt:variant>
        <vt:i4>578</vt:i4>
      </vt:variant>
      <vt:variant>
        <vt:i4>0</vt:i4>
      </vt:variant>
      <vt:variant>
        <vt:i4>5</vt:i4>
      </vt:variant>
      <vt:variant>
        <vt:lpwstr/>
      </vt:variant>
      <vt:variant>
        <vt:lpwstr>_Toc429746717</vt:lpwstr>
      </vt:variant>
      <vt:variant>
        <vt:i4>1376318</vt:i4>
      </vt:variant>
      <vt:variant>
        <vt:i4>572</vt:i4>
      </vt:variant>
      <vt:variant>
        <vt:i4>0</vt:i4>
      </vt:variant>
      <vt:variant>
        <vt:i4>5</vt:i4>
      </vt:variant>
      <vt:variant>
        <vt:lpwstr/>
      </vt:variant>
      <vt:variant>
        <vt:lpwstr>_Toc429746716</vt:lpwstr>
      </vt:variant>
      <vt:variant>
        <vt:i4>1376318</vt:i4>
      </vt:variant>
      <vt:variant>
        <vt:i4>566</vt:i4>
      </vt:variant>
      <vt:variant>
        <vt:i4>0</vt:i4>
      </vt:variant>
      <vt:variant>
        <vt:i4>5</vt:i4>
      </vt:variant>
      <vt:variant>
        <vt:lpwstr/>
      </vt:variant>
      <vt:variant>
        <vt:lpwstr>_Toc429746715</vt:lpwstr>
      </vt:variant>
      <vt:variant>
        <vt:i4>1376318</vt:i4>
      </vt:variant>
      <vt:variant>
        <vt:i4>560</vt:i4>
      </vt:variant>
      <vt:variant>
        <vt:i4>0</vt:i4>
      </vt:variant>
      <vt:variant>
        <vt:i4>5</vt:i4>
      </vt:variant>
      <vt:variant>
        <vt:lpwstr/>
      </vt:variant>
      <vt:variant>
        <vt:lpwstr>_Toc429746714</vt:lpwstr>
      </vt:variant>
      <vt:variant>
        <vt:i4>1376318</vt:i4>
      </vt:variant>
      <vt:variant>
        <vt:i4>554</vt:i4>
      </vt:variant>
      <vt:variant>
        <vt:i4>0</vt:i4>
      </vt:variant>
      <vt:variant>
        <vt:i4>5</vt:i4>
      </vt:variant>
      <vt:variant>
        <vt:lpwstr/>
      </vt:variant>
      <vt:variant>
        <vt:lpwstr>_Toc429746713</vt:lpwstr>
      </vt:variant>
      <vt:variant>
        <vt:i4>1376318</vt:i4>
      </vt:variant>
      <vt:variant>
        <vt:i4>548</vt:i4>
      </vt:variant>
      <vt:variant>
        <vt:i4>0</vt:i4>
      </vt:variant>
      <vt:variant>
        <vt:i4>5</vt:i4>
      </vt:variant>
      <vt:variant>
        <vt:lpwstr/>
      </vt:variant>
      <vt:variant>
        <vt:lpwstr>_Toc429746712</vt:lpwstr>
      </vt:variant>
      <vt:variant>
        <vt:i4>1376318</vt:i4>
      </vt:variant>
      <vt:variant>
        <vt:i4>542</vt:i4>
      </vt:variant>
      <vt:variant>
        <vt:i4>0</vt:i4>
      </vt:variant>
      <vt:variant>
        <vt:i4>5</vt:i4>
      </vt:variant>
      <vt:variant>
        <vt:lpwstr/>
      </vt:variant>
      <vt:variant>
        <vt:lpwstr>_Toc429746711</vt:lpwstr>
      </vt:variant>
      <vt:variant>
        <vt:i4>1376318</vt:i4>
      </vt:variant>
      <vt:variant>
        <vt:i4>536</vt:i4>
      </vt:variant>
      <vt:variant>
        <vt:i4>0</vt:i4>
      </vt:variant>
      <vt:variant>
        <vt:i4>5</vt:i4>
      </vt:variant>
      <vt:variant>
        <vt:lpwstr/>
      </vt:variant>
      <vt:variant>
        <vt:lpwstr>_Toc429746710</vt:lpwstr>
      </vt:variant>
      <vt:variant>
        <vt:i4>1310782</vt:i4>
      </vt:variant>
      <vt:variant>
        <vt:i4>530</vt:i4>
      </vt:variant>
      <vt:variant>
        <vt:i4>0</vt:i4>
      </vt:variant>
      <vt:variant>
        <vt:i4>5</vt:i4>
      </vt:variant>
      <vt:variant>
        <vt:lpwstr/>
      </vt:variant>
      <vt:variant>
        <vt:lpwstr>_Toc429746709</vt:lpwstr>
      </vt:variant>
      <vt:variant>
        <vt:i4>1310782</vt:i4>
      </vt:variant>
      <vt:variant>
        <vt:i4>524</vt:i4>
      </vt:variant>
      <vt:variant>
        <vt:i4>0</vt:i4>
      </vt:variant>
      <vt:variant>
        <vt:i4>5</vt:i4>
      </vt:variant>
      <vt:variant>
        <vt:lpwstr/>
      </vt:variant>
      <vt:variant>
        <vt:lpwstr>_Toc429746708</vt:lpwstr>
      </vt:variant>
      <vt:variant>
        <vt:i4>1310782</vt:i4>
      </vt:variant>
      <vt:variant>
        <vt:i4>518</vt:i4>
      </vt:variant>
      <vt:variant>
        <vt:i4>0</vt:i4>
      </vt:variant>
      <vt:variant>
        <vt:i4>5</vt:i4>
      </vt:variant>
      <vt:variant>
        <vt:lpwstr/>
      </vt:variant>
      <vt:variant>
        <vt:lpwstr>_Toc429746707</vt:lpwstr>
      </vt:variant>
      <vt:variant>
        <vt:i4>1310782</vt:i4>
      </vt:variant>
      <vt:variant>
        <vt:i4>512</vt:i4>
      </vt:variant>
      <vt:variant>
        <vt:i4>0</vt:i4>
      </vt:variant>
      <vt:variant>
        <vt:i4>5</vt:i4>
      </vt:variant>
      <vt:variant>
        <vt:lpwstr/>
      </vt:variant>
      <vt:variant>
        <vt:lpwstr>_Toc429746706</vt:lpwstr>
      </vt:variant>
      <vt:variant>
        <vt:i4>1310782</vt:i4>
      </vt:variant>
      <vt:variant>
        <vt:i4>506</vt:i4>
      </vt:variant>
      <vt:variant>
        <vt:i4>0</vt:i4>
      </vt:variant>
      <vt:variant>
        <vt:i4>5</vt:i4>
      </vt:variant>
      <vt:variant>
        <vt:lpwstr/>
      </vt:variant>
      <vt:variant>
        <vt:lpwstr>_Toc429746705</vt:lpwstr>
      </vt:variant>
      <vt:variant>
        <vt:i4>1310782</vt:i4>
      </vt:variant>
      <vt:variant>
        <vt:i4>500</vt:i4>
      </vt:variant>
      <vt:variant>
        <vt:i4>0</vt:i4>
      </vt:variant>
      <vt:variant>
        <vt:i4>5</vt:i4>
      </vt:variant>
      <vt:variant>
        <vt:lpwstr/>
      </vt:variant>
      <vt:variant>
        <vt:lpwstr>_Toc429746704</vt:lpwstr>
      </vt:variant>
      <vt:variant>
        <vt:i4>1310782</vt:i4>
      </vt:variant>
      <vt:variant>
        <vt:i4>494</vt:i4>
      </vt:variant>
      <vt:variant>
        <vt:i4>0</vt:i4>
      </vt:variant>
      <vt:variant>
        <vt:i4>5</vt:i4>
      </vt:variant>
      <vt:variant>
        <vt:lpwstr/>
      </vt:variant>
      <vt:variant>
        <vt:lpwstr>_Toc429746703</vt:lpwstr>
      </vt:variant>
      <vt:variant>
        <vt:i4>1310782</vt:i4>
      </vt:variant>
      <vt:variant>
        <vt:i4>488</vt:i4>
      </vt:variant>
      <vt:variant>
        <vt:i4>0</vt:i4>
      </vt:variant>
      <vt:variant>
        <vt:i4>5</vt:i4>
      </vt:variant>
      <vt:variant>
        <vt:lpwstr/>
      </vt:variant>
      <vt:variant>
        <vt:lpwstr>_Toc429746702</vt:lpwstr>
      </vt:variant>
      <vt:variant>
        <vt:i4>1310782</vt:i4>
      </vt:variant>
      <vt:variant>
        <vt:i4>482</vt:i4>
      </vt:variant>
      <vt:variant>
        <vt:i4>0</vt:i4>
      </vt:variant>
      <vt:variant>
        <vt:i4>5</vt:i4>
      </vt:variant>
      <vt:variant>
        <vt:lpwstr/>
      </vt:variant>
      <vt:variant>
        <vt:lpwstr>_Toc429746701</vt:lpwstr>
      </vt:variant>
      <vt:variant>
        <vt:i4>1310782</vt:i4>
      </vt:variant>
      <vt:variant>
        <vt:i4>476</vt:i4>
      </vt:variant>
      <vt:variant>
        <vt:i4>0</vt:i4>
      </vt:variant>
      <vt:variant>
        <vt:i4>5</vt:i4>
      </vt:variant>
      <vt:variant>
        <vt:lpwstr/>
      </vt:variant>
      <vt:variant>
        <vt:lpwstr>_Toc429746700</vt:lpwstr>
      </vt:variant>
      <vt:variant>
        <vt:i4>1900607</vt:i4>
      </vt:variant>
      <vt:variant>
        <vt:i4>470</vt:i4>
      </vt:variant>
      <vt:variant>
        <vt:i4>0</vt:i4>
      </vt:variant>
      <vt:variant>
        <vt:i4>5</vt:i4>
      </vt:variant>
      <vt:variant>
        <vt:lpwstr/>
      </vt:variant>
      <vt:variant>
        <vt:lpwstr>_Toc429746699</vt:lpwstr>
      </vt:variant>
      <vt:variant>
        <vt:i4>1900607</vt:i4>
      </vt:variant>
      <vt:variant>
        <vt:i4>464</vt:i4>
      </vt:variant>
      <vt:variant>
        <vt:i4>0</vt:i4>
      </vt:variant>
      <vt:variant>
        <vt:i4>5</vt:i4>
      </vt:variant>
      <vt:variant>
        <vt:lpwstr/>
      </vt:variant>
      <vt:variant>
        <vt:lpwstr>_Toc429746698</vt:lpwstr>
      </vt:variant>
      <vt:variant>
        <vt:i4>1900607</vt:i4>
      </vt:variant>
      <vt:variant>
        <vt:i4>458</vt:i4>
      </vt:variant>
      <vt:variant>
        <vt:i4>0</vt:i4>
      </vt:variant>
      <vt:variant>
        <vt:i4>5</vt:i4>
      </vt:variant>
      <vt:variant>
        <vt:lpwstr/>
      </vt:variant>
      <vt:variant>
        <vt:lpwstr>_Toc429746697</vt:lpwstr>
      </vt:variant>
      <vt:variant>
        <vt:i4>1900607</vt:i4>
      </vt:variant>
      <vt:variant>
        <vt:i4>452</vt:i4>
      </vt:variant>
      <vt:variant>
        <vt:i4>0</vt:i4>
      </vt:variant>
      <vt:variant>
        <vt:i4>5</vt:i4>
      </vt:variant>
      <vt:variant>
        <vt:lpwstr/>
      </vt:variant>
      <vt:variant>
        <vt:lpwstr>_Toc429746696</vt:lpwstr>
      </vt:variant>
      <vt:variant>
        <vt:i4>1900607</vt:i4>
      </vt:variant>
      <vt:variant>
        <vt:i4>446</vt:i4>
      </vt:variant>
      <vt:variant>
        <vt:i4>0</vt:i4>
      </vt:variant>
      <vt:variant>
        <vt:i4>5</vt:i4>
      </vt:variant>
      <vt:variant>
        <vt:lpwstr/>
      </vt:variant>
      <vt:variant>
        <vt:lpwstr>_Toc429746695</vt:lpwstr>
      </vt:variant>
      <vt:variant>
        <vt:i4>1900607</vt:i4>
      </vt:variant>
      <vt:variant>
        <vt:i4>440</vt:i4>
      </vt:variant>
      <vt:variant>
        <vt:i4>0</vt:i4>
      </vt:variant>
      <vt:variant>
        <vt:i4>5</vt:i4>
      </vt:variant>
      <vt:variant>
        <vt:lpwstr/>
      </vt:variant>
      <vt:variant>
        <vt:lpwstr>_Toc429746694</vt:lpwstr>
      </vt:variant>
      <vt:variant>
        <vt:i4>1900607</vt:i4>
      </vt:variant>
      <vt:variant>
        <vt:i4>434</vt:i4>
      </vt:variant>
      <vt:variant>
        <vt:i4>0</vt:i4>
      </vt:variant>
      <vt:variant>
        <vt:i4>5</vt:i4>
      </vt:variant>
      <vt:variant>
        <vt:lpwstr/>
      </vt:variant>
      <vt:variant>
        <vt:lpwstr>_Toc429746693</vt:lpwstr>
      </vt:variant>
      <vt:variant>
        <vt:i4>1900607</vt:i4>
      </vt:variant>
      <vt:variant>
        <vt:i4>428</vt:i4>
      </vt:variant>
      <vt:variant>
        <vt:i4>0</vt:i4>
      </vt:variant>
      <vt:variant>
        <vt:i4>5</vt:i4>
      </vt:variant>
      <vt:variant>
        <vt:lpwstr/>
      </vt:variant>
      <vt:variant>
        <vt:lpwstr>_Toc429746692</vt:lpwstr>
      </vt:variant>
      <vt:variant>
        <vt:i4>1900607</vt:i4>
      </vt:variant>
      <vt:variant>
        <vt:i4>422</vt:i4>
      </vt:variant>
      <vt:variant>
        <vt:i4>0</vt:i4>
      </vt:variant>
      <vt:variant>
        <vt:i4>5</vt:i4>
      </vt:variant>
      <vt:variant>
        <vt:lpwstr/>
      </vt:variant>
      <vt:variant>
        <vt:lpwstr>_Toc429746691</vt:lpwstr>
      </vt:variant>
      <vt:variant>
        <vt:i4>1900607</vt:i4>
      </vt:variant>
      <vt:variant>
        <vt:i4>416</vt:i4>
      </vt:variant>
      <vt:variant>
        <vt:i4>0</vt:i4>
      </vt:variant>
      <vt:variant>
        <vt:i4>5</vt:i4>
      </vt:variant>
      <vt:variant>
        <vt:lpwstr/>
      </vt:variant>
      <vt:variant>
        <vt:lpwstr>_Toc429746690</vt:lpwstr>
      </vt:variant>
      <vt:variant>
        <vt:i4>1835071</vt:i4>
      </vt:variant>
      <vt:variant>
        <vt:i4>410</vt:i4>
      </vt:variant>
      <vt:variant>
        <vt:i4>0</vt:i4>
      </vt:variant>
      <vt:variant>
        <vt:i4>5</vt:i4>
      </vt:variant>
      <vt:variant>
        <vt:lpwstr/>
      </vt:variant>
      <vt:variant>
        <vt:lpwstr>_Toc429746689</vt:lpwstr>
      </vt:variant>
      <vt:variant>
        <vt:i4>1835071</vt:i4>
      </vt:variant>
      <vt:variant>
        <vt:i4>404</vt:i4>
      </vt:variant>
      <vt:variant>
        <vt:i4>0</vt:i4>
      </vt:variant>
      <vt:variant>
        <vt:i4>5</vt:i4>
      </vt:variant>
      <vt:variant>
        <vt:lpwstr/>
      </vt:variant>
      <vt:variant>
        <vt:lpwstr>_Toc429746688</vt:lpwstr>
      </vt:variant>
      <vt:variant>
        <vt:i4>1835071</vt:i4>
      </vt:variant>
      <vt:variant>
        <vt:i4>398</vt:i4>
      </vt:variant>
      <vt:variant>
        <vt:i4>0</vt:i4>
      </vt:variant>
      <vt:variant>
        <vt:i4>5</vt:i4>
      </vt:variant>
      <vt:variant>
        <vt:lpwstr/>
      </vt:variant>
      <vt:variant>
        <vt:lpwstr>_Toc429746687</vt:lpwstr>
      </vt:variant>
      <vt:variant>
        <vt:i4>1835071</vt:i4>
      </vt:variant>
      <vt:variant>
        <vt:i4>392</vt:i4>
      </vt:variant>
      <vt:variant>
        <vt:i4>0</vt:i4>
      </vt:variant>
      <vt:variant>
        <vt:i4>5</vt:i4>
      </vt:variant>
      <vt:variant>
        <vt:lpwstr/>
      </vt:variant>
      <vt:variant>
        <vt:lpwstr>_Toc429746686</vt:lpwstr>
      </vt:variant>
      <vt:variant>
        <vt:i4>1835071</vt:i4>
      </vt:variant>
      <vt:variant>
        <vt:i4>386</vt:i4>
      </vt:variant>
      <vt:variant>
        <vt:i4>0</vt:i4>
      </vt:variant>
      <vt:variant>
        <vt:i4>5</vt:i4>
      </vt:variant>
      <vt:variant>
        <vt:lpwstr/>
      </vt:variant>
      <vt:variant>
        <vt:lpwstr>_Toc429746685</vt:lpwstr>
      </vt:variant>
      <vt:variant>
        <vt:i4>1835071</vt:i4>
      </vt:variant>
      <vt:variant>
        <vt:i4>380</vt:i4>
      </vt:variant>
      <vt:variant>
        <vt:i4>0</vt:i4>
      </vt:variant>
      <vt:variant>
        <vt:i4>5</vt:i4>
      </vt:variant>
      <vt:variant>
        <vt:lpwstr/>
      </vt:variant>
      <vt:variant>
        <vt:lpwstr>_Toc429746684</vt:lpwstr>
      </vt:variant>
      <vt:variant>
        <vt:i4>1835071</vt:i4>
      </vt:variant>
      <vt:variant>
        <vt:i4>374</vt:i4>
      </vt:variant>
      <vt:variant>
        <vt:i4>0</vt:i4>
      </vt:variant>
      <vt:variant>
        <vt:i4>5</vt:i4>
      </vt:variant>
      <vt:variant>
        <vt:lpwstr/>
      </vt:variant>
      <vt:variant>
        <vt:lpwstr>_Toc429746683</vt:lpwstr>
      </vt:variant>
      <vt:variant>
        <vt:i4>1835071</vt:i4>
      </vt:variant>
      <vt:variant>
        <vt:i4>368</vt:i4>
      </vt:variant>
      <vt:variant>
        <vt:i4>0</vt:i4>
      </vt:variant>
      <vt:variant>
        <vt:i4>5</vt:i4>
      </vt:variant>
      <vt:variant>
        <vt:lpwstr/>
      </vt:variant>
      <vt:variant>
        <vt:lpwstr>_Toc429746682</vt:lpwstr>
      </vt:variant>
      <vt:variant>
        <vt:i4>1835071</vt:i4>
      </vt:variant>
      <vt:variant>
        <vt:i4>362</vt:i4>
      </vt:variant>
      <vt:variant>
        <vt:i4>0</vt:i4>
      </vt:variant>
      <vt:variant>
        <vt:i4>5</vt:i4>
      </vt:variant>
      <vt:variant>
        <vt:lpwstr/>
      </vt:variant>
      <vt:variant>
        <vt:lpwstr>_Toc429746681</vt:lpwstr>
      </vt:variant>
      <vt:variant>
        <vt:i4>1835071</vt:i4>
      </vt:variant>
      <vt:variant>
        <vt:i4>356</vt:i4>
      </vt:variant>
      <vt:variant>
        <vt:i4>0</vt:i4>
      </vt:variant>
      <vt:variant>
        <vt:i4>5</vt:i4>
      </vt:variant>
      <vt:variant>
        <vt:lpwstr/>
      </vt:variant>
      <vt:variant>
        <vt:lpwstr>_Toc429746680</vt:lpwstr>
      </vt:variant>
      <vt:variant>
        <vt:i4>1245247</vt:i4>
      </vt:variant>
      <vt:variant>
        <vt:i4>350</vt:i4>
      </vt:variant>
      <vt:variant>
        <vt:i4>0</vt:i4>
      </vt:variant>
      <vt:variant>
        <vt:i4>5</vt:i4>
      </vt:variant>
      <vt:variant>
        <vt:lpwstr/>
      </vt:variant>
      <vt:variant>
        <vt:lpwstr>_Toc429746679</vt:lpwstr>
      </vt:variant>
      <vt:variant>
        <vt:i4>1245247</vt:i4>
      </vt:variant>
      <vt:variant>
        <vt:i4>344</vt:i4>
      </vt:variant>
      <vt:variant>
        <vt:i4>0</vt:i4>
      </vt:variant>
      <vt:variant>
        <vt:i4>5</vt:i4>
      </vt:variant>
      <vt:variant>
        <vt:lpwstr/>
      </vt:variant>
      <vt:variant>
        <vt:lpwstr>_Toc429746678</vt:lpwstr>
      </vt:variant>
      <vt:variant>
        <vt:i4>1245247</vt:i4>
      </vt:variant>
      <vt:variant>
        <vt:i4>338</vt:i4>
      </vt:variant>
      <vt:variant>
        <vt:i4>0</vt:i4>
      </vt:variant>
      <vt:variant>
        <vt:i4>5</vt:i4>
      </vt:variant>
      <vt:variant>
        <vt:lpwstr/>
      </vt:variant>
      <vt:variant>
        <vt:lpwstr>_Toc429746677</vt:lpwstr>
      </vt:variant>
      <vt:variant>
        <vt:i4>1245247</vt:i4>
      </vt:variant>
      <vt:variant>
        <vt:i4>332</vt:i4>
      </vt:variant>
      <vt:variant>
        <vt:i4>0</vt:i4>
      </vt:variant>
      <vt:variant>
        <vt:i4>5</vt:i4>
      </vt:variant>
      <vt:variant>
        <vt:lpwstr/>
      </vt:variant>
      <vt:variant>
        <vt:lpwstr>_Toc429746676</vt:lpwstr>
      </vt:variant>
      <vt:variant>
        <vt:i4>1245247</vt:i4>
      </vt:variant>
      <vt:variant>
        <vt:i4>326</vt:i4>
      </vt:variant>
      <vt:variant>
        <vt:i4>0</vt:i4>
      </vt:variant>
      <vt:variant>
        <vt:i4>5</vt:i4>
      </vt:variant>
      <vt:variant>
        <vt:lpwstr/>
      </vt:variant>
      <vt:variant>
        <vt:lpwstr>_Toc429746675</vt:lpwstr>
      </vt:variant>
      <vt:variant>
        <vt:i4>1245247</vt:i4>
      </vt:variant>
      <vt:variant>
        <vt:i4>320</vt:i4>
      </vt:variant>
      <vt:variant>
        <vt:i4>0</vt:i4>
      </vt:variant>
      <vt:variant>
        <vt:i4>5</vt:i4>
      </vt:variant>
      <vt:variant>
        <vt:lpwstr/>
      </vt:variant>
      <vt:variant>
        <vt:lpwstr>_Toc429746674</vt:lpwstr>
      </vt:variant>
      <vt:variant>
        <vt:i4>1245247</vt:i4>
      </vt:variant>
      <vt:variant>
        <vt:i4>314</vt:i4>
      </vt:variant>
      <vt:variant>
        <vt:i4>0</vt:i4>
      </vt:variant>
      <vt:variant>
        <vt:i4>5</vt:i4>
      </vt:variant>
      <vt:variant>
        <vt:lpwstr/>
      </vt:variant>
      <vt:variant>
        <vt:lpwstr>_Toc429746673</vt:lpwstr>
      </vt:variant>
      <vt:variant>
        <vt:i4>1245247</vt:i4>
      </vt:variant>
      <vt:variant>
        <vt:i4>308</vt:i4>
      </vt:variant>
      <vt:variant>
        <vt:i4>0</vt:i4>
      </vt:variant>
      <vt:variant>
        <vt:i4>5</vt:i4>
      </vt:variant>
      <vt:variant>
        <vt:lpwstr/>
      </vt:variant>
      <vt:variant>
        <vt:lpwstr>_Toc429746672</vt:lpwstr>
      </vt:variant>
      <vt:variant>
        <vt:i4>1245247</vt:i4>
      </vt:variant>
      <vt:variant>
        <vt:i4>302</vt:i4>
      </vt:variant>
      <vt:variant>
        <vt:i4>0</vt:i4>
      </vt:variant>
      <vt:variant>
        <vt:i4>5</vt:i4>
      </vt:variant>
      <vt:variant>
        <vt:lpwstr/>
      </vt:variant>
      <vt:variant>
        <vt:lpwstr>_Toc429746671</vt:lpwstr>
      </vt:variant>
      <vt:variant>
        <vt:i4>1245247</vt:i4>
      </vt:variant>
      <vt:variant>
        <vt:i4>296</vt:i4>
      </vt:variant>
      <vt:variant>
        <vt:i4>0</vt:i4>
      </vt:variant>
      <vt:variant>
        <vt:i4>5</vt:i4>
      </vt:variant>
      <vt:variant>
        <vt:lpwstr/>
      </vt:variant>
      <vt:variant>
        <vt:lpwstr>_Toc429746670</vt:lpwstr>
      </vt:variant>
      <vt:variant>
        <vt:i4>1179711</vt:i4>
      </vt:variant>
      <vt:variant>
        <vt:i4>290</vt:i4>
      </vt:variant>
      <vt:variant>
        <vt:i4>0</vt:i4>
      </vt:variant>
      <vt:variant>
        <vt:i4>5</vt:i4>
      </vt:variant>
      <vt:variant>
        <vt:lpwstr/>
      </vt:variant>
      <vt:variant>
        <vt:lpwstr>_Toc429746669</vt:lpwstr>
      </vt:variant>
      <vt:variant>
        <vt:i4>1179711</vt:i4>
      </vt:variant>
      <vt:variant>
        <vt:i4>284</vt:i4>
      </vt:variant>
      <vt:variant>
        <vt:i4>0</vt:i4>
      </vt:variant>
      <vt:variant>
        <vt:i4>5</vt:i4>
      </vt:variant>
      <vt:variant>
        <vt:lpwstr/>
      </vt:variant>
      <vt:variant>
        <vt:lpwstr>_Toc429746668</vt:lpwstr>
      </vt:variant>
      <vt:variant>
        <vt:i4>1179711</vt:i4>
      </vt:variant>
      <vt:variant>
        <vt:i4>278</vt:i4>
      </vt:variant>
      <vt:variant>
        <vt:i4>0</vt:i4>
      </vt:variant>
      <vt:variant>
        <vt:i4>5</vt:i4>
      </vt:variant>
      <vt:variant>
        <vt:lpwstr/>
      </vt:variant>
      <vt:variant>
        <vt:lpwstr>_Toc429746667</vt:lpwstr>
      </vt:variant>
      <vt:variant>
        <vt:i4>1179711</vt:i4>
      </vt:variant>
      <vt:variant>
        <vt:i4>272</vt:i4>
      </vt:variant>
      <vt:variant>
        <vt:i4>0</vt:i4>
      </vt:variant>
      <vt:variant>
        <vt:i4>5</vt:i4>
      </vt:variant>
      <vt:variant>
        <vt:lpwstr/>
      </vt:variant>
      <vt:variant>
        <vt:lpwstr>_Toc429746666</vt:lpwstr>
      </vt:variant>
      <vt:variant>
        <vt:i4>1179711</vt:i4>
      </vt:variant>
      <vt:variant>
        <vt:i4>266</vt:i4>
      </vt:variant>
      <vt:variant>
        <vt:i4>0</vt:i4>
      </vt:variant>
      <vt:variant>
        <vt:i4>5</vt:i4>
      </vt:variant>
      <vt:variant>
        <vt:lpwstr/>
      </vt:variant>
      <vt:variant>
        <vt:lpwstr>_Toc429746665</vt:lpwstr>
      </vt:variant>
      <vt:variant>
        <vt:i4>1179711</vt:i4>
      </vt:variant>
      <vt:variant>
        <vt:i4>260</vt:i4>
      </vt:variant>
      <vt:variant>
        <vt:i4>0</vt:i4>
      </vt:variant>
      <vt:variant>
        <vt:i4>5</vt:i4>
      </vt:variant>
      <vt:variant>
        <vt:lpwstr/>
      </vt:variant>
      <vt:variant>
        <vt:lpwstr>_Toc429746664</vt:lpwstr>
      </vt:variant>
      <vt:variant>
        <vt:i4>1179711</vt:i4>
      </vt:variant>
      <vt:variant>
        <vt:i4>254</vt:i4>
      </vt:variant>
      <vt:variant>
        <vt:i4>0</vt:i4>
      </vt:variant>
      <vt:variant>
        <vt:i4>5</vt:i4>
      </vt:variant>
      <vt:variant>
        <vt:lpwstr/>
      </vt:variant>
      <vt:variant>
        <vt:lpwstr>_Toc429746663</vt:lpwstr>
      </vt:variant>
      <vt:variant>
        <vt:i4>1179711</vt:i4>
      </vt:variant>
      <vt:variant>
        <vt:i4>248</vt:i4>
      </vt:variant>
      <vt:variant>
        <vt:i4>0</vt:i4>
      </vt:variant>
      <vt:variant>
        <vt:i4>5</vt:i4>
      </vt:variant>
      <vt:variant>
        <vt:lpwstr/>
      </vt:variant>
      <vt:variant>
        <vt:lpwstr>_Toc429746662</vt:lpwstr>
      </vt:variant>
      <vt:variant>
        <vt:i4>1179711</vt:i4>
      </vt:variant>
      <vt:variant>
        <vt:i4>242</vt:i4>
      </vt:variant>
      <vt:variant>
        <vt:i4>0</vt:i4>
      </vt:variant>
      <vt:variant>
        <vt:i4>5</vt:i4>
      </vt:variant>
      <vt:variant>
        <vt:lpwstr/>
      </vt:variant>
      <vt:variant>
        <vt:lpwstr>_Toc429746661</vt:lpwstr>
      </vt:variant>
      <vt:variant>
        <vt:i4>1179711</vt:i4>
      </vt:variant>
      <vt:variant>
        <vt:i4>236</vt:i4>
      </vt:variant>
      <vt:variant>
        <vt:i4>0</vt:i4>
      </vt:variant>
      <vt:variant>
        <vt:i4>5</vt:i4>
      </vt:variant>
      <vt:variant>
        <vt:lpwstr/>
      </vt:variant>
      <vt:variant>
        <vt:lpwstr>_Toc429746660</vt:lpwstr>
      </vt:variant>
      <vt:variant>
        <vt:i4>1114175</vt:i4>
      </vt:variant>
      <vt:variant>
        <vt:i4>230</vt:i4>
      </vt:variant>
      <vt:variant>
        <vt:i4>0</vt:i4>
      </vt:variant>
      <vt:variant>
        <vt:i4>5</vt:i4>
      </vt:variant>
      <vt:variant>
        <vt:lpwstr/>
      </vt:variant>
      <vt:variant>
        <vt:lpwstr>_Toc429746659</vt:lpwstr>
      </vt:variant>
      <vt:variant>
        <vt:i4>1114175</vt:i4>
      </vt:variant>
      <vt:variant>
        <vt:i4>224</vt:i4>
      </vt:variant>
      <vt:variant>
        <vt:i4>0</vt:i4>
      </vt:variant>
      <vt:variant>
        <vt:i4>5</vt:i4>
      </vt:variant>
      <vt:variant>
        <vt:lpwstr/>
      </vt:variant>
      <vt:variant>
        <vt:lpwstr>_Toc429746658</vt:lpwstr>
      </vt:variant>
      <vt:variant>
        <vt:i4>1114175</vt:i4>
      </vt:variant>
      <vt:variant>
        <vt:i4>218</vt:i4>
      </vt:variant>
      <vt:variant>
        <vt:i4>0</vt:i4>
      </vt:variant>
      <vt:variant>
        <vt:i4>5</vt:i4>
      </vt:variant>
      <vt:variant>
        <vt:lpwstr/>
      </vt:variant>
      <vt:variant>
        <vt:lpwstr>_Toc429746657</vt:lpwstr>
      </vt:variant>
      <vt:variant>
        <vt:i4>1114175</vt:i4>
      </vt:variant>
      <vt:variant>
        <vt:i4>212</vt:i4>
      </vt:variant>
      <vt:variant>
        <vt:i4>0</vt:i4>
      </vt:variant>
      <vt:variant>
        <vt:i4>5</vt:i4>
      </vt:variant>
      <vt:variant>
        <vt:lpwstr/>
      </vt:variant>
      <vt:variant>
        <vt:lpwstr>_Toc429746656</vt:lpwstr>
      </vt:variant>
      <vt:variant>
        <vt:i4>1114175</vt:i4>
      </vt:variant>
      <vt:variant>
        <vt:i4>206</vt:i4>
      </vt:variant>
      <vt:variant>
        <vt:i4>0</vt:i4>
      </vt:variant>
      <vt:variant>
        <vt:i4>5</vt:i4>
      </vt:variant>
      <vt:variant>
        <vt:lpwstr/>
      </vt:variant>
      <vt:variant>
        <vt:lpwstr>_Toc429746655</vt:lpwstr>
      </vt:variant>
      <vt:variant>
        <vt:i4>1114175</vt:i4>
      </vt:variant>
      <vt:variant>
        <vt:i4>200</vt:i4>
      </vt:variant>
      <vt:variant>
        <vt:i4>0</vt:i4>
      </vt:variant>
      <vt:variant>
        <vt:i4>5</vt:i4>
      </vt:variant>
      <vt:variant>
        <vt:lpwstr/>
      </vt:variant>
      <vt:variant>
        <vt:lpwstr>_Toc429746654</vt:lpwstr>
      </vt:variant>
      <vt:variant>
        <vt:i4>1114175</vt:i4>
      </vt:variant>
      <vt:variant>
        <vt:i4>194</vt:i4>
      </vt:variant>
      <vt:variant>
        <vt:i4>0</vt:i4>
      </vt:variant>
      <vt:variant>
        <vt:i4>5</vt:i4>
      </vt:variant>
      <vt:variant>
        <vt:lpwstr/>
      </vt:variant>
      <vt:variant>
        <vt:lpwstr>_Toc429746653</vt:lpwstr>
      </vt:variant>
      <vt:variant>
        <vt:i4>1114175</vt:i4>
      </vt:variant>
      <vt:variant>
        <vt:i4>188</vt:i4>
      </vt:variant>
      <vt:variant>
        <vt:i4>0</vt:i4>
      </vt:variant>
      <vt:variant>
        <vt:i4>5</vt:i4>
      </vt:variant>
      <vt:variant>
        <vt:lpwstr/>
      </vt:variant>
      <vt:variant>
        <vt:lpwstr>_Toc429746652</vt:lpwstr>
      </vt:variant>
      <vt:variant>
        <vt:i4>1114175</vt:i4>
      </vt:variant>
      <vt:variant>
        <vt:i4>182</vt:i4>
      </vt:variant>
      <vt:variant>
        <vt:i4>0</vt:i4>
      </vt:variant>
      <vt:variant>
        <vt:i4>5</vt:i4>
      </vt:variant>
      <vt:variant>
        <vt:lpwstr/>
      </vt:variant>
      <vt:variant>
        <vt:lpwstr>_Toc429746651</vt:lpwstr>
      </vt:variant>
      <vt:variant>
        <vt:i4>1114175</vt:i4>
      </vt:variant>
      <vt:variant>
        <vt:i4>176</vt:i4>
      </vt:variant>
      <vt:variant>
        <vt:i4>0</vt:i4>
      </vt:variant>
      <vt:variant>
        <vt:i4>5</vt:i4>
      </vt:variant>
      <vt:variant>
        <vt:lpwstr/>
      </vt:variant>
      <vt:variant>
        <vt:lpwstr>_Toc429746650</vt:lpwstr>
      </vt:variant>
      <vt:variant>
        <vt:i4>1048639</vt:i4>
      </vt:variant>
      <vt:variant>
        <vt:i4>170</vt:i4>
      </vt:variant>
      <vt:variant>
        <vt:i4>0</vt:i4>
      </vt:variant>
      <vt:variant>
        <vt:i4>5</vt:i4>
      </vt:variant>
      <vt:variant>
        <vt:lpwstr/>
      </vt:variant>
      <vt:variant>
        <vt:lpwstr>_Toc429746649</vt:lpwstr>
      </vt:variant>
      <vt:variant>
        <vt:i4>1048639</vt:i4>
      </vt:variant>
      <vt:variant>
        <vt:i4>164</vt:i4>
      </vt:variant>
      <vt:variant>
        <vt:i4>0</vt:i4>
      </vt:variant>
      <vt:variant>
        <vt:i4>5</vt:i4>
      </vt:variant>
      <vt:variant>
        <vt:lpwstr/>
      </vt:variant>
      <vt:variant>
        <vt:lpwstr>_Toc429746648</vt:lpwstr>
      </vt:variant>
      <vt:variant>
        <vt:i4>1048639</vt:i4>
      </vt:variant>
      <vt:variant>
        <vt:i4>158</vt:i4>
      </vt:variant>
      <vt:variant>
        <vt:i4>0</vt:i4>
      </vt:variant>
      <vt:variant>
        <vt:i4>5</vt:i4>
      </vt:variant>
      <vt:variant>
        <vt:lpwstr/>
      </vt:variant>
      <vt:variant>
        <vt:lpwstr>_Toc429746647</vt:lpwstr>
      </vt:variant>
      <vt:variant>
        <vt:i4>1048639</vt:i4>
      </vt:variant>
      <vt:variant>
        <vt:i4>152</vt:i4>
      </vt:variant>
      <vt:variant>
        <vt:i4>0</vt:i4>
      </vt:variant>
      <vt:variant>
        <vt:i4>5</vt:i4>
      </vt:variant>
      <vt:variant>
        <vt:lpwstr/>
      </vt:variant>
      <vt:variant>
        <vt:lpwstr>_Toc429746646</vt:lpwstr>
      </vt:variant>
      <vt:variant>
        <vt:i4>1048639</vt:i4>
      </vt:variant>
      <vt:variant>
        <vt:i4>146</vt:i4>
      </vt:variant>
      <vt:variant>
        <vt:i4>0</vt:i4>
      </vt:variant>
      <vt:variant>
        <vt:i4>5</vt:i4>
      </vt:variant>
      <vt:variant>
        <vt:lpwstr/>
      </vt:variant>
      <vt:variant>
        <vt:lpwstr>_Toc429746645</vt:lpwstr>
      </vt:variant>
      <vt:variant>
        <vt:i4>1048639</vt:i4>
      </vt:variant>
      <vt:variant>
        <vt:i4>140</vt:i4>
      </vt:variant>
      <vt:variant>
        <vt:i4>0</vt:i4>
      </vt:variant>
      <vt:variant>
        <vt:i4>5</vt:i4>
      </vt:variant>
      <vt:variant>
        <vt:lpwstr/>
      </vt:variant>
      <vt:variant>
        <vt:lpwstr>_Toc429746644</vt:lpwstr>
      </vt:variant>
      <vt:variant>
        <vt:i4>1048639</vt:i4>
      </vt:variant>
      <vt:variant>
        <vt:i4>134</vt:i4>
      </vt:variant>
      <vt:variant>
        <vt:i4>0</vt:i4>
      </vt:variant>
      <vt:variant>
        <vt:i4>5</vt:i4>
      </vt:variant>
      <vt:variant>
        <vt:lpwstr/>
      </vt:variant>
      <vt:variant>
        <vt:lpwstr>_Toc429746643</vt:lpwstr>
      </vt:variant>
      <vt:variant>
        <vt:i4>1048639</vt:i4>
      </vt:variant>
      <vt:variant>
        <vt:i4>128</vt:i4>
      </vt:variant>
      <vt:variant>
        <vt:i4>0</vt:i4>
      </vt:variant>
      <vt:variant>
        <vt:i4>5</vt:i4>
      </vt:variant>
      <vt:variant>
        <vt:lpwstr/>
      </vt:variant>
      <vt:variant>
        <vt:lpwstr>_Toc429746642</vt:lpwstr>
      </vt:variant>
      <vt:variant>
        <vt:i4>1048639</vt:i4>
      </vt:variant>
      <vt:variant>
        <vt:i4>122</vt:i4>
      </vt:variant>
      <vt:variant>
        <vt:i4>0</vt:i4>
      </vt:variant>
      <vt:variant>
        <vt:i4>5</vt:i4>
      </vt:variant>
      <vt:variant>
        <vt:lpwstr/>
      </vt:variant>
      <vt:variant>
        <vt:lpwstr>_Toc429746641</vt:lpwstr>
      </vt:variant>
      <vt:variant>
        <vt:i4>1048639</vt:i4>
      </vt:variant>
      <vt:variant>
        <vt:i4>116</vt:i4>
      </vt:variant>
      <vt:variant>
        <vt:i4>0</vt:i4>
      </vt:variant>
      <vt:variant>
        <vt:i4>5</vt:i4>
      </vt:variant>
      <vt:variant>
        <vt:lpwstr/>
      </vt:variant>
      <vt:variant>
        <vt:lpwstr>_Toc429746640</vt:lpwstr>
      </vt:variant>
      <vt:variant>
        <vt:i4>1507391</vt:i4>
      </vt:variant>
      <vt:variant>
        <vt:i4>110</vt:i4>
      </vt:variant>
      <vt:variant>
        <vt:i4>0</vt:i4>
      </vt:variant>
      <vt:variant>
        <vt:i4>5</vt:i4>
      </vt:variant>
      <vt:variant>
        <vt:lpwstr/>
      </vt:variant>
      <vt:variant>
        <vt:lpwstr>_Toc429746639</vt:lpwstr>
      </vt:variant>
      <vt:variant>
        <vt:i4>1507391</vt:i4>
      </vt:variant>
      <vt:variant>
        <vt:i4>104</vt:i4>
      </vt:variant>
      <vt:variant>
        <vt:i4>0</vt:i4>
      </vt:variant>
      <vt:variant>
        <vt:i4>5</vt:i4>
      </vt:variant>
      <vt:variant>
        <vt:lpwstr/>
      </vt:variant>
      <vt:variant>
        <vt:lpwstr>_Toc429746638</vt:lpwstr>
      </vt:variant>
      <vt:variant>
        <vt:i4>1507391</vt:i4>
      </vt:variant>
      <vt:variant>
        <vt:i4>98</vt:i4>
      </vt:variant>
      <vt:variant>
        <vt:i4>0</vt:i4>
      </vt:variant>
      <vt:variant>
        <vt:i4>5</vt:i4>
      </vt:variant>
      <vt:variant>
        <vt:lpwstr/>
      </vt:variant>
      <vt:variant>
        <vt:lpwstr>_Toc429746637</vt:lpwstr>
      </vt:variant>
      <vt:variant>
        <vt:i4>1507391</vt:i4>
      </vt:variant>
      <vt:variant>
        <vt:i4>92</vt:i4>
      </vt:variant>
      <vt:variant>
        <vt:i4>0</vt:i4>
      </vt:variant>
      <vt:variant>
        <vt:i4>5</vt:i4>
      </vt:variant>
      <vt:variant>
        <vt:lpwstr/>
      </vt:variant>
      <vt:variant>
        <vt:lpwstr>_Toc429746636</vt:lpwstr>
      </vt:variant>
      <vt:variant>
        <vt:i4>1507391</vt:i4>
      </vt:variant>
      <vt:variant>
        <vt:i4>86</vt:i4>
      </vt:variant>
      <vt:variant>
        <vt:i4>0</vt:i4>
      </vt:variant>
      <vt:variant>
        <vt:i4>5</vt:i4>
      </vt:variant>
      <vt:variant>
        <vt:lpwstr/>
      </vt:variant>
      <vt:variant>
        <vt:lpwstr>_Toc429746635</vt:lpwstr>
      </vt:variant>
      <vt:variant>
        <vt:i4>1507391</vt:i4>
      </vt:variant>
      <vt:variant>
        <vt:i4>80</vt:i4>
      </vt:variant>
      <vt:variant>
        <vt:i4>0</vt:i4>
      </vt:variant>
      <vt:variant>
        <vt:i4>5</vt:i4>
      </vt:variant>
      <vt:variant>
        <vt:lpwstr/>
      </vt:variant>
      <vt:variant>
        <vt:lpwstr>_Toc429746634</vt:lpwstr>
      </vt:variant>
      <vt:variant>
        <vt:i4>1507391</vt:i4>
      </vt:variant>
      <vt:variant>
        <vt:i4>74</vt:i4>
      </vt:variant>
      <vt:variant>
        <vt:i4>0</vt:i4>
      </vt:variant>
      <vt:variant>
        <vt:i4>5</vt:i4>
      </vt:variant>
      <vt:variant>
        <vt:lpwstr/>
      </vt:variant>
      <vt:variant>
        <vt:lpwstr>_Toc429746633</vt:lpwstr>
      </vt:variant>
      <vt:variant>
        <vt:i4>1507391</vt:i4>
      </vt:variant>
      <vt:variant>
        <vt:i4>68</vt:i4>
      </vt:variant>
      <vt:variant>
        <vt:i4>0</vt:i4>
      </vt:variant>
      <vt:variant>
        <vt:i4>5</vt:i4>
      </vt:variant>
      <vt:variant>
        <vt:lpwstr/>
      </vt:variant>
      <vt:variant>
        <vt:lpwstr>_Toc429746632</vt:lpwstr>
      </vt:variant>
      <vt:variant>
        <vt:i4>1507391</vt:i4>
      </vt:variant>
      <vt:variant>
        <vt:i4>62</vt:i4>
      </vt:variant>
      <vt:variant>
        <vt:i4>0</vt:i4>
      </vt:variant>
      <vt:variant>
        <vt:i4>5</vt:i4>
      </vt:variant>
      <vt:variant>
        <vt:lpwstr/>
      </vt:variant>
      <vt:variant>
        <vt:lpwstr>_Toc429746631</vt:lpwstr>
      </vt:variant>
      <vt:variant>
        <vt:i4>1507391</vt:i4>
      </vt:variant>
      <vt:variant>
        <vt:i4>56</vt:i4>
      </vt:variant>
      <vt:variant>
        <vt:i4>0</vt:i4>
      </vt:variant>
      <vt:variant>
        <vt:i4>5</vt:i4>
      </vt:variant>
      <vt:variant>
        <vt:lpwstr/>
      </vt:variant>
      <vt:variant>
        <vt:lpwstr>_Toc429746630</vt:lpwstr>
      </vt:variant>
      <vt:variant>
        <vt:i4>1441855</vt:i4>
      </vt:variant>
      <vt:variant>
        <vt:i4>50</vt:i4>
      </vt:variant>
      <vt:variant>
        <vt:i4>0</vt:i4>
      </vt:variant>
      <vt:variant>
        <vt:i4>5</vt:i4>
      </vt:variant>
      <vt:variant>
        <vt:lpwstr/>
      </vt:variant>
      <vt:variant>
        <vt:lpwstr>_Toc429746629</vt:lpwstr>
      </vt:variant>
      <vt:variant>
        <vt:i4>1441855</vt:i4>
      </vt:variant>
      <vt:variant>
        <vt:i4>44</vt:i4>
      </vt:variant>
      <vt:variant>
        <vt:i4>0</vt:i4>
      </vt:variant>
      <vt:variant>
        <vt:i4>5</vt:i4>
      </vt:variant>
      <vt:variant>
        <vt:lpwstr/>
      </vt:variant>
      <vt:variant>
        <vt:lpwstr>_Toc429746628</vt:lpwstr>
      </vt:variant>
      <vt:variant>
        <vt:i4>1441855</vt:i4>
      </vt:variant>
      <vt:variant>
        <vt:i4>38</vt:i4>
      </vt:variant>
      <vt:variant>
        <vt:i4>0</vt:i4>
      </vt:variant>
      <vt:variant>
        <vt:i4>5</vt:i4>
      </vt:variant>
      <vt:variant>
        <vt:lpwstr/>
      </vt:variant>
      <vt:variant>
        <vt:lpwstr>_Toc429746627</vt:lpwstr>
      </vt:variant>
      <vt:variant>
        <vt:i4>1441855</vt:i4>
      </vt:variant>
      <vt:variant>
        <vt:i4>32</vt:i4>
      </vt:variant>
      <vt:variant>
        <vt:i4>0</vt:i4>
      </vt:variant>
      <vt:variant>
        <vt:i4>5</vt:i4>
      </vt:variant>
      <vt:variant>
        <vt:lpwstr/>
      </vt:variant>
      <vt:variant>
        <vt:lpwstr>_Toc429746626</vt:lpwstr>
      </vt:variant>
      <vt:variant>
        <vt:i4>1441855</vt:i4>
      </vt:variant>
      <vt:variant>
        <vt:i4>26</vt:i4>
      </vt:variant>
      <vt:variant>
        <vt:i4>0</vt:i4>
      </vt:variant>
      <vt:variant>
        <vt:i4>5</vt:i4>
      </vt:variant>
      <vt:variant>
        <vt:lpwstr/>
      </vt:variant>
      <vt:variant>
        <vt:lpwstr>_Toc429746625</vt:lpwstr>
      </vt:variant>
      <vt:variant>
        <vt:i4>1441855</vt:i4>
      </vt:variant>
      <vt:variant>
        <vt:i4>20</vt:i4>
      </vt:variant>
      <vt:variant>
        <vt:i4>0</vt:i4>
      </vt:variant>
      <vt:variant>
        <vt:i4>5</vt:i4>
      </vt:variant>
      <vt:variant>
        <vt:lpwstr/>
      </vt:variant>
      <vt:variant>
        <vt:lpwstr>_Toc429746624</vt:lpwstr>
      </vt:variant>
      <vt:variant>
        <vt:i4>1441855</vt:i4>
      </vt:variant>
      <vt:variant>
        <vt:i4>14</vt:i4>
      </vt:variant>
      <vt:variant>
        <vt:i4>0</vt:i4>
      </vt:variant>
      <vt:variant>
        <vt:i4>5</vt:i4>
      </vt:variant>
      <vt:variant>
        <vt:lpwstr/>
      </vt:variant>
      <vt:variant>
        <vt:lpwstr>_Toc429746623</vt:lpwstr>
      </vt:variant>
      <vt:variant>
        <vt:i4>1441855</vt:i4>
      </vt:variant>
      <vt:variant>
        <vt:i4>8</vt:i4>
      </vt:variant>
      <vt:variant>
        <vt:i4>0</vt:i4>
      </vt:variant>
      <vt:variant>
        <vt:i4>5</vt:i4>
      </vt:variant>
      <vt:variant>
        <vt:lpwstr/>
      </vt:variant>
      <vt:variant>
        <vt:lpwstr>_Toc429746622</vt:lpwstr>
      </vt:variant>
      <vt:variant>
        <vt:i4>1441855</vt:i4>
      </vt:variant>
      <vt:variant>
        <vt:i4>2</vt:i4>
      </vt:variant>
      <vt:variant>
        <vt:i4>0</vt:i4>
      </vt:variant>
      <vt:variant>
        <vt:i4>5</vt:i4>
      </vt:variant>
      <vt:variant>
        <vt:lpwstr/>
      </vt:variant>
      <vt:variant>
        <vt:lpwstr>_Toc429746621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2022-10-27T13:47:00Z</dcterms:created>
  <dcterms:modified xsi:type="dcterms:W3CDTF">2022-10-27T13:47:00Z</dcterms:modified>
</cp:coreProperties>
</file>