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7C06" w14:textId="3CC8DBCE" w:rsidR="00845EB1" w:rsidRPr="0068244B" w:rsidRDefault="00845EB1" w:rsidP="00845EB1">
      <w:pPr>
        <w:jc w:val="center"/>
        <w:rPr>
          <w:rFonts w:ascii="Times New Roman" w:hAnsi="Times New Roman"/>
          <w:b/>
          <w:sz w:val="24"/>
          <w:lang w:val="en-US"/>
        </w:rPr>
      </w:pPr>
      <w:r w:rsidRPr="0068244B">
        <w:rPr>
          <w:rFonts w:ascii="Times New Roman" w:hAnsi="Times New Roman"/>
          <w:b/>
          <w:sz w:val="24"/>
          <w:lang w:val="en-US" w:eastAsia="de-DE"/>
        </w:rPr>
        <w:t>EN</w:t>
      </w:r>
      <w:r w:rsidRPr="0068244B">
        <w:rPr>
          <w:rFonts w:ascii="Times New Roman" w:hAnsi="Times New Roman"/>
          <w:b/>
          <w:sz w:val="24"/>
          <w:lang w:val="en-US" w:eastAsia="de-DE"/>
        </w:rPr>
        <w:br/>
      </w:r>
      <w:r w:rsidR="00BF5722" w:rsidRPr="0068244B">
        <w:rPr>
          <w:rFonts w:ascii="Times New Roman" w:hAnsi="Times New Roman"/>
          <w:b/>
          <w:sz w:val="24"/>
          <w:lang w:val="en-US"/>
        </w:rPr>
        <w:t xml:space="preserve">ANNEX </w:t>
      </w:r>
      <w:r w:rsidR="00515147" w:rsidRPr="0068244B">
        <w:rPr>
          <w:rFonts w:ascii="Times New Roman" w:hAnsi="Times New Roman"/>
          <w:b/>
          <w:sz w:val="24"/>
          <w:lang w:val="en-US"/>
        </w:rPr>
        <w:t>VIII</w:t>
      </w:r>
    </w:p>
    <w:p w14:paraId="7586364F" w14:textId="77777777" w:rsidR="00923A16" w:rsidRPr="0068244B" w:rsidRDefault="00923A16" w:rsidP="00845EB1">
      <w:pPr>
        <w:jc w:val="center"/>
        <w:rPr>
          <w:rFonts w:ascii="Times New Roman" w:hAnsi="Times New Roman"/>
          <w:b/>
          <w:sz w:val="24"/>
          <w:lang w:val="en-US"/>
        </w:rPr>
      </w:pPr>
    </w:p>
    <w:p w14:paraId="38DE6923" w14:textId="77777777" w:rsidR="00923A16" w:rsidRPr="0068244B" w:rsidRDefault="00923A16" w:rsidP="00845EB1">
      <w:pPr>
        <w:jc w:val="center"/>
        <w:rPr>
          <w:rFonts w:ascii="Times New Roman" w:hAnsi="Times New Roman"/>
          <w:b/>
          <w:sz w:val="24"/>
          <w:lang w:val="en-US"/>
        </w:rPr>
      </w:pPr>
    </w:p>
    <w:p w14:paraId="60311301" w14:textId="6E170F77" w:rsidR="0040604D" w:rsidRPr="0068244B" w:rsidRDefault="00515147" w:rsidP="00845EB1">
      <w:pPr>
        <w:jc w:val="center"/>
        <w:rPr>
          <w:b/>
          <w:u w:val="single"/>
          <w:lang w:val="en-US"/>
        </w:rPr>
      </w:pPr>
      <w:r w:rsidRPr="0068244B">
        <w:rPr>
          <w:b/>
          <w:u w:val="single"/>
          <w:lang w:val="en-US"/>
        </w:rPr>
        <w:t>‘</w:t>
      </w:r>
      <w:r w:rsidR="0040604D" w:rsidRPr="0068244B">
        <w:rPr>
          <w:b/>
          <w:u w:val="single"/>
          <w:lang w:val="en-US"/>
        </w:rPr>
        <w:t xml:space="preserve">ANNEX </w:t>
      </w:r>
      <w:r w:rsidR="00547E60" w:rsidRPr="0068244B">
        <w:rPr>
          <w:b/>
          <w:u w:val="single"/>
          <w:lang w:val="en-US"/>
        </w:rPr>
        <w:t>XX</w:t>
      </w:r>
      <w:r w:rsidR="00111A31" w:rsidRPr="0068244B">
        <w:rPr>
          <w:b/>
          <w:u w:val="single"/>
          <w:lang w:val="en-US"/>
        </w:rPr>
        <w:t>I</w:t>
      </w:r>
    </w:p>
    <w:p w14:paraId="55B2E7E1" w14:textId="45F1B4D9" w:rsidR="0040604D" w:rsidRPr="0068244B" w:rsidRDefault="0040604D" w:rsidP="00D02291">
      <w:pPr>
        <w:jc w:val="center"/>
        <w:rPr>
          <w:b/>
        </w:rPr>
      </w:pPr>
      <w:r w:rsidRPr="0068244B">
        <w:rPr>
          <w:b/>
        </w:rPr>
        <w:t xml:space="preserve">INSTRUCTIONS FOR COMPLETING THE </w:t>
      </w:r>
      <w:r w:rsidR="00F1110A" w:rsidRPr="0068244B">
        <w:rPr>
          <w:b/>
        </w:rPr>
        <w:t>CONCENTRATION OF COUNTERBALANCING CAPACITY</w:t>
      </w:r>
      <w:r w:rsidRPr="0068244B">
        <w:rPr>
          <w:b/>
        </w:rPr>
        <w:t xml:space="preserve"> TEMPLATE </w:t>
      </w:r>
      <w:r w:rsidR="00125C48" w:rsidRPr="0068244B">
        <w:rPr>
          <w:b/>
        </w:rPr>
        <w:t xml:space="preserve">(C 71.00) </w:t>
      </w:r>
      <w:r w:rsidRPr="0068244B">
        <w:rPr>
          <w:b/>
        </w:rPr>
        <w:t xml:space="preserve">OF ANNEX </w:t>
      </w:r>
      <w:r w:rsidR="001325ED" w:rsidRPr="0068244B">
        <w:rPr>
          <w:b/>
        </w:rPr>
        <w:t>X</w:t>
      </w:r>
      <w:r w:rsidR="00547E60" w:rsidRPr="0068244B">
        <w:rPr>
          <w:b/>
        </w:rPr>
        <w:t>X</w:t>
      </w:r>
    </w:p>
    <w:p w14:paraId="4B767D67" w14:textId="77777777" w:rsidR="0040604D" w:rsidRPr="0068244B" w:rsidRDefault="0040604D" w:rsidP="00845EB1">
      <w:pPr>
        <w:pStyle w:val="InstructionsText"/>
      </w:pPr>
    </w:p>
    <w:p w14:paraId="1BB5AA04" w14:textId="77777777" w:rsidR="00E05204" w:rsidRPr="0068244B" w:rsidRDefault="00E05204" w:rsidP="00E05204">
      <w:pPr>
        <w:rPr>
          <w:rFonts w:ascii="Times New Roman" w:hAnsi="Times New Roman"/>
          <w:sz w:val="24"/>
          <w:u w:val="single"/>
          <w:lang w:val="en-US"/>
        </w:rPr>
      </w:pPr>
      <w:r w:rsidRPr="0068244B">
        <w:rPr>
          <w:rFonts w:ascii="Times New Roman" w:hAnsi="Times New Roman"/>
          <w:sz w:val="24"/>
          <w:u w:val="single"/>
          <w:lang w:val="en-US"/>
        </w:rPr>
        <w:t>Concentration of Counterbalancing Capacity by issuer/counterparty (CCC)</w:t>
      </w:r>
      <w:r w:rsidR="008F6B6B" w:rsidRPr="0068244B">
        <w:rPr>
          <w:rFonts w:ascii="Times New Roman" w:hAnsi="Times New Roman"/>
          <w:sz w:val="24"/>
          <w:u w:val="single"/>
          <w:lang w:val="en-US"/>
        </w:rPr>
        <w:t xml:space="preserve"> (C 71.00)</w:t>
      </w:r>
    </w:p>
    <w:p w14:paraId="23482DE0" w14:textId="77777777" w:rsidR="00111A31" w:rsidRPr="0068244B" w:rsidRDefault="00111A31" w:rsidP="00845EB1">
      <w:pPr>
        <w:pStyle w:val="InstructionsText"/>
      </w:pPr>
    </w:p>
    <w:p w14:paraId="2314BCB9" w14:textId="3D6E6875" w:rsidR="00B1719D" w:rsidRPr="0068244B" w:rsidRDefault="00292B75" w:rsidP="00292B75">
      <w:pPr>
        <w:widowControl w:val="0"/>
        <w:spacing w:before="0" w:after="0" w:line="280" w:lineRule="atLeast"/>
        <w:ind w:left="714" w:hanging="357"/>
        <w:rPr>
          <w:rFonts w:ascii="Times New Roman" w:hAnsi="Times New Roman"/>
          <w:sz w:val="24"/>
        </w:rPr>
      </w:pPr>
      <w:r w:rsidRPr="0068244B">
        <w:rPr>
          <w:rFonts w:ascii="Times New Roman" w:hAnsi="Times New Roman"/>
          <w:szCs w:val="20"/>
        </w:rPr>
        <w:t>1.</w:t>
      </w:r>
      <w:r w:rsidRPr="0068244B">
        <w:rPr>
          <w:rFonts w:ascii="Times New Roman" w:hAnsi="Times New Roman"/>
          <w:szCs w:val="20"/>
        </w:rPr>
        <w:tab/>
      </w:r>
      <w:r w:rsidR="0018399F" w:rsidRPr="0068244B">
        <w:rPr>
          <w:rFonts w:ascii="Times New Roman" w:hAnsi="Times New Roman"/>
          <w:sz w:val="24"/>
        </w:rPr>
        <w:t xml:space="preserve">In order </w:t>
      </w:r>
      <w:r w:rsidR="00B1719D" w:rsidRPr="0068244B">
        <w:rPr>
          <w:rFonts w:ascii="Times New Roman" w:hAnsi="Times New Roman"/>
          <w:sz w:val="24"/>
        </w:rPr>
        <w:t>to collect information about the reporting institutions’ concentration of counterbalancing capacity by the ten largest holdings of assets or liquidity lines granted to the institution for this purpose</w:t>
      </w:r>
      <w:r w:rsidR="0018399F" w:rsidRPr="0068244B">
        <w:rPr>
          <w:rFonts w:ascii="Times New Roman" w:hAnsi="Times New Roman"/>
          <w:sz w:val="24"/>
        </w:rPr>
        <w:t xml:space="preserve"> under template C 71.00, institutions shall apply the instructions contained in this Annex</w:t>
      </w:r>
      <w:r w:rsidR="00B1719D" w:rsidRPr="0068244B">
        <w:rPr>
          <w:rFonts w:ascii="Times New Roman" w:hAnsi="Times New Roman"/>
          <w:sz w:val="24"/>
        </w:rPr>
        <w:t>.</w:t>
      </w:r>
    </w:p>
    <w:p w14:paraId="6D98D095" w14:textId="6A747233" w:rsidR="00672B1B" w:rsidRPr="0068244B" w:rsidRDefault="00292B75" w:rsidP="00292B75">
      <w:pPr>
        <w:widowControl w:val="0"/>
        <w:spacing w:before="0" w:after="0" w:line="280" w:lineRule="atLeast"/>
        <w:ind w:left="714" w:hanging="357"/>
        <w:rPr>
          <w:rFonts w:ascii="Times New Roman" w:hAnsi="Times New Roman"/>
          <w:sz w:val="24"/>
        </w:rPr>
      </w:pPr>
      <w:r w:rsidRPr="0068244B">
        <w:rPr>
          <w:rFonts w:ascii="Times New Roman" w:hAnsi="Times New Roman"/>
          <w:sz w:val="24"/>
        </w:rPr>
        <w:t>2.</w:t>
      </w:r>
      <w:r w:rsidRPr="0068244B">
        <w:rPr>
          <w:rFonts w:ascii="Times New Roman" w:hAnsi="Times New Roman"/>
          <w:sz w:val="24"/>
        </w:rPr>
        <w:tab/>
      </w:r>
      <w:r w:rsidR="0018399F" w:rsidRPr="0068244B">
        <w:rPr>
          <w:rFonts w:ascii="Times New Roman" w:hAnsi="Times New Roman"/>
          <w:sz w:val="24"/>
        </w:rPr>
        <w:t>Where</w:t>
      </w:r>
      <w:r w:rsidR="00C05CCA" w:rsidRPr="0068244B">
        <w:rPr>
          <w:rFonts w:ascii="Times New Roman" w:hAnsi="Times New Roman"/>
          <w:sz w:val="24"/>
        </w:rPr>
        <w:t xml:space="preserve"> </w:t>
      </w:r>
      <w:r w:rsidR="0018399F" w:rsidRPr="0068244B">
        <w:rPr>
          <w:rFonts w:ascii="Times New Roman" w:hAnsi="Times New Roman"/>
          <w:sz w:val="24"/>
        </w:rPr>
        <w:t>a</w:t>
      </w:r>
      <w:r w:rsidR="004C1638" w:rsidRPr="0068244B">
        <w:rPr>
          <w:rFonts w:ascii="Times New Roman" w:hAnsi="Times New Roman"/>
          <w:sz w:val="24"/>
        </w:rPr>
        <w:t>n issuer or</w:t>
      </w:r>
      <w:r w:rsidR="00B1719D" w:rsidRPr="0068244B">
        <w:rPr>
          <w:rFonts w:ascii="Times New Roman" w:hAnsi="Times New Roman"/>
          <w:sz w:val="24"/>
        </w:rPr>
        <w:t xml:space="preserve"> counterparty is assigned to more than one product type</w:t>
      </w:r>
      <w:r w:rsidR="00966F82" w:rsidRPr="0068244B">
        <w:rPr>
          <w:rFonts w:ascii="Times New Roman" w:hAnsi="Times New Roman"/>
          <w:sz w:val="24"/>
        </w:rPr>
        <w:t>,</w:t>
      </w:r>
      <w:r w:rsidR="00672B1B" w:rsidRPr="0068244B">
        <w:rPr>
          <w:rFonts w:ascii="Times New Roman" w:hAnsi="Times New Roman"/>
          <w:sz w:val="24"/>
        </w:rPr>
        <w:t xml:space="preserve"> currency</w:t>
      </w:r>
      <w:r w:rsidR="00966F82" w:rsidRPr="0068244B">
        <w:rPr>
          <w:rFonts w:ascii="Times New Roman" w:hAnsi="Times New Roman"/>
          <w:sz w:val="24"/>
        </w:rPr>
        <w:t xml:space="preserve"> or credit quality step</w:t>
      </w:r>
      <w:r w:rsidR="00B1719D" w:rsidRPr="0068244B">
        <w:rPr>
          <w:rFonts w:ascii="Times New Roman" w:hAnsi="Times New Roman"/>
          <w:sz w:val="24"/>
        </w:rPr>
        <w:t>, the total amount shall be reported</w:t>
      </w:r>
      <w:r w:rsidR="0070093F" w:rsidRPr="0068244B">
        <w:rPr>
          <w:rFonts w:ascii="Times New Roman" w:hAnsi="Times New Roman"/>
          <w:sz w:val="24"/>
        </w:rPr>
        <w:t>. The</w:t>
      </w:r>
      <w:r w:rsidR="00B1719D" w:rsidRPr="0068244B">
        <w:rPr>
          <w:rFonts w:ascii="Times New Roman" w:hAnsi="Times New Roman"/>
          <w:sz w:val="24"/>
        </w:rPr>
        <w:t xml:space="preserve"> product type</w:t>
      </w:r>
      <w:r w:rsidR="00966F82" w:rsidRPr="0068244B">
        <w:rPr>
          <w:rFonts w:ascii="Times New Roman" w:hAnsi="Times New Roman"/>
          <w:sz w:val="24"/>
        </w:rPr>
        <w:t>,</w:t>
      </w:r>
      <w:r w:rsidR="00672B1B" w:rsidRPr="0068244B">
        <w:rPr>
          <w:rFonts w:ascii="Times New Roman" w:hAnsi="Times New Roman"/>
          <w:sz w:val="24"/>
        </w:rPr>
        <w:t xml:space="preserve"> currency</w:t>
      </w:r>
      <w:r w:rsidR="00966F82" w:rsidRPr="0068244B">
        <w:rPr>
          <w:rFonts w:ascii="Times New Roman" w:hAnsi="Times New Roman"/>
          <w:sz w:val="24"/>
        </w:rPr>
        <w:t xml:space="preserve"> or credit quality step</w:t>
      </w:r>
      <w:r w:rsidR="00B1719D" w:rsidRPr="0068244B">
        <w:rPr>
          <w:rFonts w:ascii="Times New Roman" w:hAnsi="Times New Roman"/>
          <w:sz w:val="24"/>
        </w:rPr>
        <w:t xml:space="preserve"> </w:t>
      </w:r>
      <w:r w:rsidR="0070093F" w:rsidRPr="0068244B">
        <w:rPr>
          <w:rFonts w:ascii="Times New Roman" w:hAnsi="Times New Roman"/>
          <w:sz w:val="24"/>
        </w:rPr>
        <w:t xml:space="preserve">to be </w:t>
      </w:r>
      <w:r w:rsidR="00B1719D" w:rsidRPr="0068244B">
        <w:rPr>
          <w:rFonts w:ascii="Times New Roman" w:hAnsi="Times New Roman"/>
          <w:sz w:val="24"/>
        </w:rPr>
        <w:t xml:space="preserve">reported shall be </w:t>
      </w:r>
      <w:r w:rsidR="004B37CF" w:rsidRPr="0068244B">
        <w:rPr>
          <w:rFonts w:ascii="Times New Roman" w:hAnsi="Times New Roman"/>
          <w:sz w:val="24"/>
        </w:rPr>
        <w:t xml:space="preserve">the </w:t>
      </w:r>
      <w:r w:rsidR="0070093F" w:rsidRPr="0068244B">
        <w:rPr>
          <w:rFonts w:ascii="Times New Roman" w:hAnsi="Times New Roman"/>
          <w:sz w:val="24"/>
        </w:rPr>
        <w:t xml:space="preserve">ones that are relevant to </w:t>
      </w:r>
      <w:r w:rsidR="00B1719D" w:rsidRPr="0068244B">
        <w:rPr>
          <w:rFonts w:ascii="Times New Roman" w:hAnsi="Times New Roman"/>
          <w:sz w:val="24"/>
        </w:rPr>
        <w:t xml:space="preserve">the largest proportion of </w:t>
      </w:r>
      <w:r w:rsidR="0070093F" w:rsidRPr="0068244B">
        <w:rPr>
          <w:rFonts w:ascii="Times New Roman" w:hAnsi="Times New Roman"/>
          <w:sz w:val="24"/>
        </w:rPr>
        <w:t>the counterbalancing capacity concentration</w:t>
      </w:r>
      <w:r w:rsidR="00672B1B" w:rsidRPr="0068244B">
        <w:rPr>
          <w:rFonts w:ascii="Times New Roman" w:hAnsi="Times New Roman"/>
          <w:sz w:val="24"/>
        </w:rPr>
        <w:t>.</w:t>
      </w:r>
      <w:r w:rsidR="00F7727B" w:rsidRPr="0068244B">
        <w:rPr>
          <w:rFonts w:ascii="Times New Roman" w:hAnsi="Times New Roman"/>
          <w:sz w:val="24"/>
        </w:rPr>
        <w:t xml:space="preserve"> </w:t>
      </w:r>
    </w:p>
    <w:p w14:paraId="1A86D9FE" w14:textId="2D9CE2DF" w:rsidR="00FF4741" w:rsidRPr="0068244B" w:rsidRDefault="00292B75" w:rsidP="00292B75">
      <w:pPr>
        <w:widowControl w:val="0"/>
        <w:spacing w:before="0" w:after="0" w:line="280" w:lineRule="atLeast"/>
        <w:ind w:left="714" w:hanging="357"/>
        <w:rPr>
          <w:rFonts w:ascii="Times New Roman" w:hAnsi="Times New Roman"/>
          <w:sz w:val="24"/>
        </w:rPr>
      </w:pPr>
      <w:r w:rsidRPr="0068244B">
        <w:rPr>
          <w:rFonts w:ascii="Times New Roman" w:hAnsi="Times New Roman"/>
          <w:sz w:val="24"/>
        </w:rPr>
        <w:t>3.</w:t>
      </w:r>
      <w:r w:rsidRPr="0068244B">
        <w:rPr>
          <w:rFonts w:ascii="Times New Roman" w:hAnsi="Times New Roman"/>
          <w:sz w:val="24"/>
        </w:rPr>
        <w:tab/>
      </w:r>
      <w:r w:rsidR="00672B1B" w:rsidRPr="0068244B">
        <w:rPr>
          <w:rFonts w:ascii="Times New Roman" w:hAnsi="Times New Roman"/>
          <w:sz w:val="24"/>
        </w:rPr>
        <w:t>The counterbalancing capacity</w:t>
      </w:r>
      <w:r w:rsidR="00FF4741" w:rsidRPr="0068244B">
        <w:rPr>
          <w:rFonts w:ascii="Times New Roman" w:hAnsi="Times New Roman"/>
          <w:sz w:val="24"/>
        </w:rPr>
        <w:t xml:space="preserve"> </w:t>
      </w:r>
      <w:r w:rsidR="0018399F" w:rsidRPr="0068244B">
        <w:rPr>
          <w:rFonts w:ascii="Times New Roman" w:hAnsi="Times New Roman"/>
          <w:sz w:val="24"/>
        </w:rPr>
        <w:t>i</w:t>
      </w:r>
      <w:r w:rsidR="00FF4741" w:rsidRPr="0068244B">
        <w:rPr>
          <w:rFonts w:ascii="Times New Roman" w:hAnsi="Times New Roman"/>
          <w:sz w:val="24"/>
        </w:rPr>
        <w:t>n C</w:t>
      </w:r>
      <w:r w:rsidR="00C05CCA" w:rsidRPr="0068244B">
        <w:rPr>
          <w:rFonts w:ascii="Times New Roman" w:hAnsi="Times New Roman"/>
          <w:sz w:val="24"/>
        </w:rPr>
        <w:t xml:space="preserve"> </w:t>
      </w:r>
      <w:r w:rsidR="00FF4741" w:rsidRPr="0068244B">
        <w:rPr>
          <w:rFonts w:ascii="Times New Roman" w:hAnsi="Times New Roman"/>
          <w:sz w:val="24"/>
        </w:rPr>
        <w:t xml:space="preserve">71.00 </w:t>
      </w:r>
      <w:r w:rsidR="0018399F" w:rsidRPr="0068244B">
        <w:rPr>
          <w:rFonts w:ascii="Times New Roman" w:hAnsi="Times New Roman"/>
          <w:sz w:val="24"/>
        </w:rPr>
        <w:t xml:space="preserve">shall be </w:t>
      </w:r>
      <w:r w:rsidR="00FF4741" w:rsidRPr="0068244B">
        <w:rPr>
          <w:rFonts w:ascii="Times New Roman" w:hAnsi="Times New Roman"/>
          <w:sz w:val="24"/>
        </w:rPr>
        <w:t>the same as that in C</w:t>
      </w:r>
      <w:r w:rsidR="00C05CCA" w:rsidRPr="0068244B">
        <w:rPr>
          <w:rFonts w:ascii="Times New Roman" w:hAnsi="Times New Roman"/>
          <w:sz w:val="24"/>
        </w:rPr>
        <w:t> </w:t>
      </w:r>
      <w:r w:rsidR="00FF4741" w:rsidRPr="0068244B">
        <w:rPr>
          <w:rFonts w:ascii="Times New Roman" w:hAnsi="Times New Roman"/>
          <w:sz w:val="24"/>
        </w:rPr>
        <w:t>66.0</w:t>
      </w:r>
      <w:r w:rsidR="00D31B42" w:rsidRPr="0068244B">
        <w:rPr>
          <w:rFonts w:ascii="Times New Roman" w:hAnsi="Times New Roman"/>
          <w:sz w:val="24"/>
        </w:rPr>
        <w:t>1</w:t>
      </w:r>
      <w:r w:rsidR="00FF4741" w:rsidRPr="0068244B">
        <w:rPr>
          <w:rFonts w:ascii="Times New Roman" w:hAnsi="Times New Roman"/>
          <w:sz w:val="24"/>
        </w:rPr>
        <w:t xml:space="preserve"> with the qualification that the assets reported as counterbalancing capacity for the purposes of C</w:t>
      </w:r>
      <w:r w:rsidR="00C05CCA" w:rsidRPr="0068244B">
        <w:t> </w:t>
      </w:r>
      <w:r w:rsidR="00FF4741" w:rsidRPr="0068244B">
        <w:rPr>
          <w:rFonts w:ascii="Times New Roman" w:hAnsi="Times New Roman"/>
          <w:sz w:val="24"/>
        </w:rPr>
        <w:t xml:space="preserve">71.00 </w:t>
      </w:r>
      <w:r w:rsidR="00D665FC" w:rsidRPr="0068244B">
        <w:rPr>
          <w:rFonts w:ascii="Times New Roman" w:hAnsi="Times New Roman"/>
          <w:sz w:val="24"/>
        </w:rPr>
        <w:t>shall</w:t>
      </w:r>
      <w:r w:rsidR="00FF4741" w:rsidRPr="0068244B">
        <w:rPr>
          <w:rFonts w:ascii="Times New Roman" w:hAnsi="Times New Roman"/>
          <w:sz w:val="24"/>
        </w:rPr>
        <w:t xml:space="preserve"> be unencumbered to be available for the institution to convert into cash on the reporting reference date.</w:t>
      </w:r>
    </w:p>
    <w:p w14:paraId="52C95F92" w14:textId="76B8503D" w:rsidR="00EF029F" w:rsidRPr="0068244B" w:rsidRDefault="00292B75" w:rsidP="00292B75">
      <w:pPr>
        <w:widowControl w:val="0"/>
        <w:spacing w:before="0" w:after="0" w:line="280" w:lineRule="atLeast"/>
        <w:ind w:left="714" w:hanging="357"/>
        <w:rPr>
          <w:rFonts w:ascii="Times New Roman" w:hAnsi="Times New Roman"/>
          <w:sz w:val="24"/>
        </w:rPr>
      </w:pPr>
      <w:r w:rsidRPr="0068244B">
        <w:rPr>
          <w:rFonts w:ascii="Times New Roman" w:hAnsi="Times New Roman"/>
          <w:sz w:val="24"/>
        </w:rPr>
        <w:t>4.</w:t>
      </w:r>
      <w:r w:rsidRPr="0068244B">
        <w:rPr>
          <w:rFonts w:ascii="Times New Roman" w:hAnsi="Times New Roman"/>
          <w:sz w:val="24"/>
        </w:rPr>
        <w:tab/>
      </w:r>
      <w:r w:rsidR="00CB05F9" w:rsidRPr="0068244B">
        <w:rPr>
          <w:rFonts w:ascii="Times New Roman" w:hAnsi="Times New Roman"/>
          <w:sz w:val="24"/>
        </w:rPr>
        <w:t>For calculating the concentrations for the purpose of reporting template C</w:t>
      </w:r>
      <w:r w:rsidR="00C05CCA" w:rsidRPr="0068244B">
        <w:rPr>
          <w:rFonts w:ascii="Times New Roman" w:hAnsi="Times New Roman"/>
          <w:sz w:val="24"/>
        </w:rPr>
        <w:t> </w:t>
      </w:r>
      <w:r w:rsidR="00CB05F9" w:rsidRPr="0068244B">
        <w:rPr>
          <w:rFonts w:ascii="Times New Roman" w:hAnsi="Times New Roman"/>
          <w:sz w:val="24"/>
        </w:rPr>
        <w:t xml:space="preserve">71.00 by significant currency, institutions shall </w:t>
      </w:r>
      <w:r w:rsidR="00A36F2D" w:rsidRPr="0068244B">
        <w:rPr>
          <w:rFonts w:ascii="Times New Roman" w:hAnsi="Times New Roman"/>
          <w:sz w:val="24"/>
        </w:rPr>
        <w:t>use</w:t>
      </w:r>
      <w:r w:rsidR="00CB05F9" w:rsidRPr="0068244B">
        <w:rPr>
          <w:rFonts w:ascii="Times New Roman" w:hAnsi="Times New Roman"/>
          <w:sz w:val="24"/>
        </w:rPr>
        <w:t xml:space="preserve"> the concentrations in all currencies.</w:t>
      </w:r>
    </w:p>
    <w:p w14:paraId="5D592CDE" w14:textId="137C55E0" w:rsidR="0005633D" w:rsidRPr="0068244B" w:rsidRDefault="00292B75" w:rsidP="00292B75">
      <w:pPr>
        <w:widowControl w:val="0"/>
        <w:spacing w:before="0" w:after="0" w:line="280" w:lineRule="atLeast"/>
        <w:ind w:left="714" w:hanging="357"/>
        <w:rPr>
          <w:rFonts w:ascii="Times New Roman" w:hAnsi="Times New Roman"/>
          <w:sz w:val="24"/>
        </w:rPr>
      </w:pPr>
      <w:r w:rsidRPr="0068244B">
        <w:rPr>
          <w:rFonts w:ascii="Times New Roman" w:hAnsi="Times New Roman"/>
          <w:sz w:val="24"/>
        </w:rPr>
        <w:t>5.</w:t>
      </w:r>
      <w:r w:rsidRPr="0068244B">
        <w:rPr>
          <w:rFonts w:ascii="Times New Roman" w:hAnsi="Times New Roman"/>
          <w:sz w:val="24"/>
        </w:rPr>
        <w:tab/>
      </w:r>
      <w:r w:rsidR="00EF029F" w:rsidRPr="0068244B">
        <w:rPr>
          <w:rFonts w:ascii="Times New Roman" w:hAnsi="Times New Roman"/>
          <w:sz w:val="24"/>
        </w:rPr>
        <w:t>When a</w:t>
      </w:r>
      <w:r w:rsidR="004C1638" w:rsidRPr="0068244B">
        <w:rPr>
          <w:rFonts w:ascii="Times New Roman" w:hAnsi="Times New Roman"/>
          <w:sz w:val="24"/>
        </w:rPr>
        <w:t>n issuer or</w:t>
      </w:r>
      <w:r w:rsidR="00EF029F" w:rsidRPr="0068244B">
        <w:rPr>
          <w:rFonts w:ascii="Times New Roman" w:hAnsi="Times New Roman"/>
          <w:sz w:val="24"/>
        </w:rPr>
        <w:t xml:space="preserve"> counterparty belongs to several groups of connected clients, it shall be reported only once in the group with the higher counterbalancing capacity concentration.</w:t>
      </w:r>
    </w:p>
    <w:p w14:paraId="2C0B2260" w14:textId="45FF6BEE" w:rsidR="00CB05F9" w:rsidRPr="0068244B" w:rsidRDefault="00292B75" w:rsidP="008C0F1F">
      <w:pPr>
        <w:widowControl w:val="0"/>
        <w:spacing w:before="0" w:after="0" w:line="280" w:lineRule="atLeast"/>
        <w:ind w:left="714" w:hanging="357"/>
        <w:rPr>
          <w:rFonts w:ascii="Times New Roman" w:hAnsi="Times New Roman"/>
          <w:sz w:val="24"/>
        </w:rPr>
      </w:pPr>
      <w:r w:rsidRPr="0068244B">
        <w:rPr>
          <w:rFonts w:ascii="Times New Roman" w:hAnsi="Times New Roman"/>
          <w:sz w:val="24"/>
        </w:rPr>
        <w:t>6.</w:t>
      </w:r>
      <w:r w:rsidRPr="0068244B">
        <w:rPr>
          <w:rFonts w:ascii="Times New Roman" w:hAnsi="Times New Roman"/>
          <w:sz w:val="24"/>
        </w:rPr>
        <w:tab/>
      </w:r>
      <w:r w:rsidR="000A1B1B" w:rsidRPr="0068244B">
        <w:rPr>
          <w:rFonts w:ascii="Times New Roman" w:hAnsi="Times New Roman"/>
          <w:sz w:val="24"/>
        </w:rPr>
        <w:t xml:space="preserve">Except for row </w:t>
      </w:r>
      <w:r w:rsidR="00D47672" w:rsidRPr="0068244B">
        <w:rPr>
          <w:rFonts w:ascii="Times New Roman" w:hAnsi="Times New Roman"/>
          <w:sz w:val="24"/>
        </w:rPr>
        <w:t>0</w:t>
      </w:r>
      <w:r w:rsidR="000A1B1B" w:rsidRPr="0068244B">
        <w:rPr>
          <w:rFonts w:ascii="Times New Roman" w:hAnsi="Times New Roman"/>
          <w:sz w:val="24"/>
        </w:rPr>
        <w:t>120, c</w:t>
      </w:r>
      <w:r w:rsidR="0005633D" w:rsidRPr="0068244B">
        <w:rPr>
          <w:rFonts w:ascii="Times New Roman" w:hAnsi="Times New Roman"/>
          <w:sz w:val="24"/>
        </w:rPr>
        <w:t>oncentrations of counterbalancing capacity with a central bank as</w:t>
      </w:r>
      <w:r w:rsidR="004C1638" w:rsidRPr="0068244B">
        <w:rPr>
          <w:rFonts w:ascii="Times New Roman" w:hAnsi="Times New Roman"/>
          <w:sz w:val="24"/>
        </w:rPr>
        <w:t xml:space="preserve"> issuer or</w:t>
      </w:r>
      <w:r w:rsidR="0005633D" w:rsidRPr="0068244B">
        <w:rPr>
          <w:rFonts w:ascii="Times New Roman" w:hAnsi="Times New Roman"/>
          <w:sz w:val="24"/>
        </w:rPr>
        <w:t xml:space="preserve"> counterparty shall not be reported in this template.</w:t>
      </w:r>
      <w:r w:rsidR="00CB05F9" w:rsidRPr="0068244B">
        <w:rPr>
          <w:rFonts w:ascii="Times New Roman" w:hAnsi="Times New Roman"/>
          <w:sz w:val="24"/>
        </w:rPr>
        <w:t xml:space="preserve"> </w:t>
      </w:r>
      <w:r w:rsidR="00C05CCA" w:rsidRPr="0068244B">
        <w:rPr>
          <w:rFonts w:ascii="Times New Roman" w:hAnsi="Times New Roman"/>
          <w:sz w:val="24"/>
        </w:rPr>
        <w:t>In the event that an institution has pre-positioned assets at a central bank for standard liquidity operations and to the extent that these assets fall under the top ten issuers or counterparties of unencumbered counterbalancing capacity, the institution shall report the original issuer and the original product type.</w:t>
      </w:r>
    </w:p>
    <w:p w14:paraId="423289FA" w14:textId="77777777" w:rsidR="00E05204" w:rsidRPr="0068244B" w:rsidRDefault="00E05204" w:rsidP="00E05204">
      <w:pPr>
        <w:rPr>
          <w:rFonts w:ascii="Times New Roman" w:hAnsi="Times New Roman"/>
          <w:sz w:val="24"/>
          <w:lang w:val="en-US"/>
        </w:rPr>
      </w:pPr>
    </w:p>
    <w:tbl>
      <w:tblPr>
        <w:tblStyle w:val="TableGrid"/>
        <w:tblW w:w="0" w:type="auto"/>
        <w:tblLook w:val="04A0" w:firstRow="1" w:lastRow="0" w:firstColumn="1" w:lastColumn="0" w:noHBand="0" w:noVBand="1"/>
      </w:tblPr>
      <w:tblGrid>
        <w:gridCol w:w="990"/>
        <w:gridCol w:w="7306"/>
      </w:tblGrid>
      <w:tr w:rsidR="00E05204" w:rsidRPr="0068244B" w14:paraId="4310E2B4" w14:textId="77777777" w:rsidTr="00845EB1">
        <w:tc>
          <w:tcPr>
            <w:tcW w:w="990" w:type="dxa"/>
            <w:shd w:val="clear" w:color="auto" w:fill="EEECE1" w:themeFill="background2"/>
          </w:tcPr>
          <w:p w14:paraId="27E41224" w14:textId="77777777" w:rsidR="00E05204" w:rsidRPr="0068244B" w:rsidRDefault="00E05204" w:rsidP="00E31CAF">
            <w:pPr>
              <w:rPr>
                <w:rFonts w:ascii="Times New Roman" w:hAnsi="Times New Roman"/>
                <w:sz w:val="24"/>
                <w:lang w:val="en-US"/>
              </w:rPr>
            </w:pPr>
            <w:r w:rsidRPr="0068244B">
              <w:rPr>
                <w:rFonts w:ascii="Times New Roman" w:hAnsi="Times New Roman"/>
                <w:sz w:val="24"/>
                <w:lang w:val="en-US"/>
              </w:rPr>
              <w:t>Column</w:t>
            </w:r>
          </w:p>
        </w:tc>
        <w:tc>
          <w:tcPr>
            <w:tcW w:w="7306" w:type="dxa"/>
            <w:shd w:val="clear" w:color="auto" w:fill="EEECE1" w:themeFill="background2"/>
          </w:tcPr>
          <w:p w14:paraId="7398AC24" w14:textId="77777777" w:rsidR="00E05204" w:rsidRPr="0068244B" w:rsidRDefault="00E05204" w:rsidP="00E31CAF">
            <w:pPr>
              <w:rPr>
                <w:rFonts w:ascii="Times New Roman" w:hAnsi="Times New Roman"/>
                <w:sz w:val="24"/>
                <w:lang w:val="en-US"/>
              </w:rPr>
            </w:pPr>
            <w:r w:rsidRPr="0068244B">
              <w:rPr>
                <w:rFonts w:ascii="Times New Roman" w:hAnsi="Times New Roman"/>
                <w:sz w:val="24"/>
                <w:lang w:val="en-US"/>
              </w:rPr>
              <w:t>Legal references and instructions</w:t>
            </w:r>
          </w:p>
        </w:tc>
      </w:tr>
      <w:tr w:rsidR="00E05204" w:rsidRPr="0068244B" w14:paraId="32AA40F1" w14:textId="77777777" w:rsidTr="00845EB1">
        <w:tc>
          <w:tcPr>
            <w:tcW w:w="990" w:type="dxa"/>
          </w:tcPr>
          <w:p w14:paraId="79D5F65E" w14:textId="172F12E8" w:rsidR="00E05204" w:rsidRPr="0068244B" w:rsidRDefault="00D47672" w:rsidP="00047ECB">
            <w:pPr>
              <w:rPr>
                <w:rFonts w:ascii="Times New Roman" w:hAnsi="Times New Roman"/>
                <w:sz w:val="24"/>
                <w:lang w:val="en-US"/>
              </w:rPr>
            </w:pPr>
            <w:r w:rsidRPr="0068244B">
              <w:rPr>
                <w:rFonts w:ascii="Times New Roman" w:hAnsi="Times New Roman"/>
                <w:sz w:val="24"/>
                <w:lang w:val="en-US"/>
              </w:rPr>
              <w:t>0</w:t>
            </w:r>
            <w:r w:rsidR="00125C48" w:rsidRPr="0068244B">
              <w:rPr>
                <w:rFonts w:ascii="Times New Roman" w:hAnsi="Times New Roman"/>
                <w:sz w:val="24"/>
                <w:lang w:val="en-US"/>
              </w:rPr>
              <w:t>010</w:t>
            </w:r>
          </w:p>
        </w:tc>
        <w:tc>
          <w:tcPr>
            <w:tcW w:w="7306" w:type="dxa"/>
          </w:tcPr>
          <w:p w14:paraId="20597254" w14:textId="73E89BCB" w:rsidR="00E05204" w:rsidRPr="0068244B" w:rsidRDefault="004C1638" w:rsidP="00D665FC">
            <w:pPr>
              <w:rPr>
                <w:rFonts w:ascii="Times New Roman" w:hAnsi="Times New Roman"/>
                <w:b/>
                <w:sz w:val="24"/>
                <w:u w:val="single"/>
                <w:lang w:val="en-US"/>
              </w:rPr>
            </w:pPr>
            <w:r w:rsidRPr="0068244B">
              <w:rPr>
                <w:rFonts w:ascii="Times New Roman" w:hAnsi="Times New Roman"/>
                <w:b/>
                <w:sz w:val="24"/>
                <w:u w:val="single"/>
                <w:lang w:val="en-US"/>
              </w:rPr>
              <w:t xml:space="preserve">Issuer </w:t>
            </w:r>
            <w:r w:rsidR="00E05204" w:rsidRPr="0068244B">
              <w:rPr>
                <w:rFonts w:ascii="Times New Roman" w:hAnsi="Times New Roman"/>
                <w:b/>
                <w:sz w:val="24"/>
                <w:u w:val="single"/>
                <w:lang w:val="en-US"/>
              </w:rPr>
              <w:t>Name</w:t>
            </w:r>
          </w:p>
          <w:p w14:paraId="36B02E7E" w14:textId="3FDFB966" w:rsidR="00E05204" w:rsidRPr="0068244B" w:rsidRDefault="00E05204" w:rsidP="00D665FC">
            <w:pPr>
              <w:rPr>
                <w:rFonts w:ascii="Times New Roman" w:hAnsi="Times New Roman"/>
                <w:sz w:val="24"/>
                <w:lang w:val="en-US"/>
              </w:rPr>
            </w:pPr>
            <w:r w:rsidRPr="0068244B">
              <w:rPr>
                <w:rFonts w:ascii="Times New Roman" w:hAnsi="Times New Roman"/>
                <w:sz w:val="24"/>
                <w:lang w:val="en-US"/>
              </w:rPr>
              <w:t xml:space="preserve">The name of the top ten </w:t>
            </w:r>
            <w:r w:rsidR="004C1638" w:rsidRPr="0068244B">
              <w:rPr>
                <w:rFonts w:ascii="Times New Roman" w:hAnsi="Times New Roman"/>
                <w:sz w:val="24"/>
                <w:lang w:val="en-US"/>
              </w:rPr>
              <w:t xml:space="preserve">issuers </w:t>
            </w:r>
            <w:r w:rsidRPr="0068244B">
              <w:rPr>
                <w:rFonts w:ascii="Times New Roman" w:hAnsi="Times New Roman"/>
                <w:sz w:val="24"/>
                <w:lang w:val="en-US"/>
              </w:rPr>
              <w:t xml:space="preserve">of unencumbered assets or </w:t>
            </w:r>
            <w:r w:rsidR="004C1638" w:rsidRPr="0068244B">
              <w:rPr>
                <w:rFonts w:ascii="Times New Roman" w:hAnsi="Times New Roman"/>
                <w:sz w:val="24"/>
                <w:lang w:val="en-US"/>
              </w:rPr>
              <w:t xml:space="preserve">counterparties of </w:t>
            </w:r>
            <w:r w:rsidRPr="0068244B">
              <w:rPr>
                <w:rFonts w:ascii="Times New Roman" w:hAnsi="Times New Roman"/>
                <w:sz w:val="24"/>
                <w:lang w:val="en-US"/>
              </w:rPr>
              <w:t xml:space="preserve">undrawn committed liquidity lines granted to the institution shall be recorded in column </w:t>
            </w:r>
            <w:r w:rsidR="00125C48" w:rsidRPr="0068244B">
              <w:rPr>
                <w:rFonts w:ascii="Times New Roman" w:hAnsi="Times New Roman"/>
                <w:sz w:val="24"/>
                <w:lang w:val="en-US"/>
              </w:rPr>
              <w:t>0</w:t>
            </w:r>
            <w:r w:rsidR="00D47672" w:rsidRPr="0068244B">
              <w:rPr>
                <w:rFonts w:ascii="Times New Roman" w:hAnsi="Times New Roman"/>
                <w:sz w:val="24"/>
                <w:lang w:val="en-US"/>
              </w:rPr>
              <w:t>0</w:t>
            </w:r>
            <w:r w:rsidR="00125C48" w:rsidRPr="0068244B">
              <w:rPr>
                <w:rFonts w:ascii="Times New Roman" w:hAnsi="Times New Roman"/>
                <w:sz w:val="24"/>
                <w:lang w:val="en-US"/>
              </w:rPr>
              <w:t>10</w:t>
            </w:r>
            <w:r w:rsidRPr="0068244B">
              <w:rPr>
                <w:rFonts w:ascii="Times New Roman" w:hAnsi="Times New Roman"/>
                <w:sz w:val="24"/>
                <w:lang w:val="en-US"/>
              </w:rPr>
              <w:t xml:space="preserve"> in a descending fashion. The largest item will be recorded in 1.</w:t>
            </w:r>
            <w:r w:rsidR="00125C48" w:rsidRPr="0068244B">
              <w:rPr>
                <w:rFonts w:ascii="Times New Roman" w:hAnsi="Times New Roman"/>
                <w:sz w:val="24"/>
                <w:lang w:val="en-US"/>
              </w:rPr>
              <w:t>0</w:t>
            </w:r>
            <w:r w:rsidRPr="0068244B">
              <w:rPr>
                <w:rFonts w:ascii="Times New Roman" w:hAnsi="Times New Roman"/>
                <w:sz w:val="24"/>
                <w:lang w:val="en-US"/>
              </w:rPr>
              <w:t>1, the second in line item 1.</w:t>
            </w:r>
            <w:r w:rsidR="00125C48" w:rsidRPr="0068244B">
              <w:rPr>
                <w:rFonts w:ascii="Times New Roman" w:hAnsi="Times New Roman"/>
                <w:sz w:val="24"/>
                <w:lang w:val="en-US"/>
              </w:rPr>
              <w:t>0</w:t>
            </w:r>
            <w:r w:rsidRPr="0068244B">
              <w:rPr>
                <w:rFonts w:ascii="Times New Roman" w:hAnsi="Times New Roman"/>
                <w:sz w:val="24"/>
                <w:lang w:val="en-US"/>
              </w:rPr>
              <w:t>2, and so on.</w:t>
            </w:r>
            <w:r w:rsidR="00695052" w:rsidRPr="0068244B">
              <w:t xml:space="preserve"> I</w:t>
            </w:r>
            <w:r w:rsidR="00695052" w:rsidRPr="0068244B">
              <w:rPr>
                <w:rFonts w:ascii="Times New Roman" w:hAnsi="Times New Roman"/>
                <w:sz w:val="24"/>
                <w:lang w:val="en-US"/>
              </w:rPr>
              <w:t xml:space="preserve">ssuers and </w:t>
            </w:r>
            <w:r w:rsidR="00695052" w:rsidRPr="0068244B">
              <w:rPr>
                <w:rFonts w:ascii="Times New Roman" w:hAnsi="Times New Roman"/>
                <w:sz w:val="24"/>
                <w:lang w:val="en-US"/>
              </w:rPr>
              <w:lastRenderedPageBreak/>
              <w:t>counterparties forming a group of connected clients shall be reported as one single concentration</w:t>
            </w:r>
            <w:r w:rsidR="00515147" w:rsidRPr="0068244B">
              <w:rPr>
                <w:rFonts w:ascii="Times New Roman" w:hAnsi="Times New Roman"/>
                <w:sz w:val="24"/>
                <w:lang w:val="en-US"/>
              </w:rPr>
              <w:t>.</w:t>
            </w:r>
          </w:p>
          <w:p w14:paraId="4E01B5DA" w14:textId="4F0E946D" w:rsidR="00E05204" w:rsidRPr="0068244B" w:rsidRDefault="00E05204" w:rsidP="00C05CCA">
            <w:pPr>
              <w:rPr>
                <w:rFonts w:ascii="Times New Roman" w:hAnsi="Times New Roman"/>
                <w:sz w:val="24"/>
                <w:lang w:val="en-US"/>
              </w:rPr>
            </w:pPr>
            <w:r w:rsidRPr="0068244B">
              <w:rPr>
                <w:rFonts w:ascii="Times New Roman" w:hAnsi="Times New Roman"/>
                <w:sz w:val="24"/>
                <w:lang w:val="en-US"/>
              </w:rPr>
              <w:t xml:space="preserve">The </w:t>
            </w:r>
            <w:r w:rsidR="004C1638" w:rsidRPr="0068244B">
              <w:rPr>
                <w:rFonts w:ascii="Times New Roman" w:hAnsi="Times New Roman"/>
                <w:sz w:val="24"/>
                <w:lang w:val="en-US"/>
              </w:rPr>
              <w:t xml:space="preserve">issuer or </w:t>
            </w:r>
            <w:r w:rsidRPr="0068244B">
              <w:rPr>
                <w:rFonts w:ascii="Times New Roman" w:hAnsi="Times New Roman"/>
                <w:sz w:val="24"/>
                <w:lang w:val="en-US"/>
              </w:rPr>
              <w:t xml:space="preserve">counterparty name recorded shall be the </w:t>
            </w:r>
            <w:r w:rsidR="00D665FC" w:rsidRPr="0068244B">
              <w:rPr>
                <w:rFonts w:ascii="Times New Roman" w:hAnsi="Times New Roman"/>
                <w:sz w:val="24"/>
                <w:lang w:val="en-US"/>
              </w:rPr>
              <w:t xml:space="preserve">full name of the </w:t>
            </w:r>
            <w:r w:rsidRPr="0068244B">
              <w:rPr>
                <w:rFonts w:ascii="Times New Roman" w:hAnsi="Times New Roman"/>
                <w:sz w:val="24"/>
                <w:lang w:val="en-US"/>
              </w:rPr>
              <w:t>legal entity which issued the assets or granted the liquidity lines, including any references</w:t>
            </w:r>
            <w:r w:rsidR="00D665FC" w:rsidRPr="0068244B">
              <w:rPr>
                <w:rFonts w:ascii="Times New Roman" w:hAnsi="Times New Roman"/>
                <w:sz w:val="24"/>
                <w:lang w:val="en-US"/>
              </w:rPr>
              <w:t xml:space="preserve"> </w:t>
            </w:r>
            <w:r w:rsidR="00D665FC" w:rsidRPr="0068244B">
              <w:rPr>
                <w:rFonts w:ascii="Times New Roman" w:hAnsi="Times New Roman"/>
                <w:sz w:val="24"/>
              </w:rPr>
              <w:t>to the company type in accordance with the national company law.</w:t>
            </w:r>
          </w:p>
        </w:tc>
      </w:tr>
      <w:tr w:rsidR="00E05204" w:rsidRPr="0068244B" w14:paraId="5485249F" w14:textId="77777777" w:rsidTr="00845EB1">
        <w:tc>
          <w:tcPr>
            <w:tcW w:w="990" w:type="dxa"/>
          </w:tcPr>
          <w:p w14:paraId="488A21BC" w14:textId="3FB00318" w:rsidR="00E05204" w:rsidRPr="0068244B" w:rsidRDefault="00125C48" w:rsidP="00047ECB">
            <w:pPr>
              <w:rPr>
                <w:rFonts w:ascii="Times New Roman" w:hAnsi="Times New Roman"/>
                <w:sz w:val="24"/>
                <w:lang w:val="en-US"/>
              </w:rPr>
            </w:pPr>
            <w:r w:rsidRPr="0068244B">
              <w:rPr>
                <w:rFonts w:ascii="Times New Roman" w:hAnsi="Times New Roman"/>
                <w:sz w:val="24"/>
                <w:lang w:val="en-US"/>
              </w:rPr>
              <w:lastRenderedPageBreak/>
              <w:t>0</w:t>
            </w:r>
            <w:r w:rsidR="00D47672" w:rsidRPr="0068244B">
              <w:rPr>
                <w:rFonts w:ascii="Times New Roman" w:hAnsi="Times New Roman"/>
                <w:sz w:val="24"/>
                <w:lang w:val="en-US"/>
              </w:rPr>
              <w:t>0</w:t>
            </w:r>
            <w:r w:rsidRPr="0068244B">
              <w:rPr>
                <w:rFonts w:ascii="Times New Roman" w:hAnsi="Times New Roman"/>
                <w:sz w:val="24"/>
                <w:lang w:val="en-US"/>
              </w:rPr>
              <w:t>20</w:t>
            </w:r>
          </w:p>
        </w:tc>
        <w:tc>
          <w:tcPr>
            <w:tcW w:w="7306" w:type="dxa"/>
          </w:tcPr>
          <w:p w14:paraId="763D0E5F" w14:textId="77777777" w:rsidR="00E05204" w:rsidRPr="0068244B" w:rsidRDefault="00E05204" w:rsidP="00C05CCA">
            <w:pPr>
              <w:rPr>
                <w:rStyle w:val="InstructionsTabelleberschrift"/>
                <w:rFonts w:ascii="Times New Roman" w:hAnsi="Times New Roman"/>
                <w:sz w:val="24"/>
              </w:rPr>
            </w:pPr>
            <w:r w:rsidRPr="0068244B">
              <w:rPr>
                <w:rStyle w:val="InstructionsTabelleberschrift"/>
                <w:rFonts w:ascii="Times New Roman" w:hAnsi="Times New Roman"/>
                <w:sz w:val="24"/>
              </w:rPr>
              <w:t xml:space="preserve">LEI </w:t>
            </w:r>
            <w:r w:rsidR="00265C4F" w:rsidRPr="0068244B">
              <w:rPr>
                <w:rStyle w:val="InstructionsTabelleberschrift"/>
                <w:rFonts w:ascii="Times New Roman" w:hAnsi="Times New Roman"/>
                <w:sz w:val="24"/>
              </w:rPr>
              <w:t>c</w:t>
            </w:r>
            <w:r w:rsidRPr="0068244B">
              <w:rPr>
                <w:rStyle w:val="InstructionsTabelleberschrift"/>
                <w:rFonts w:ascii="Times New Roman" w:hAnsi="Times New Roman"/>
                <w:sz w:val="24"/>
              </w:rPr>
              <w:t>ode</w:t>
            </w:r>
          </w:p>
          <w:p w14:paraId="7861A1B2" w14:textId="0A8A8B52" w:rsidR="00E05204" w:rsidRPr="0068244B" w:rsidRDefault="00E05204" w:rsidP="00C05CCA">
            <w:pPr>
              <w:rPr>
                <w:b/>
                <w:sz w:val="24"/>
                <w:lang w:val="en-US"/>
              </w:rPr>
            </w:pPr>
            <w:r w:rsidRPr="0068244B">
              <w:rPr>
                <w:rFonts w:ascii="Times New Roman" w:hAnsi="Times New Roman"/>
                <w:bCs/>
                <w:sz w:val="24"/>
                <w:lang w:val="en-US"/>
              </w:rPr>
              <w:t xml:space="preserve">The legal entity </w:t>
            </w:r>
            <w:r w:rsidRPr="0068244B">
              <w:rPr>
                <w:rFonts w:ascii="Times New Roman" w:hAnsi="Times New Roman"/>
                <w:sz w:val="24"/>
                <w:lang w:val="en-US"/>
              </w:rPr>
              <w:t>identifier</w:t>
            </w:r>
            <w:r w:rsidRPr="0068244B">
              <w:rPr>
                <w:rFonts w:ascii="Times New Roman" w:hAnsi="Times New Roman"/>
                <w:bCs/>
                <w:sz w:val="24"/>
                <w:lang w:val="en-US"/>
              </w:rPr>
              <w:t xml:space="preserve"> code of the counterparty. </w:t>
            </w:r>
          </w:p>
        </w:tc>
      </w:tr>
      <w:tr w:rsidR="00E05204" w:rsidRPr="0068244B" w14:paraId="2B1BAA00" w14:textId="77777777" w:rsidTr="00845EB1">
        <w:tc>
          <w:tcPr>
            <w:tcW w:w="990" w:type="dxa"/>
          </w:tcPr>
          <w:p w14:paraId="12DAC473" w14:textId="0D9F5636" w:rsidR="00E05204" w:rsidRPr="0068244B" w:rsidRDefault="00125C48" w:rsidP="00047ECB">
            <w:pPr>
              <w:rPr>
                <w:rFonts w:ascii="Times New Roman" w:hAnsi="Times New Roman"/>
                <w:sz w:val="24"/>
                <w:lang w:val="en-US"/>
              </w:rPr>
            </w:pPr>
            <w:r w:rsidRPr="0068244B">
              <w:rPr>
                <w:rFonts w:ascii="Times New Roman" w:hAnsi="Times New Roman"/>
                <w:sz w:val="24"/>
                <w:lang w:val="en-US"/>
              </w:rPr>
              <w:t>0</w:t>
            </w:r>
            <w:r w:rsidR="00D47672" w:rsidRPr="0068244B">
              <w:rPr>
                <w:rFonts w:ascii="Times New Roman" w:hAnsi="Times New Roman"/>
                <w:sz w:val="24"/>
                <w:lang w:val="en-US"/>
              </w:rPr>
              <w:t>0</w:t>
            </w:r>
            <w:r w:rsidRPr="0068244B">
              <w:rPr>
                <w:rFonts w:ascii="Times New Roman" w:hAnsi="Times New Roman"/>
                <w:sz w:val="24"/>
                <w:lang w:val="en-US"/>
              </w:rPr>
              <w:t>30</w:t>
            </w:r>
          </w:p>
        </w:tc>
        <w:tc>
          <w:tcPr>
            <w:tcW w:w="7306" w:type="dxa"/>
          </w:tcPr>
          <w:p w14:paraId="6DAF3DB3" w14:textId="4B8E1486" w:rsidR="00E05204" w:rsidRPr="0068244B" w:rsidRDefault="004C1638" w:rsidP="00D665FC">
            <w:pPr>
              <w:rPr>
                <w:rFonts w:ascii="Times New Roman" w:hAnsi="Times New Roman"/>
                <w:b/>
                <w:sz w:val="24"/>
                <w:u w:val="single"/>
                <w:lang w:val="en-US"/>
              </w:rPr>
            </w:pPr>
            <w:r w:rsidRPr="0068244B">
              <w:rPr>
                <w:rFonts w:ascii="Times New Roman" w:hAnsi="Times New Roman"/>
                <w:b/>
                <w:sz w:val="24"/>
                <w:u w:val="single"/>
                <w:lang w:val="en-US"/>
              </w:rPr>
              <w:t xml:space="preserve">Issuer </w:t>
            </w:r>
            <w:r w:rsidR="00265C4F" w:rsidRPr="0068244B">
              <w:rPr>
                <w:rFonts w:ascii="Times New Roman" w:hAnsi="Times New Roman"/>
                <w:b/>
                <w:sz w:val="24"/>
                <w:u w:val="single"/>
                <w:lang w:val="en-US"/>
              </w:rPr>
              <w:t>S</w:t>
            </w:r>
            <w:r w:rsidR="00E05204" w:rsidRPr="0068244B">
              <w:rPr>
                <w:rFonts w:ascii="Times New Roman" w:hAnsi="Times New Roman"/>
                <w:b/>
                <w:sz w:val="24"/>
                <w:u w:val="single"/>
                <w:lang w:val="en-US"/>
              </w:rPr>
              <w:t>ector</w:t>
            </w:r>
          </w:p>
          <w:p w14:paraId="62F53B63" w14:textId="5D0C886D" w:rsidR="00E05204" w:rsidRPr="0068244B" w:rsidRDefault="00E05204" w:rsidP="00845EB1">
            <w:pPr>
              <w:pStyle w:val="InstructionsText"/>
              <w:rPr>
                <w:rStyle w:val="FormatvorlageInstructionsTabelleText"/>
                <w:rFonts w:ascii="Times New Roman" w:hAnsi="Times New Roman"/>
                <w:sz w:val="24"/>
              </w:rPr>
            </w:pPr>
            <w:r w:rsidRPr="0068244B">
              <w:rPr>
                <w:rStyle w:val="FormatvorlageInstructionsTabelleText"/>
                <w:rFonts w:ascii="Times New Roman" w:hAnsi="Times New Roman"/>
                <w:sz w:val="24"/>
              </w:rPr>
              <w:t xml:space="preserve">One sector shall be allocated to </w:t>
            </w:r>
            <w:r w:rsidR="00D665FC" w:rsidRPr="0068244B">
              <w:rPr>
                <w:rStyle w:val="FormatvorlageInstructionsTabelleText"/>
                <w:rFonts w:ascii="Times New Roman" w:hAnsi="Times New Roman"/>
                <w:sz w:val="24"/>
              </w:rPr>
              <w:t xml:space="preserve">each </w:t>
            </w:r>
            <w:r w:rsidR="00027397" w:rsidRPr="0068244B">
              <w:rPr>
                <w:rStyle w:val="FormatvorlageInstructionsTabelleText"/>
                <w:rFonts w:ascii="Times New Roman" w:hAnsi="Times New Roman"/>
                <w:sz w:val="24"/>
              </w:rPr>
              <w:t>issuer or</w:t>
            </w:r>
            <w:r w:rsidR="004C1638" w:rsidRPr="0068244B">
              <w:rPr>
                <w:rStyle w:val="FormatvorlageInstructionsTabelleText"/>
                <w:rFonts w:ascii="Times New Roman" w:hAnsi="Times New Roman"/>
                <w:sz w:val="24"/>
              </w:rPr>
              <w:t xml:space="preserve"> </w:t>
            </w:r>
            <w:r w:rsidRPr="0068244B">
              <w:rPr>
                <w:rStyle w:val="FormatvorlageInstructionsTabelleText"/>
                <w:rFonts w:ascii="Times New Roman" w:hAnsi="Times New Roman"/>
                <w:sz w:val="24"/>
              </w:rPr>
              <w:t xml:space="preserve">counterparty on the basis of </w:t>
            </w:r>
            <w:r w:rsidR="00515147" w:rsidRPr="0068244B">
              <w:rPr>
                <w:rStyle w:val="FormatvorlageInstructionsTabelleText"/>
                <w:rFonts w:ascii="Times New Roman" w:hAnsi="Times New Roman"/>
                <w:sz w:val="24"/>
              </w:rPr>
              <w:t>following</w:t>
            </w:r>
            <w:r w:rsidR="00191FF3" w:rsidRPr="0068244B">
              <w:rPr>
                <w:rStyle w:val="FormatvorlageInstructionsTabelleText"/>
                <w:rFonts w:ascii="Times New Roman" w:hAnsi="Times New Roman"/>
                <w:sz w:val="24"/>
              </w:rPr>
              <w:t xml:space="preserve"> financial reporting (</w:t>
            </w:r>
            <w:r w:rsidR="00515147" w:rsidRPr="0068244B">
              <w:rPr>
                <w:rStyle w:val="FormatvorlageInstructionsTabelleText"/>
                <w:rFonts w:ascii="Times New Roman" w:hAnsi="Times New Roman"/>
                <w:sz w:val="24"/>
              </w:rPr>
              <w:t>[</w:t>
            </w:r>
            <w:r w:rsidRPr="0068244B">
              <w:rPr>
                <w:rStyle w:val="FormatvorlageInstructionsTabelleText"/>
                <w:rFonts w:ascii="Times New Roman" w:hAnsi="Times New Roman"/>
                <w:sz w:val="24"/>
              </w:rPr>
              <w:t>FINREP</w:t>
            </w:r>
            <w:r w:rsidR="00515147" w:rsidRPr="0068244B">
              <w:rPr>
                <w:rStyle w:val="FormatvorlageInstructionsTabelleText"/>
                <w:rFonts w:ascii="Times New Roman" w:hAnsi="Times New Roman"/>
                <w:sz w:val="24"/>
              </w:rPr>
              <w:t>]</w:t>
            </w:r>
            <w:r w:rsidR="00191FF3" w:rsidRPr="0068244B">
              <w:rPr>
                <w:rStyle w:val="FormatvorlageInstructionsTabelleText"/>
                <w:rFonts w:ascii="Times New Roman" w:hAnsi="Times New Roman"/>
                <w:sz w:val="24"/>
              </w:rPr>
              <w:t>)</w:t>
            </w:r>
            <w:r w:rsidRPr="0068244B">
              <w:rPr>
                <w:rStyle w:val="FormatvorlageInstructionsTabelleText"/>
                <w:rFonts w:ascii="Times New Roman" w:hAnsi="Times New Roman"/>
                <w:sz w:val="24"/>
              </w:rPr>
              <w:t xml:space="preserve"> economic sector classes</w:t>
            </w:r>
            <w:r w:rsidR="00191FF3" w:rsidRPr="0068244B">
              <w:rPr>
                <w:rStyle w:val="FormatvorlageInstructionsTabelleText"/>
                <w:rFonts w:ascii="Times New Roman" w:hAnsi="Times New Roman"/>
                <w:sz w:val="24"/>
              </w:rPr>
              <w:t xml:space="preserve"> (part 1 Annex V to this Implementing Regulation)</w:t>
            </w:r>
            <w:r w:rsidRPr="0068244B">
              <w:rPr>
                <w:rStyle w:val="FormatvorlageInstructionsTabelleText"/>
                <w:rFonts w:ascii="Times New Roman" w:hAnsi="Times New Roman"/>
                <w:sz w:val="24"/>
              </w:rPr>
              <w:t>:</w:t>
            </w:r>
          </w:p>
          <w:p w14:paraId="563180C8" w14:textId="31A14F6F" w:rsidR="00E05204" w:rsidRPr="0068244B" w:rsidRDefault="00E05204" w:rsidP="00845EB1">
            <w:pPr>
              <w:pStyle w:val="InstructionsText"/>
              <w:rPr>
                <w:rStyle w:val="FormatvorlageInstructionsTabelleText"/>
                <w:rFonts w:ascii="Times New Roman" w:hAnsi="Times New Roman"/>
                <w:sz w:val="24"/>
              </w:rPr>
            </w:pPr>
            <w:r w:rsidRPr="0068244B">
              <w:rPr>
                <w:rStyle w:val="FormatvorlageInstructionsTabelleText"/>
                <w:rFonts w:ascii="Times New Roman" w:hAnsi="Times New Roman"/>
                <w:sz w:val="24"/>
              </w:rPr>
              <w:t>(i) General Governments; (ii) Credit institutions; (i</w:t>
            </w:r>
            <w:r w:rsidR="0005633D" w:rsidRPr="0068244B">
              <w:rPr>
                <w:rStyle w:val="FormatvorlageInstructionsTabelleText"/>
                <w:rFonts w:ascii="Times New Roman" w:hAnsi="Times New Roman"/>
                <w:sz w:val="24"/>
              </w:rPr>
              <w:t>ii</w:t>
            </w:r>
            <w:r w:rsidRPr="0068244B">
              <w:rPr>
                <w:rStyle w:val="FormatvorlageInstructionsTabelleText"/>
                <w:rFonts w:ascii="Times New Roman" w:hAnsi="Times New Roman"/>
                <w:sz w:val="24"/>
              </w:rPr>
              <w:t>) Other financial corporations; (</w:t>
            </w:r>
            <w:r w:rsidR="0005633D" w:rsidRPr="0068244B">
              <w:rPr>
                <w:rStyle w:val="FormatvorlageInstructionsTabelleText"/>
                <w:rFonts w:ascii="Times New Roman" w:hAnsi="Times New Roman"/>
                <w:sz w:val="24"/>
              </w:rPr>
              <w:t>i</w:t>
            </w:r>
            <w:r w:rsidRPr="0068244B">
              <w:rPr>
                <w:rStyle w:val="FormatvorlageInstructionsTabelleText"/>
                <w:rFonts w:ascii="Times New Roman" w:hAnsi="Times New Roman"/>
                <w:sz w:val="24"/>
              </w:rPr>
              <w:t xml:space="preserve">v) Non-financial corporations; (v) </w:t>
            </w:r>
            <w:r w:rsidR="00490CBE" w:rsidRPr="0068244B">
              <w:rPr>
                <w:rStyle w:val="FormatvorlageInstructionsTabelleText"/>
                <w:rFonts w:ascii="Times New Roman" w:hAnsi="Times New Roman"/>
                <w:sz w:val="24"/>
              </w:rPr>
              <w:t>H</w:t>
            </w:r>
            <w:r w:rsidRPr="0068244B">
              <w:rPr>
                <w:rStyle w:val="FormatvorlageInstructionsTabelleText"/>
                <w:rFonts w:ascii="Times New Roman" w:hAnsi="Times New Roman"/>
                <w:sz w:val="24"/>
              </w:rPr>
              <w:t xml:space="preserve">ouseholds. </w:t>
            </w:r>
          </w:p>
          <w:p w14:paraId="3E53ACDF" w14:textId="14712E31" w:rsidR="00E05204" w:rsidRPr="0068244B" w:rsidRDefault="00E05204" w:rsidP="008C0F1F">
            <w:pPr>
              <w:rPr>
                <w:rFonts w:ascii="Times New Roman" w:hAnsi="Times New Roman"/>
                <w:sz w:val="24"/>
                <w:lang w:val="en-US"/>
              </w:rPr>
            </w:pPr>
            <w:r w:rsidRPr="0068244B">
              <w:rPr>
                <w:rStyle w:val="FormatvorlageInstructionsTabelleText"/>
                <w:rFonts w:ascii="Times New Roman" w:hAnsi="Times New Roman"/>
                <w:sz w:val="24"/>
              </w:rPr>
              <w:t xml:space="preserve">For </w:t>
            </w:r>
            <w:r w:rsidRPr="0068244B">
              <w:rPr>
                <w:rFonts w:ascii="Times New Roman" w:hAnsi="Times New Roman"/>
                <w:sz w:val="24"/>
                <w:lang w:val="en-US"/>
              </w:rPr>
              <w:t>groups</w:t>
            </w:r>
            <w:r w:rsidRPr="0068244B">
              <w:rPr>
                <w:rStyle w:val="FormatvorlageInstructionsTabelleText"/>
                <w:rFonts w:ascii="Times New Roman" w:hAnsi="Times New Roman"/>
                <w:sz w:val="24"/>
              </w:rPr>
              <w:t xml:space="preserve"> of connected clients, no sector shall be reported. </w:t>
            </w:r>
          </w:p>
        </w:tc>
      </w:tr>
      <w:tr w:rsidR="00E05204" w:rsidRPr="0068244B" w14:paraId="66F40C8E" w14:textId="77777777" w:rsidTr="00845EB1">
        <w:tc>
          <w:tcPr>
            <w:tcW w:w="990" w:type="dxa"/>
          </w:tcPr>
          <w:p w14:paraId="5F55844F" w14:textId="059AC78A" w:rsidR="00E05204" w:rsidRPr="0068244B" w:rsidRDefault="00125C48" w:rsidP="00047ECB">
            <w:pPr>
              <w:rPr>
                <w:rFonts w:ascii="Times New Roman" w:hAnsi="Times New Roman"/>
                <w:sz w:val="24"/>
                <w:lang w:val="en-US"/>
              </w:rPr>
            </w:pPr>
            <w:r w:rsidRPr="0068244B">
              <w:rPr>
                <w:rFonts w:ascii="Times New Roman" w:hAnsi="Times New Roman"/>
                <w:sz w:val="24"/>
                <w:lang w:val="en-US"/>
              </w:rPr>
              <w:t>0</w:t>
            </w:r>
            <w:r w:rsidR="00D47672" w:rsidRPr="0068244B">
              <w:rPr>
                <w:rFonts w:ascii="Times New Roman" w:hAnsi="Times New Roman"/>
                <w:sz w:val="24"/>
                <w:lang w:val="en-US"/>
              </w:rPr>
              <w:t>0</w:t>
            </w:r>
            <w:r w:rsidRPr="0068244B">
              <w:rPr>
                <w:rFonts w:ascii="Times New Roman" w:hAnsi="Times New Roman"/>
                <w:sz w:val="24"/>
                <w:lang w:val="en-US"/>
              </w:rPr>
              <w:t>40</w:t>
            </w:r>
          </w:p>
        </w:tc>
        <w:tc>
          <w:tcPr>
            <w:tcW w:w="7306" w:type="dxa"/>
          </w:tcPr>
          <w:p w14:paraId="6EC1C162" w14:textId="488287EA" w:rsidR="00E05204" w:rsidRPr="0068244B" w:rsidRDefault="00E05204" w:rsidP="00D665FC">
            <w:pPr>
              <w:rPr>
                <w:rFonts w:ascii="Times New Roman" w:hAnsi="Times New Roman"/>
                <w:b/>
                <w:sz w:val="24"/>
                <w:u w:val="single"/>
                <w:lang w:val="en-US"/>
              </w:rPr>
            </w:pPr>
            <w:r w:rsidRPr="0068244B">
              <w:rPr>
                <w:rFonts w:ascii="Times New Roman" w:hAnsi="Times New Roman"/>
                <w:b/>
                <w:sz w:val="24"/>
                <w:u w:val="single"/>
                <w:lang w:val="en-US"/>
              </w:rPr>
              <w:t xml:space="preserve">Residence of </w:t>
            </w:r>
            <w:r w:rsidR="00027397" w:rsidRPr="0068244B">
              <w:rPr>
                <w:rFonts w:ascii="Times New Roman" w:hAnsi="Times New Roman"/>
                <w:b/>
                <w:sz w:val="24"/>
                <w:u w:val="single"/>
                <w:lang w:val="en-US"/>
              </w:rPr>
              <w:t>Issuer</w:t>
            </w:r>
            <w:r w:rsidRPr="0068244B">
              <w:rPr>
                <w:rFonts w:ascii="Times New Roman" w:hAnsi="Times New Roman"/>
                <w:b/>
                <w:sz w:val="24"/>
                <w:u w:val="single"/>
                <w:lang w:val="en-US"/>
              </w:rPr>
              <w:t xml:space="preserve"> </w:t>
            </w:r>
          </w:p>
          <w:p w14:paraId="0F33DF35" w14:textId="52A4F552" w:rsidR="00E05204" w:rsidRPr="0068244B" w:rsidRDefault="00E05204" w:rsidP="00C05CCA">
            <w:pPr>
              <w:rPr>
                <w:rStyle w:val="FormatvorlageInstructionsTabelleText"/>
                <w:rFonts w:ascii="Times New Roman" w:hAnsi="Times New Roman"/>
                <w:sz w:val="24"/>
              </w:rPr>
            </w:pPr>
            <w:r w:rsidRPr="0068244B">
              <w:rPr>
                <w:rStyle w:val="FormatvorlageInstructionsTabelleText"/>
                <w:rFonts w:ascii="Times New Roman" w:hAnsi="Times New Roman"/>
                <w:sz w:val="24"/>
              </w:rPr>
              <w:t xml:space="preserve">ISO code 3166-1-alpha-2 of the country of incorporation of the </w:t>
            </w:r>
            <w:r w:rsidR="00027397" w:rsidRPr="0068244B">
              <w:rPr>
                <w:rStyle w:val="FormatvorlageInstructionsTabelleText"/>
                <w:rFonts w:ascii="Times New Roman" w:hAnsi="Times New Roman"/>
                <w:sz w:val="24"/>
              </w:rPr>
              <w:t xml:space="preserve">issuer or </w:t>
            </w:r>
            <w:r w:rsidRPr="0068244B">
              <w:rPr>
                <w:rStyle w:val="FormatvorlageInstructionsTabelleText"/>
                <w:rFonts w:ascii="Times New Roman" w:hAnsi="Times New Roman"/>
                <w:sz w:val="24"/>
              </w:rPr>
              <w:t>counterparty shall be used</w:t>
            </w:r>
            <w:r w:rsidR="00D665FC" w:rsidRPr="0068244B">
              <w:rPr>
                <w:rStyle w:val="FormatvorlageInstructionsTabelleText"/>
                <w:rFonts w:ascii="Times New Roman" w:hAnsi="Times New Roman"/>
                <w:sz w:val="24"/>
              </w:rPr>
              <w:t>,</w:t>
            </w:r>
            <w:r w:rsidRPr="0068244B">
              <w:rPr>
                <w:rStyle w:val="FormatvorlageInstructionsTabelleText"/>
                <w:rFonts w:ascii="Times New Roman" w:hAnsi="Times New Roman"/>
                <w:sz w:val="24"/>
              </w:rPr>
              <w:t xml:space="preserve"> including pseudo-ISO codes for international organisations</w:t>
            </w:r>
            <w:r w:rsidRPr="0068244B">
              <w:rPr>
                <w:rFonts w:ascii="Times New Roman" w:hAnsi="Times New Roman"/>
                <w:sz w:val="24"/>
              </w:rPr>
              <w:t xml:space="preserve">, available in the last edition of the Eurostat’s </w:t>
            </w:r>
            <w:r w:rsidR="00D665FC" w:rsidRPr="0068244B">
              <w:rPr>
                <w:rFonts w:ascii="Times New Roman" w:hAnsi="Times New Roman"/>
                <w:sz w:val="24"/>
              </w:rPr>
              <w:t>‘</w:t>
            </w:r>
            <w:r w:rsidRPr="0068244B">
              <w:rPr>
                <w:rFonts w:ascii="Times New Roman" w:hAnsi="Times New Roman"/>
                <w:sz w:val="24"/>
              </w:rPr>
              <w:t>Balance of Payments Vademecum</w:t>
            </w:r>
            <w:r w:rsidR="00D665FC" w:rsidRPr="0068244B">
              <w:rPr>
                <w:rFonts w:ascii="Times New Roman" w:hAnsi="Times New Roman"/>
                <w:sz w:val="24"/>
              </w:rPr>
              <w:t>’</w:t>
            </w:r>
            <w:r w:rsidRPr="0068244B">
              <w:rPr>
                <w:rStyle w:val="FormatvorlageInstructionsTabelleText"/>
                <w:rFonts w:ascii="Times New Roman" w:hAnsi="Times New Roman"/>
                <w:sz w:val="24"/>
              </w:rPr>
              <w:t xml:space="preserve">. </w:t>
            </w:r>
          </w:p>
          <w:p w14:paraId="60598FF1" w14:textId="5505D19C" w:rsidR="00E05204" w:rsidRPr="0068244B" w:rsidRDefault="00E05204" w:rsidP="00C05CCA">
            <w:pPr>
              <w:rPr>
                <w:rFonts w:ascii="Times New Roman" w:hAnsi="Times New Roman"/>
                <w:sz w:val="24"/>
                <w:lang w:val="en-US"/>
              </w:rPr>
            </w:pPr>
            <w:r w:rsidRPr="0068244B">
              <w:rPr>
                <w:rStyle w:val="FormatvorlageInstructionsTabelleText"/>
                <w:rFonts w:ascii="Times New Roman" w:hAnsi="Times New Roman"/>
                <w:sz w:val="24"/>
              </w:rPr>
              <w:t xml:space="preserve">For groups of connected clients, no country shall be reported. </w:t>
            </w:r>
          </w:p>
        </w:tc>
      </w:tr>
      <w:tr w:rsidR="00E05204" w:rsidRPr="0068244B" w14:paraId="0F08D697" w14:textId="77777777" w:rsidTr="00845EB1">
        <w:tc>
          <w:tcPr>
            <w:tcW w:w="990" w:type="dxa"/>
          </w:tcPr>
          <w:p w14:paraId="3B929507" w14:textId="2C8459FF" w:rsidR="00E05204" w:rsidRPr="0068244B" w:rsidRDefault="00D47672" w:rsidP="00047ECB">
            <w:pPr>
              <w:rPr>
                <w:rFonts w:ascii="Times New Roman" w:hAnsi="Times New Roman"/>
                <w:sz w:val="24"/>
                <w:lang w:val="en-US"/>
              </w:rPr>
            </w:pPr>
            <w:r w:rsidRPr="0068244B">
              <w:rPr>
                <w:rFonts w:ascii="Times New Roman" w:hAnsi="Times New Roman"/>
                <w:sz w:val="24"/>
                <w:lang w:val="en-US"/>
              </w:rPr>
              <w:t>0</w:t>
            </w:r>
            <w:r w:rsidR="00125C48" w:rsidRPr="0068244B">
              <w:rPr>
                <w:rFonts w:ascii="Times New Roman" w:hAnsi="Times New Roman"/>
                <w:sz w:val="24"/>
                <w:lang w:val="en-US"/>
              </w:rPr>
              <w:t>050</w:t>
            </w:r>
          </w:p>
        </w:tc>
        <w:tc>
          <w:tcPr>
            <w:tcW w:w="7306" w:type="dxa"/>
          </w:tcPr>
          <w:p w14:paraId="016C0789" w14:textId="77777777" w:rsidR="00E05204" w:rsidRPr="0068244B" w:rsidRDefault="00E05204" w:rsidP="00D665FC">
            <w:pPr>
              <w:rPr>
                <w:rFonts w:ascii="Times New Roman" w:hAnsi="Times New Roman"/>
                <w:b/>
                <w:sz w:val="24"/>
                <w:u w:val="single"/>
                <w:lang w:val="en-US"/>
              </w:rPr>
            </w:pPr>
            <w:r w:rsidRPr="0068244B">
              <w:rPr>
                <w:rFonts w:ascii="Times New Roman" w:hAnsi="Times New Roman"/>
                <w:b/>
                <w:sz w:val="24"/>
                <w:u w:val="single"/>
                <w:lang w:val="en-US"/>
              </w:rPr>
              <w:t xml:space="preserve">Product </w:t>
            </w:r>
            <w:r w:rsidR="00265C4F" w:rsidRPr="0068244B">
              <w:rPr>
                <w:rFonts w:ascii="Times New Roman" w:hAnsi="Times New Roman"/>
                <w:b/>
                <w:sz w:val="24"/>
                <w:u w:val="single"/>
                <w:lang w:val="en-US"/>
              </w:rPr>
              <w:t>T</w:t>
            </w:r>
            <w:r w:rsidRPr="0068244B">
              <w:rPr>
                <w:rFonts w:ascii="Times New Roman" w:hAnsi="Times New Roman"/>
                <w:b/>
                <w:sz w:val="24"/>
                <w:u w:val="single"/>
                <w:lang w:val="en-US"/>
              </w:rPr>
              <w:t>ype</w:t>
            </w:r>
          </w:p>
          <w:p w14:paraId="7DC48699" w14:textId="4D5DEEF0" w:rsidR="00E05204" w:rsidRPr="0068244B" w:rsidRDefault="00E05204" w:rsidP="00D665FC">
            <w:pPr>
              <w:rPr>
                <w:rFonts w:ascii="Times New Roman" w:hAnsi="Times New Roman"/>
                <w:sz w:val="24"/>
                <w:lang w:val="en-US"/>
              </w:rPr>
            </w:pPr>
            <w:r w:rsidRPr="0068244B">
              <w:rPr>
                <w:rFonts w:ascii="Times New Roman" w:hAnsi="Times New Roman"/>
                <w:sz w:val="24"/>
                <w:lang w:val="en-US"/>
              </w:rPr>
              <w:t xml:space="preserve">Issuers/ Counterparties recorded in column </w:t>
            </w:r>
            <w:r w:rsidR="00D47672" w:rsidRPr="0068244B">
              <w:rPr>
                <w:rFonts w:ascii="Times New Roman" w:hAnsi="Times New Roman"/>
                <w:sz w:val="24"/>
                <w:lang w:val="en-US"/>
              </w:rPr>
              <w:t>0</w:t>
            </w:r>
            <w:r w:rsidR="00125C48" w:rsidRPr="0068244B">
              <w:rPr>
                <w:rFonts w:ascii="Times New Roman" w:hAnsi="Times New Roman"/>
                <w:sz w:val="24"/>
                <w:lang w:val="en-US"/>
              </w:rPr>
              <w:t>010</w:t>
            </w:r>
            <w:r w:rsidRPr="0068244B">
              <w:rPr>
                <w:rFonts w:ascii="Times New Roman" w:hAnsi="Times New Roman"/>
                <w:sz w:val="24"/>
                <w:lang w:val="en-US"/>
              </w:rPr>
              <w:t xml:space="preserve"> shall be assigned a product type </w:t>
            </w:r>
            <w:r w:rsidRPr="0068244B">
              <w:rPr>
                <w:rStyle w:val="FormatvorlageInstructionsTabelleText"/>
                <w:rFonts w:ascii="Times New Roman" w:hAnsi="Times New Roman"/>
                <w:sz w:val="24"/>
              </w:rPr>
              <w:t>corresponding</w:t>
            </w:r>
            <w:r w:rsidRPr="0068244B">
              <w:rPr>
                <w:rFonts w:ascii="Times New Roman" w:hAnsi="Times New Roman"/>
                <w:sz w:val="24"/>
                <w:lang w:val="en-US"/>
              </w:rPr>
              <w:t xml:space="preserve"> to the product in which the asset is held or the liquidity stand-by facility</w:t>
            </w:r>
            <w:r w:rsidR="00C05CCA" w:rsidRPr="0068244B">
              <w:rPr>
                <w:rFonts w:ascii="Times New Roman" w:hAnsi="Times New Roman"/>
                <w:sz w:val="24"/>
                <w:lang w:val="en-US"/>
              </w:rPr>
              <w:t xml:space="preserve"> </w:t>
            </w:r>
            <w:r w:rsidRPr="0068244B">
              <w:rPr>
                <w:rFonts w:ascii="Times New Roman" w:hAnsi="Times New Roman"/>
                <w:sz w:val="24"/>
                <w:lang w:val="en-US"/>
              </w:rPr>
              <w:t>has been received, using the following codes indicated in bold:</w:t>
            </w:r>
          </w:p>
          <w:p w14:paraId="1CB9AEA2" w14:textId="77777777" w:rsidR="00E05204" w:rsidRPr="0068244B" w:rsidRDefault="00E05204" w:rsidP="00D665FC">
            <w:pPr>
              <w:rPr>
                <w:rFonts w:ascii="Times New Roman" w:hAnsi="Times New Roman"/>
                <w:sz w:val="24"/>
                <w:lang w:val="en-US"/>
              </w:rPr>
            </w:pPr>
            <w:bookmarkStart w:id="0" w:name="OLE_LINK1"/>
            <w:r w:rsidRPr="0068244B">
              <w:rPr>
                <w:rFonts w:ascii="Times New Roman" w:hAnsi="Times New Roman"/>
                <w:b/>
                <w:sz w:val="24"/>
                <w:lang w:val="en-US"/>
              </w:rPr>
              <w:t xml:space="preserve">SrB </w:t>
            </w:r>
            <w:r w:rsidRPr="0068244B">
              <w:rPr>
                <w:rFonts w:ascii="Times New Roman" w:hAnsi="Times New Roman"/>
                <w:sz w:val="24"/>
                <w:lang w:val="en-US"/>
              </w:rPr>
              <w:t>(</w:t>
            </w:r>
            <w:r w:rsidRPr="0068244B">
              <w:rPr>
                <w:rStyle w:val="FormatvorlageInstructionsTabelleText"/>
                <w:rFonts w:ascii="Times New Roman" w:hAnsi="Times New Roman"/>
                <w:sz w:val="24"/>
              </w:rPr>
              <w:t>Senior</w:t>
            </w:r>
            <w:r w:rsidRPr="0068244B">
              <w:rPr>
                <w:rFonts w:ascii="Times New Roman" w:hAnsi="Times New Roman"/>
                <w:sz w:val="24"/>
                <w:lang w:val="en-US"/>
              </w:rPr>
              <w:t xml:space="preserve"> Bond) </w:t>
            </w:r>
          </w:p>
          <w:p w14:paraId="6ADB0D10" w14:textId="77777777" w:rsidR="00E05204" w:rsidRPr="0068244B" w:rsidRDefault="00E05204" w:rsidP="00D665FC">
            <w:pPr>
              <w:rPr>
                <w:rFonts w:ascii="Times New Roman" w:hAnsi="Times New Roman"/>
                <w:sz w:val="24"/>
                <w:lang w:val="en-US"/>
              </w:rPr>
            </w:pPr>
            <w:r w:rsidRPr="0068244B">
              <w:rPr>
                <w:rFonts w:ascii="Times New Roman" w:hAnsi="Times New Roman"/>
                <w:b/>
                <w:sz w:val="24"/>
                <w:lang w:val="en-US"/>
              </w:rPr>
              <w:t xml:space="preserve">SubB </w:t>
            </w:r>
            <w:r w:rsidRPr="0068244B">
              <w:rPr>
                <w:rFonts w:ascii="Times New Roman" w:hAnsi="Times New Roman"/>
                <w:sz w:val="24"/>
                <w:lang w:val="en-US"/>
              </w:rPr>
              <w:t>(</w:t>
            </w:r>
            <w:r w:rsidRPr="0068244B">
              <w:rPr>
                <w:rStyle w:val="FormatvorlageInstructionsTabelleText"/>
                <w:rFonts w:ascii="Times New Roman" w:hAnsi="Times New Roman"/>
                <w:sz w:val="24"/>
              </w:rPr>
              <w:t>Subordinated</w:t>
            </w:r>
            <w:r w:rsidRPr="0068244B">
              <w:rPr>
                <w:rFonts w:ascii="Times New Roman" w:hAnsi="Times New Roman"/>
                <w:sz w:val="24"/>
                <w:lang w:val="en-US"/>
              </w:rPr>
              <w:t xml:space="preserve"> Bond)</w:t>
            </w:r>
          </w:p>
          <w:p w14:paraId="08EFBEC2" w14:textId="77777777" w:rsidR="00E05204" w:rsidRPr="0068244B" w:rsidRDefault="00E05204" w:rsidP="00A36F2D">
            <w:pPr>
              <w:rPr>
                <w:rFonts w:ascii="Times New Roman" w:hAnsi="Times New Roman"/>
                <w:sz w:val="24"/>
                <w:lang w:val="en-US"/>
              </w:rPr>
            </w:pPr>
            <w:r w:rsidRPr="0068244B">
              <w:rPr>
                <w:rFonts w:ascii="Times New Roman" w:hAnsi="Times New Roman"/>
                <w:b/>
                <w:sz w:val="24"/>
                <w:lang w:val="en-US"/>
              </w:rPr>
              <w:t xml:space="preserve">CP </w:t>
            </w:r>
            <w:r w:rsidRPr="0068244B">
              <w:rPr>
                <w:rFonts w:ascii="Times New Roman" w:hAnsi="Times New Roman"/>
                <w:sz w:val="24"/>
                <w:lang w:val="en-US"/>
              </w:rPr>
              <w:t>(</w:t>
            </w:r>
            <w:r w:rsidRPr="0068244B">
              <w:rPr>
                <w:rStyle w:val="FormatvorlageInstructionsTabelleText"/>
                <w:rFonts w:ascii="Times New Roman" w:hAnsi="Times New Roman"/>
                <w:sz w:val="24"/>
              </w:rPr>
              <w:t>Commercial</w:t>
            </w:r>
            <w:r w:rsidRPr="0068244B">
              <w:rPr>
                <w:rFonts w:ascii="Times New Roman" w:hAnsi="Times New Roman"/>
                <w:sz w:val="24"/>
                <w:lang w:val="en-US"/>
              </w:rPr>
              <w:t xml:space="preserve"> Paper)</w:t>
            </w:r>
          </w:p>
          <w:p w14:paraId="71AB267C" w14:textId="77777777" w:rsidR="00E05204" w:rsidRPr="0068244B" w:rsidRDefault="00E05204">
            <w:pPr>
              <w:rPr>
                <w:rFonts w:ascii="Times New Roman" w:hAnsi="Times New Roman"/>
                <w:sz w:val="24"/>
                <w:lang w:val="en-US"/>
              </w:rPr>
            </w:pPr>
            <w:r w:rsidRPr="0068244B">
              <w:rPr>
                <w:rFonts w:ascii="Times New Roman" w:hAnsi="Times New Roman"/>
                <w:b/>
                <w:sz w:val="24"/>
                <w:lang w:val="en-US"/>
              </w:rPr>
              <w:t xml:space="preserve">CB </w:t>
            </w:r>
            <w:r w:rsidRPr="0068244B">
              <w:rPr>
                <w:rFonts w:ascii="Times New Roman" w:hAnsi="Times New Roman"/>
                <w:sz w:val="24"/>
                <w:lang w:val="en-US"/>
              </w:rPr>
              <w:t xml:space="preserve">(Covered </w:t>
            </w:r>
            <w:r w:rsidRPr="0068244B">
              <w:rPr>
                <w:rStyle w:val="FormatvorlageInstructionsTabelleText"/>
                <w:rFonts w:ascii="Times New Roman" w:hAnsi="Times New Roman"/>
                <w:sz w:val="24"/>
              </w:rPr>
              <w:t>Bonds</w:t>
            </w:r>
            <w:r w:rsidRPr="0068244B">
              <w:rPr>
                <w:rFonts w:ascii="Times New Roman" w:hAnsi="Times New Roman"/>
                <w:sz w:val="24"/>
                <w:lang w:val="en-US"/>
              </w:rPr>
              <w:t xml:space="preserve">) </w:t>
            </w:r>
          </w:p>
          <w:p w14:paraId="16004F55" w14:textId="644C50DD" w:rsidR="00E05204" w:rsidRPr="0068244B" w:rsidRDefault="00E05204">
            <w:pPr>
              <w:rPr>
                <w:rFonts w:ascii="Times New Roman" w:hAnsi="Times New Roman"/>
                <w:sz w:val="24"/>
                <w:lang w:val="en-US"/>
              </w:rPr>
            </w:pPr>
            <w:r w:rsidRPr="0068244B">
              <w:rPr>
                <w:rFonts w:ascii="Times New Roman" w:hAnsi="Times New Roman"/>
                <w:b/>
                <w:sz w:val="24"/>
                <w:lang w:val="en-US"/>
              </w:rPr>
              <w:t>US (</w:t>
            </w:r>
            <w:r w:rsidRPr="0068244B">
              <w:rPr>
                <w:rFonts w:ascii="Times New Roman" w:hAnsi="Times New Roman"/>
                <w:sz w:val="24"/>
                <w:lang w:val="en-US"/>
              </w:rPr>
              <w:t>UCITS-</w:t>
            </w:r>
            <w:r w:rsidRPr="0068244B">
              <w:rPr>
                <w:rStyle w:val="FormatvorlageInstructionsTabelleText"/>
                <w:rFonts w:ascii="Times New Roman" w:hAnsi="Times New Roman"/>
                <w:sz w:val="24"/>
              </w:rPr>
              <w:t>security</w:t>
            </w:r>
            <w:r w:rsidRPr="0068244B">
              <w:rPr>
                <w:rFonts w:ascii="Times New Roman" w:hAnsi="Times New Roman"/>
                <w:sz w:val="24"/>
                <w:lang w:val="en-US"/>
              </w:rPr>
              <w:t>, i.e. financial instruments representing a share in or asecurity issued by an Undertaking for Collective Investments of transferable securities)</w:t>
            </w:r>
          </w:p>
          <w:p w14:paraId="2E54EB88" w14:textId="77777777" w:rsidR="00E05204" w:rsidRPr="0068244B" w:rsidRDefault="00E05204">
            <w:pPr>
              <w:rPr>
                <w:rFonts w:ascii="Times New Roman" w:hAnsi="Times New Roman"/>
                <w:sz w:val="24"/>
                <w:lang w:val="en-US"/>
              </w:rPr>
            </w:pPr>
            <w:r w:rsidRPr="0068244B">
              <w:rPr>
                <w:rFonts w:ascii="Times New Roman" w:hAnsi="Times New Roman"/>
                <w:b/>
                <w:sz w:val="24"/>
                <w:lang w:val="en-US"/>
              </w:rPr>
              <w:t>ABS (</w:t>
            </w:r>
            <w:r w:rsidRPr="0068244B">
              <w:rPr>
                <w:rFonts w:ascii="Times New Roman" w:hAnsi="Times New Roman"/>
                <w:sz w:val="24"/>
                <w:lang w:val="en-US"/>
              </w:rPr>
              <w:t>Asset Backed Security)</w:t>
            </w:r>
          </w:p>
          <w:p w14:paraId="47B806DE" w14:textId="77777777" w:rsidR="00E05204" w:rsidRPr="0068244B" w:rsidRDefault="00E05204">
            <w:pPr>
              <w:rPr>
                <w:rFonts w:ascii="Times New Roman" w:hAnsi="Times New Roman"/>
                <w:sz w:val="24"/>
                <w:lang w:val="en-US"/>
              </w:rPr>
            </w:pPr>
            <w:r w:rsidRPr="0068244B">
              <w:rPr>
                <w:rFonts w:ascii="Times New Roman" w:hAnsi="Times New Roman"/>
                <w:b/>
                <w:sz w:val="24"/>
                <w:lang w:val="en-US"/>
              </w:rPr>
              <w:t xml:space="preserve">CrCl </w:t>
            </w:r>
            <w:r w:rsidRPr="0068244B">
              <w:rPr>
                <w:rFonts w:ascii="Times New Roman" w:hAnsi="Times New Roman"/>
                <w:sz w:val="24"/>
                <w:lang w:val="en-US"/>
              </w:rPr>
              <w:t xml:space="preserve">(Credit </w:t>
            </w:r>
            <w:r w:rsidRPr="0068244B">
              <w:rPr>
                <w:rStyle w:val="FormatvorlageInstructionsTabelleText"/>
                <w:rFonts w:ascii="Times New Roman" w:hAnsi="Times New Roman"/>
                <w:sz w:val="24"/>
              </w:rPr>
              <w:t>Claim</w:t>
            </w:r>
            <w:r w:rsidRPr="0068244B">
              <w:rPr>
                <w:rFonts w:ascii="Times New Roman" w:hAnsi="Times New Roman"/>
                <w:sz w:val="24"/>
                <w:lang w:val="en-US"/>
              </w:rPr>
              <w:t>)</w:t>
            </w:r>
          </w:p>
          <w:p w14:paraId="77F497F4" w14:textId="77777777" w:rsidR="00E05204" w:rsidRPr="0068244B" w:rsidRDefault="00E05204">
            <w:pPr>
              <w:rPr>
                <w:rFonts w:ascii="Times New Roman" w:hAnsi="Times New Roman"/>
                <w:sz w:val="24"/>
                <w:lang w:val="en-US"/>
              </w:rPr>
            </w:pPr>
            <w:r w:rsidRPr="0068244B">
              <w:rPr>
                <w:rFonts w:ascii="Times New Roman" w:hAnsi="Times New Roman"/>
                <w:b/>
                <w:sz w:val="24"/>
                <w:lang w:val="en-US"/>
              </w:rPr>
              <w:t xml:space="preserve">Eq </w:t>
            </w:r>
            <w:r w:rsidRPr="0068244B">
              <w:rPr>
                <w:rFonts w:ascii="Times New Roman" w:hAnsi="Times New Roman"/>
                <w:sz w:val="24"/>
                <w:lang w:val="en-US"/>
              </w:rPr>
              <w:t>(</w:t>
            </w:r>
            <w:r w:rsidRPr="0068244B">
              <w:rPr>
                <w:rStyle w:val="FormatvorlageInstructionsTabelleText"/>
                <w:rFonts w:ascii="Times New Roman" w:hAnsi="Times New Roman"/>
                <w:sz w:val="24"/>
              </w:rPr>
              <w:t>Equity</w:t>
            </w:r>
            <w:r w:rsidRPr="0068244B">
              <w:rPr>
                <w:rFonts w:ascii="Times New Roman" w:hAnsi="Times New Roman"/>
                <w:sz w:val="24"/>
                <w:lang w:val="en-US"/>
              </w:rPr>
              <w:t>)</w:t>
            </w:r>
          </w:p>
          <w:p w14:paraId="3F4E3AAB" w14:textId="396B9AF6" w:rsidR="00E05204" w:rsidRPr="0068244B" w:rsidRDefault="00E05204">
            <w:pPr>
              <w:rPr>
                <w:rFonts w:ascii="Times New Roman" w:hAnsi="Times New Roman"/>
                <w:b/>
                <w:sz w:val="24"/>
                <w:lang w:val="en-US"/>
              </w:rPr>
            </w:pPr>
            <w:r w:rsidRPr="0068244B">
              <w:rPr>
                <w:rFonts w:ascii="Times New Roman" w:hAnsi="Times New Roman"/>
                <w:b/>
                <w:sz w:val="24"/>
                <w:lang w:val="en-US"/>
              </w:rPr>
              <w:t xml:space="preserve">Gold </w:t>
            </w:r>
            <w:r w:rsidR="00BC3299" w:rsidRPr="0068244B">
              <w:rPr>
                <w:rFonts w:ascii="Times New Roman" w:hAnsi="Times New Roman"/>
                <w:b/>
                <w:sz w:val="24"/>
                <w:lang w:val="en-US"/>
              </w:rPr>
              <w:t>(if physical gold, which can be treated as a single counterparty)</w:t>
            </w:r>
          </w:p>
          <w:p w14:paraId="6AE61C73" w14:textId="77777777" w:rsidR="00E05204" w:rsidRPr="0068244B" w:rsidRDefault="00E05204">
            <w:pPr>
              <w:rPr>
                <w:rFonts w:ascii="Times New Roman" w:hAnsi="Times New Roman"/>
                <w:sz w:val="24"/>
                <w:lang w:val="en-US"/>
              </w:rPr>
            </w:pPr>
            <w:r w:rsidRPr="0068244B">
              <w:rPr>
                <w:rFonts w:ascii="Times New Roman" w:hAnsi="Times New Roman"/>
                <w:b/>
                <w:sz w:val="24"/>
                <w:lang w:val="en-US"/>
              </w:rPr>
              <w:t xml:space="preserve">LiqL </w:t>
            </w:r>
            <w:r w:rsidRPr="0068244B">
              <w:rPr>
                <w:rFonts w:ascii="Times New Roman" w:hAnsi="Times New Roman"/>
                <w:sz w:val="24"/>
                <w:lang w:val="en-US"/>
              </w:rPr>
              <w:t>(</w:t>
            </w:r>
            <w:r w:rsidRPr="0068244B">
              <w:rPr>
                <w:rStyle w:val="FormatvorlageInstructionsTabelleText"/>
                <w:rFonts w:ascii="Times New Roman" w:hAnsi="Times New Roman"/>
                <w:sz w:val="24"/>
              </w:rPr>
              <w:t>Undrawn</w:t>
            </w:r>
            <w:r w:rsidRPr="0068244B">
              <w:rPr>
                <w:rFonts w:ascii="Times New Roman" w:hAnsi="Times New Roman"/>
                <w:sz w:val="24"/>
                <w:lang w:val="en-US"/>
              </w:rPr>
              <w:t xml:space="preserve"> committed liquidity line granted to the institution)</w:t>
            </w:r>
          </w:p>
          <w:p w14:paraId="23B5C30F" w14:textId="77777777" w:rsidR="00E05204" w:rsidRPr="0068244B" w:rsidRDefault="00E05204">
            <w:pPr>
              <w:rPr>
                <w:rFonts w:ascii="Times New Roman" w:hAnsi="Times New Roman"/>
                <w:b/>
                <w:sz w:val="24"/>
                <w:lang w:val="en-US"/>
              </w:rPr>
            </w:pPr>
            <w:r w:rsidRPr="0068244B">
              <w:rPr>
                <w:rFonts w:ascii="Times New Roman" w:hAnsi="Times New Roman"/>
                <w:b/>
                <w:sz w:val="24"/>
                <w:lang w:val="en-US"/>
              </w:rPr>
              <w:lastRenderedPageBreak/>
              <w:t>O</w:t>
            </w:r>
            <w:r w:rsidR="00DE0CD0" w:rsidRPr="0068244B">
              <w:rPr>
                <w:rFonts w:ascii="Times New Roman" w:hAnsi="Times New Roman"/>
                <w:b/>
                <w:sz w:val="24"/>
                <w:lang w:val="en-US"/>
              </w:rPr>
              <w:t xml:space="preserve">PT </w:t>
            </w:r>
            <w:r w:rsidR="00DE0CD0" w:rsidRPr="0068244B">
              <w:rPr>
                <w:rFonts w:ascii="Times New Roman" w:hAnsi="Times New Roman"/>
                <w:sz w:val="24"/>
                <w:lang w:val="en-US"/>
              </w:rPr>
              <w:t>(</w:t>
            </w:r>
            <w:r w:rsidR="00DE0CD0" w:rsidRPr="0068244B">
              <w:rPr>
                <w:rStyle w:val="FormatvorlageInstructionsTabelleText"/>
                <w:rFonts w:ascii="Times New Roman" w:hAnsi="Times New Roman"/>
                <w:sz w:val="24"/>
              </w:rPr>
              <w:t>O</w:t>
            </w:r>
            <w:r w:rsidRPr="0068244B">
              <w:rPr>
                <w:rStyle w:val="FormatvorlageInstructionsTabelleText"/>
                <w:rFonts w:ascii="Times New Roman" w:hAnsi="Times New Roman"/>
                <w:sz w:val="24"/>
              </w:rPr>
              <w:t>ther</w:t>
            </w:r>
            <w:r w:rsidR="008F6B6B" w:rsidRPr="0068244B">
              <w:rPr>
                <w:rFonts w:ascii="Times New Roman" w:hAnsi="Times New Roman"/>
                <w:sz w:val="24"/>
                <w:lang w:val="en-US"/>
              </w:rPr>
              <w:t xml:space="preserve"> product type</w:t>
            </w:r>
            <w:r w:rsidR="00DE0CD0" w:rsidRPr="0068244B">
              <w:rPr>
                <w:rFonts w:ascii="Times New Roman" w:hAnsi="Times New Roman"/>
                <w:sz w:val="24"/>
                <w:lang w:val="en-US"/>
              </w:rPr>
              <w:t>)</w:t>
            </w:r>
            <w:bookmarkEnd w:id="0"/>
          </w:p>
        </w:tc>
      </w:tr>
      <w:tr w:rsidR="00E05204" w:rsidRPr="0068244B" w14:paraId="4C932A7E" w14:textId="77777777" w:rsidTr="00845EB1">
        <w:tc>
          <w:tcPr>
            <w:tcW w:w="990" w:type="dxa"/>
          </w:tcPr>
          <w:p w14:paraId="611D24E9" w14:textId="2F1E489F" w:rsidR="00E05204" w:rsidRPr="0068244B" w:rsidRDefault="00125C48" w:rsidP="00047ECB">
            <w:pPr>
              <w:rPr>
                <w:rFonts w:ascii="Times New Roman" w:hAnsi="Times New Roman"/>
                <w:sz w:val="24"/>
                <w:lang w:val="en-US"/>
              </w:rPr>
            </w:pPr>
            <w:r w:rsidRPr="0068244B">
              <w:rPr>
                <w:rFonts w:ascii="Times New Roman" w:hAnsi="Times New Roman"/>
                <w:sz w:val="24"/>
                <w:lang w:val="en-US"/>
              </w:rPr>
              <w:lastRenderedPageBreak/>
              <w:t>0</w:t>
            </w:r>
            <w:r w:rsidR="00D47672" w:rsidRPr="0068244B">
              <w:rPr>
                <w:rFonts w:ascii="Times New Roman" w:hAnsi="Times New Roman"/>
                <w:sz w:val="24"/>
                <w:lang w:val="en-US"/>
              </w:rPr>
              <w:t>0</w:t>
            </w:r>
            <w:r w:rsidRPr="0068244B">
              <w:rPr>
                <w:rFonts w:ascii="Times New Roman" w:hAnsi="Times New Roman"/>
                <w:sz w:val="24"/>
                <w:lang w:val="en-US"/>
              </w:rPr>
              <w:t>60</w:t>
            </w:r>
          </w:p>
        </w:tc>
        <w:tc>
          <w:tcPr>
            <w:tcW w:w="7306" w:type="dxa"/>
          </w:tcPr>
          <w:p w14:paraId="361DF87B" w14:textId="77777777" w:rsidR="00E05204" w:rsidRPr="0068244B" w:rsidRDefault="00E05204" w:rsidP="00D665FC">
            <w:pPr>
              <w:rPr>
                <w:rFonts w:ascii="Times New Roman" w:hAnsi="Times New Roman"/>
                <w:b/>
                <w:sz w:val="24"/>
                <w:u w:val="single"/>
                <w:lang w:val="en-US"/>
              </w:rPr>
            </w:pPr>
            <w:r w:rsidRPr="0068244B">
              <w:rPr>
                <w:rFonts w:ascii="Times New Roman" w:hAnsi="Times New Roman"/>
                <w:b/>
                <w:sz w:val="24"/>
                <w:u w:val="single"/>
                <w:lang w:val="en-US"/>
              </w:rPr>
              <w:t>Currency</w:t>
            </w:r>
          </w:p>
          <w:p w14:paraId="1D458B95" w14:textId="403BDA7B" w:rsidR="00C05CCA" w:rsidRPr="0068244B" w:rsidRDefault="004C1638" w:rsidP="00D665FC">
            <w:pPr>
              <w:rPr>
                <w:rFonts w:ascii="Times New Roman" w:hAnsi="Times New Roman"/>
                <w:sz w:val="24"/>
              </w:rPr>
            </w:pPr>
            <w:r w:rsidRPr="0068244B">
              <w:rPr>
                <w:rFonts w:ascii="Times New Roman" w:hAnsi="Times New Roman"/>
                <w:sz w:val="24"/>
                <w:lang w:val="en-US"/>
              </w:rPr>
              <w:t xml:space="preserve">Issuer </w:t>
            </w:r>
            <w:r w:rsidR="00027397" w:rsidRPr="0068244B">
              <w:rPr>
                <w:rFonts w:ascii="Times New Roman" w:hAnsi="Times New Roman"/>
                <w:sz w:val="24"/>
                <w:lang w:val="en-US"/>
              </w:rPr>
              <w:t>or</w:t>
            </w:r>
            <w:r w:rsidRPr="0068244B">
              <w:rPr>
                <w:rFonts w:ascii="Times New Roman" w:hAnsi="Times New Roman"/>
                <w:sz w:val="24"/>
                <w:lang w:val="en-US"/>
              </w:rPr>
              <w:t xml:space="preserve"> c</w:t>
            </w:r>
            <w:r w:rsidR="00E05204" w:rsidRPr="0068244B">
              <w:rPr>
                <w:rFonts w:ascii="Times New Roman" w:hAnsi="Times New Roman"/>
                <w:sz w:val="24"/>
                <w:lang w:val="en-US"/>
              </w:rPr>
              <w:t xml:space="preserve">ounterparties recorded in column </w:t>
            </w:r>
            <w:r w:rsidR="00125C48" w:rsidRPr="0068244B">
              <w:rPr>
                <w:rFonts w:ascii="Times New Roman" w:hAnsi="Times New Roman"/>
                <w:sz w:val="24"/>
                <w:lang w:val="en-US"/>
              </w:rPr>
              <w:t>0</w:t>
            </w:r>
            <w:r w:rsidR="00D47672" w:rsidRPr="0068244B">
              <w:rPr>
                <w:rFonts w:ascii="Times New Roman" w:hAnsi="Times New Roman"/>
                <w:sz w:val="24"/>
                <w:lang w:val="en-US"/>
              </w:rPr>
              <w:t>0</w:t>
            </w:r>
            <w:r w:rsidR="00125C48" w:rsidRPr="0068244B">
              <w:rPr>
                <w:rFonts w:ascii="Times New Roman" w:hAnsi="Times New Roman"/>
                <w:sz w:val="24"/>
                <w:lang w:val="en-US"/>
              </w:rPr>
              <w:t>10</w:t>
            </w:r>
            <w:r w:rsidR="00E05204" w:rsidRPr="0068244B">
              <w:rPr>
                <w:rFonts w:ascii="Times New Roman" w:hAnsi="Times New Roman"/>
                <w:sz w:val="24"/>
                <w:lang w:val="en-US"/>
              </w:rPr>
              <w:t xml:space="preserve"> shall be assigned a currency ISO code in column </w:t>
            </w:r>
            <w:r w:rsidR="00D47672" w:rsidRPr="0068244B">
              <w:rPr>
                <w:rFonts w:ascii="Times New Roman" w:hAnsi="Times New Roman"/>
                <w:sz w:val="24"/>
                <w:lang w:val="en-US"/>
              </w:rPr>
              <w:t>0</w:t>
            </w:r>
            <w:r w:rsidR="00527920" w:rsidRPr="0068244B">
              <w:rPr>
                <w:rFonts w:ascii="Times New Roman" w:hAnsi="Times New Roman"/>
                <w:sz w:val="24"/>
                <w:lang w:val="en-US"/>
              </w:rPr>
              <w:t>060</w:t>
            </w:r>
            <w:r w:rsidR="00E05204" w:rsidRPr="0068244B">
              <w:rPr>
                <w:rFonts w:ascii="Times New Roman" w:hAnsi="Times New Roman"/>
                <w:sz w:val="24"/>
                <w:lang w:val="en-US"/>
              </w:rPr>
              <w:t xml:space="preserve"> corresponding to the denomination of the asset received or undrawn committed liquidity lines granted to the institution</w:t>
            </w:r>
            <w:r w:rsidR="00DD5CB4" w:rsidRPr="0068244B">
              <w:rPr>
                <w:rFonts w:ascii="Times New Roman" w:hAnsi="Times New Roman"/>
                <w:sz w:val="24"/>
                <w:lang w:val="en-US"/>
              </w:rPr>
              <w:t>.</w:t>
            </w:r>
            <w:r w:rsidR="008C592E" w:rsidRPr="0068244B">
              <w:rPr>
                <w:rFonts w:ascii="Times New Roman" w:hAnsi="Times New Roman"/>
                <w:sz w:val="24"/>
                <w:lang w:val="en-US"/>
              </w:rPr>
              <w:t xml:space="preserve"> </w:t>
            </w:r>
            <w:r w:rsidR="006F4DF6" w:rsidRPr="0068244B">
              <w:rPr>
                <w:rFonts w:ascii="Times New Roman" w:hAnsi="Times New Roman"/>
                <w:sz w:val="24"/>
                <w:lang w:val="en-US"/>
              </w:rPr>
              <w:t xml:space="preserve">The three-letter currency unit code </w:t>
            </w:r>
            <w:r w:rsidR="00936ADB" w:rsidRPr="0068244B">
              <w:rPr>
                <w:rFonts w:ascii="Times New Roman" w:hAnsi="Times New Roman"/>
                <w:sz w:val="24"/>
                <w:lang w:val="en-US"/>
              </w:rPr>
              <w:t xml:space="preserve">in </w:t>
            </w:r>
            <w:r w:rsidR="006F4DF6" w:rsidRPr="0068244B">
              <w:rPr>
                <w:rFonts w:ascii="Times New Roman" w:hAnsi="Times New Roman"/>
                <w:sz w:val="24"/>
                <w:lang w:val="en-US"/>
              </w:rPr>
              <w:t>accord</w:t>
            </w:r>
            <w:r w:rsidR="00936ADB" w:rsidRPr="0068244B">
              <w:rPr>
                <w:rFonts w:ascii="Times New Roman" w:hAnsi="Times New Roman"/>
                <w:sz w:val="24"/>
                <w:lang w:val="en-US"/>
              </w:rPr>
              <w:t xml:space="preserve">ance with </w:t>
            </w:r>
            <w:r w:rsidR="006F4DF6" w:rsidRPr="0068244B">
              <w:rPr>
                <w:rFonts w:ascii="Times New Roman" w:hAnsi="Times New Roman"/>
                <w:sz w:val="24"/>
                <w:lang w:val="en-US"/>
              </w:rPr>
              <w:t>ISO 4217 shall be reported.</w:t>
            </w:r>
            <w:r w:rsidR="00F7727B" w:rsidRPr="0068244B">
              <w:rPr>
                <w:rFonts w:ascii="Times New Roman" w:hAnsi="Times New Roman"/>
                <w:sz w:val="24"/>
              </w:rPr>
              <w:t xml:space="preserve"> </w:t>
            </w:r>
          </w:p>
          <w:p w14:paraId="74611C9A" w14:textId="7CC928F5" w:rsidR="00774708" w:rsidRPr="0068244B" w:rsidRDefault="00047ECB" w:rsidP="00BC5835">
            <w:pPr>
              <w:rPr>
                <w:rFonts w:ascii="Times New Roman" w:hAnsi="Times New Roman"/>
                <w:sz w:val="24"/>
                <w:lang w:val="en-US"/>
              </w:rPr>
            </w:pPr>
            <w:r w:rsidRPr="0068244B">
              <w:rPr>
                <w:rFonts w:ascii="Times New Roman" w:hAnsi="Times New Roman"/>
                <w:sz w:val="24"/>
                <w:lang w:val="en-US"/>
              </w:rPr>
              <w:t>Where</w:t>
            </w:r>
            <w:r w:rsidR="00033E6A" w:rsidRPr="0068244B">
              <w:rPr>
                <w:rFonts w:ascii="Times New Roman" w:hAnsi="Times New Roman"/>
                <w:sz w:val="24"/>
                <w:lang w:val="en-US"/>
              </w:rPr>
              <w:t xml:space="preserve"> a m</w:t>
            </w:r>
            <w:r w:rsidR="00F7727B" w:rsidRPr="0068244B">
              <w:rPr>
                <w:rFonts w:ascii="Times New Roman" w:hAnsi="Times New Roman"/>
                <w:sz w:val="24"/>
                <w:lang w:val="en-US"/>
              </w:rPr>
              <w:t>ulticurrency line</w:t>
            </w:r>
            <w:r w:rsidR="00033E6A" w:rsidRPr="0068244B">
              <w:rPr>
                <w:rFonts w:ascii="Times New Roman" w:hAnsi="Times New Roman"/>
                <w:sz w:val="24"/>
                <w:lang w:val="en-US"/>
              </w:rPr>
              <w:t xml:space="preserve"> is part of a concentration in counterbalancing capacity, the line shall be counted in the currency that is the predominant</w:t>
            </w:r>
            <w:r w:rsidR="004B37CF" w:rsidRPr="0068244B">
              <w:rPr>
                <w:rFonts w:ascii="Times New Roman" w:hAnsi="Times New Roman"/>
                <w:sz w:val="24"/>
                <w:lang w:val="en-US"/>
              </w:rPr>
              <w:t xml:space="preserve"> one</w:t>
            </w:r>
            <w:r w:rsidR="00033E6A" w:rsidRPr="0068244B">
              <w:rPr>
                <w:rFonts w:ascii="Times New Roman" w:hAnsi="Times New Roman"/>
                <w:sz w:val="24"/>
                <w:lang w:val="en-US"/>
              </w:rPr>
              <w:t xml:space="preserve"> in the rest of the concentration</w:t>
            </w:r>
            <w:r w:rsidR="00F7727B" w:rsidRPr="0068244B">
              <w:rPr>
                <w:rFonts w:ascii="Times New Roman" w:hAnsi="Times New Roman"/>
                <w:sz w:val="24"/>
                <w:lang w:val="en-US"/>
              </w:rPr>
              <w:t>.</w:t>
            </w:r>
            <w:r w:rsidR="00BC5835" w:rsidRPr="0068244B">
              <w:rPr>
                <w:rFonts w:ascii="Times New Roman" w:hAnsi="Times New Roman"/>
                <w:sz w:val="24"/>
                <w:lang w:val="en-US"/>
              </w:rPr>
              <w:t xml:space="preserve"> </w:t>
            </w:r>
            <w:r w:rsidR="00C05CCA" w:rsidRPr="0068244B">
              <w:rPr>
                <w:rFonts w:ascii="Times New Roman" w:hAnsi="Times New Roman"/>
                <w:sz w:val="24"/>
                <w:lang w:val="en-US"/>
              </w:rPr>
              <w:t>With regard to the separate reporting in significant currencies as specified under Article 415(2) of Regulation (EU) No 575/2013, institutions shall make an assessment of the currency in which the flow is likely to occur and shall report the item only in that significant currency</w:t>
            </w:r>
            <w:r w:rsidR="00BC5835" w:rsidRPr="0068244B">
              <w:rPr>
                <w:rFonts w:ascii="Times New Roman" w:hAnsi="Times New Roman"/>
                <w:sz w:val="24"/>
                <w:lang w:val="en-US"/>
              </w:rPr>
              <w:t>,</w:t>
            </w:r>
            <w:r w:rsidR="00C05CCA" w:rsidRPr="0068244B">
              <w:rPr>
                <w:rFonts w:ascii="Times New Roman" w:hAnsi="Times New Roman"/>
                <w:sz w:val="24"/>
                <w:lang w:val="en-US"/>
              </w:rPr>
              <w:t xml:space="preserve"> in line with the instructions for the separate reporting of significant currencies in the</w:t>
            </w:r>
            <w:r w:rsidR="00191FF3" w:rsidRPr="0068244B">
              <w:rPr>
                <w:rFonts w:ascii="Times New Roman" w:hAnsi="Times New Roman"/>
                <w:sz w:val="24"/>
                <w:lang w:val="en-US"/>
              </w:rPr>
              <w:t xml:space="preserve"> liquidity coverage requirements (</w:t>
            </w:r>
            <w:r w:rsidR="00C05CCA" w:rsidRPr="0068244B">
              <w:rPr>
                <w:rFonts w:ascii="Times New Roman" w:hAnsi="Times New Roman"/>
                <w:sz w:val="24"/>
                <w:lang w:val="en-US"/>
              </w:rPr>
              <w:t>LCR</w:t>
            </w:r>
            <w:r w:rsidR="00191FF3" w:rsidRPr="0068244B">
              <w:rPr>
                <w:rFonts w:ascii="Times New Roman" w:hAnsi="Times New Roman"/>
                <w:sz w:val="24"/>
                <w:lang w:val="en-US"/>
              </w:rPr>
              <w:t>)</w:t>
            </w:r>
            <w:r w:rsidR="00C05CCA" w:rsidRPr="0068244B">
              <w:rPr>
                <w:rFonts w:ascii="Times New Roman" w:hAnsi="Times New Roman"/>
                <w:sz w:val="24"/>
                <w:lang w:val="en-US"/>
              </w:rPr>
              <w:t>,</w:t>
            </w:r>
            <w:r w:rsidR="00BC5835" w:rsidRPr="0068244B">
              <w:rPr>
                <w:rFonts w:ascii="Times New Roman" w:hAnsi="Times New Roman"/>
                <w:sz w:val="24"/>
                <w:lang w:val="en-US"/>
              </w:rPr>
              <w:t xml:space="preserve"> in accordance with </w:t>
            </w:r>
            <w:r w:rsidR="00C05CCA" w:rsidRPr="0068244B">
              <w:rPr>
                <w:rFonts w:ascii="Times New Roman" w:hAnsi="Times New Roman"/>
                <w:sz w:val="24"/>
                <w:lang w:val="en-US"/>
              </w:rPr>
              <w:t xml:space="preserve">Regulation (EU) </w:t>
            </w:r>
            <w:r w:rsidR="00DC0EF6" w:rsidRPr="0068244B">
              <w:rPr>
                <w:rFonts w:ascii="Times New Roman" w:hAnsi="Times New Roman"/>
                <w:sz w:val="24"/>
                <w:lang w:val="en-US"/>
              </w:rPr>
              <w:t>2021/451.</w:t>
            </w:r>
          </w:p>
        </w:tc>
      </w:tr>
      <w:tr w:rsidR="00E05204" w:rsidRPr="0068244B" w14:paraId="73A43F51" w14:textId="77777777" w:rsidTr="00845EB1">
        <w:tc>
          <w:tcPr>
            <w:tcW w:w="990" w:type="dxa"/>
          </w:tcPr>
          <w:p w14:paraId="44D208DA" w14:textId="23F6D9FD" w:rsidR="00E05204" w:rsidRPr="0068244B" w:rsidRDefault="00125C48" w:rsidP="00047ECB">
            <w:pPr>
              <w:rPr>
                <w:rFonts w:ascii="Times New Roman" w:hAnsi="Times New Roman"/>
                <w:sz w:val="24"/>
                <w:lang w:val="en-US"/>
              </w:rPr>
            </w:pPr>
            <w:r w:rsidRPr="0068244B">
              <w:rPr>
                <w:rFonts w:ascii="Times New Roman" w:hAnsi="Times New Roman"/>
                <w:sz w:val="24"/>
                <w:lang w:val="en-US"/>
              </w:rPr>
              <w:t>0</w:t>
            </w:r>
            <w:r w:rsidR="00D47672" w:rsidRPr="0068244B">
              <w:rPr>
                <w:rFonts w:ascii="Times New Roman" w:hAnsi="Times New Roman"/>
                <w:sz w:val="24"/>
                <w:lang w:val="en-US"/>
              </w:rPr>
              <w:t>0</w:t>
            </w:r>
            <w:r w:rsidRPr="0068244B">
              <w:rPr>
                <w:rFonts w:ascii="Times New Roman" w:hAnsi="Times New Roman"/>
                <w:sz w:val="24"/>
                <w:lang w:val="en-US"/>
              </w:rPr>
              <w:t>70</w:t>
            </w:r>
          </w:p>
        </w:tc>
        <w:tc>
          <w:tcPr>
            <w:tcW w:w="7306" w:type="dxa"/>
          </w:tcPr>
          <w:p w14:paraId="48AA6E4F" w14:textId="77777777" w:rsidR="00E05204" w:rsidRPr="0068244B" w:rsidRDefault="00E05204" w:rsidP="00047ECB">
            <w:pPr>
              <w:rPr>
                <w:rFonts w:ascii="Times New Roman" w:hAnsi="Times New Roman"/>
                <w:b/>
                <w:sz w:val="24"/>
                <w:u w:val="single"/>
                <w:lang w:val="en-US"/>
              </w:rPr>
            </w:pPr>
            <w:r w:rsidRPr="0068244B">
              <w:rPr>
                <w:rFonts w:ascii="Times New Roman" w:hAnsi="Times New Roman"/>
                <w:b/>
                <w:sz w:val="24"/>
                <w:u w:val="single"/>
                <w:lang w:val="en-US"/>
              </w:rPr>
              <w:t xml:space="preserve">Credit </w:t>
            </w:r>
            <w:r w:rsidR="00527920" w:rsidRPr="0068244B">
              <w:rPr>
                <w:rFonts w:ascii="Times New Roman" w:hAnsi="Times New Roman"/>
                <w:b/>
                <w:sz w:val="24"/>
                <w:u w:val="single"/>
                <w:lang w:val="en-US"/>
              </w:rPr>
              <w:t>q</w:t>
            </w:r>
            <w:r w:rsidRPr="0068244B">
              <w:rPr>
                <w:rFonts w:ascii="Times New Roman" w:hAnsi="Times New Roman"/>
                <w:b/>
                <w:sz w:val="24"/>
                <w:u w:val="single"/>
                <w:lang w:val="en-US"/>
              </w:rPr>
              <w:t xml:space="preserve">uality </w:t>
            </w:r>
            <w:r w:rsidR="00527920" w:rsidRPr="0068244B">
              <w:rPr>
                <w:rFonts w:ascii="Times New Roman" w:hAnsi="Times New Roman"/>
                <w:b/>
                <w:sz w:val="24"/>
                <w:u w:val="single"/>
                <w:lang w:val="en-US"/>
              </w:rPr>
              <w:t>s</w:t>
            </w:r>
            <w:r w:rsidRPr="0068244B">
              <w:rPr>
                <w:rFonts w:ascii="Times New Roman" w:hAnsi="Times New Roman"/>
                <w:b/>
                <w:sz w:val="24"/>
                <w:u w:val="single"/>
                <w:lang w:val="en-US"/>
              </w:rPr>
              <w:t>tep</w:t>
            </w:r>
          </w:p>
          <w:p w14:paraId="692CB839" w14:textId="76307C3A" w:rsidR="00E05204" w:rsidRPr="0068244B" w:rsidRDefault="00966F82" w:rsidP="00C05CCA">
            <w:pPr>
              <w:rPr>
                <w:rFonts w:ascii="Times New Roman" w:hAnsi="Times New Roman"/>
                <w:sz w:val="24"/>
                <w:u w:val="single"/>
                <w:lang w:val="en-US"/>
              </w:rPr>
            </w:pPr>
            <w:r w:rsidRPr="0068244B">
              <w:rPr>
                <w:rFonts w:ascii="Times New Roman" w:hAnsi="Times New Roman"/>
                <w:sz w:val="24"/>
                <w:lang w:val="en-US"/>
              </w:rPr>
              <w:t>T</w:t>
            </w:r>
            <w:r w:rsidR="00E05204" w:rsidRPr="0068244B">
              <w:rPr>
                <w:rFonts w:ascii="Times New Roman" w:hAnsi="Times New Roman"/>
                <w:sz w:val="24"/>
                <w:lang w:val="en-US"/>
              </w:rPr>
              <w:t xml:space="preserve">he appropriate credit quality step </w:t>
            </w:r>
            <w:r w:rsidRPr="0068244B">
              <w:rPr>
                <w:rFonts w:ascii="Times New Roman" w:hAnsi="Times New Roman"/>
                <w:sz w:val="24"/>
                <w:lang w:val="en-US"/>
              </w:rPr>
              <w:t xml:space="preserve">shall be assigned </w:t>
            </w:r>
            <w:r w:rsidR="00047ECB" w:rsidRPr="0068244B">
              <w:rPr>
                <w:rFonts w:ascii="Times New Roman" w:hAnsi="Times New Roman"/>
                <w:sz w:val="24"/>
                <w:lang w:val="en-US"/>
              </w:rPr>
              <w:t xml:space="preserve">in </w:t>
            </w:r>
            <w:r w:rsidR="00E05204" w:rsidRPr="0068244B">
              <w:rPr>
                <w:rFonts w:ascii="Times New Roman" w:hAnsi="Times New Roman"/>
                <w:sz w:val="24"/>
                <w:lang w:val="en-US"/>
              </w:rPr>
              <w:t>accord</w:t>
            </w:r>
            <w:r w:rsidR="00047ECB" w:rsidRPr="0068244B">
              <w:rPr>
                <w:rFonts w:ascii="Times New Roman" w:hAnsi="Times New Roman"/>
                <w:sz w:val="24"/>
                <w:lang w:val="en-US"/>
              </w:rPr>
              <w:t>ance with Regulation (EU) No</w:t>
            </w:r>
            <w:r w:rsidR="00111A31" w:rsidRPr="0068244B">
              <w:rPr>
                <w:rFonts w:ascii="Times New Roman" w:hAnsi="Times New Roman"/>
                <w:sz w:val="24"/>
                <w:lang w:val="en-US"/>
              </w:rPr>
              <w:t xml:space="preserve"> 575/2013</w:t>
            </w:r>
            <w:r w:rsidR="00E05204" w:rsidRPr="0068244B">
              <w:rPr>
                <w:rFonts w:ascii="Times New Roman" w:hAnsi="Times New Roman"/>
                <w:sz w:val="24"/>
                <w:lang w:val="en-US"/>
              </w:rPr>
              <w:t xml:space="preserve">, </w:t>
            </w:r>
            <w:r w:rsidR="00047ECB" w:rsidRPr="0068244B">
              <w:rPr>
                <w:rFonts w:ascii="Times New Roman" w:hAnsi="Times New Roman"/>
                <w:sz w:val="24"/>
                <w:lang w:val="en-US"/>
              </w:rPr>
              <w:t xml:space="preserve">which shall be the same as that of </w:t>
            </w:r>
            <w:r w:rsidR="00E05204" w:rsidRPr="0068244B">
              <w:rPr>
                <w:rFonts w:ascii="Times New Roman" w:hAnsi="Times New Roman"/>
                <w:sz w:val="24"/>
                <w:lang w:val="en-US"/>
              </w:rPr>
              <w:t>the items reported in the maturity ladder</w:t>
            </w:r>
            <w:r w:rsidR="00047ECB" w:rsidRPr="0068244B">
              <w:rPr>
                <w:rFonts w:ascii="Times New Roman" w:hAnsi="Times New Roman"/>
                <w:sz w:val="24"/>
                <w:lang w:val="en-US"/>
              </w:rPr>
              <w:t>. Where the</w:t>
            </w:r>
            <w:r w:rsidRPr="0068244B">
              <w:rPr>
                <w:rFonts w:ascii="Times New Roman" w:hAnsi="Times New Roman"/>
                <w:sz w:val="24"/>
                <w:lang w:val="en-US"/>
              </w:rPr>
              <w:t>re</w:t>
            </w:r>
            <w:r w:rsidR="00047ECB" w:rsidRPr="0068244B">
              <w:rPr>
                <w:rFonts w:ascii="Times New Roman" w:hAnsi="Times New Roman"/>
                <w:sz w:val="24"/>
                <w:lang w:val="en-US"/>
              </w:rPr>
              <w:t xml:space="preserve"> </w:t>
            </w:r>
            <w:r w:rsidRPr="0068244B">
              <w:rPr>
                <w:rFonts w:ascii="Times New Roman" w:hAnsi="Times New Roman"/>
                <w:sz w:val="24"/>
                <w:lang w:val="en-US"/>
              </w:rPr>
              <w:t>is</w:t>
            </w:r>
            <w:r w:rsidR="00047ECB" w:rsidRPr="0068244B">
              <w:rPr>
                <w:rFonts w:ascii="Times New Roman" w:hAnsi="Times New Roman"/>
                <w:sz w:val="24"/>
                <w:lang w:val="en-US"/>
              </w:rPr>
              <w:t xml:space="preserve"> no rating, the </w:t>
            </w:r>
            <w:r w:rsidR="008C45B1" w:rsidRPr="0068244B">
              <w:rPr>
                <w:rFonts w:ascii="Times New Roman" w:hAnsi="Times New Roman"/>
                <w:sz w:val="24"/>
                <w:lang w:val="en-US"/>
              </w:rPr>
              <w:t>step of ‘non-rated’</w:t>
            </w:r>
            <w:r w:rsidRPr="0068244B">
              <w:rPr>
                <w:rFonts w:ascii="Times New Roman" w:hAnsi="Times New Roman"/>
                <w:sz w:val="24"/>
                <w:lang w:val="en-US"/>
              </w:rPr>
              <w:t xml:space="preserve"> shall be assigned</w:t>
            </w:r>
            <w:r w:rsidR="00111A31" w:rsidRPr="0068244B">
              <w:rPr>
                <w:rFonts w:ascii="Times New Roman" w:hAnsi="Times New Roman"/>
                <w:sz w:val="24"/>
                <w:lang w:val="en-US"/>
              </w:rPr>
              <w:t>.</w:t>
            </w:r>
          </w:p>
        </w:tc>
      </w:tr>
      <w:tr w:rsidR="00E05204" w:rsidRPr="0068244B" w14:paraId="2461383F" w14:textId="77777777" w:rsidTr="00845EB1">
        <w:tc>
          <w:tcPr>
            <w:tcW w:w="990" w:type="dxa"/>
          </w:tcPr>
          <w:p w14:paraId="7F1DF3BE" w14:textId="04859E06" w:rsidR="00E05204" w:rsidRPr="0068244B" w:rsidRDefault="00125C48" w:rsidP="00047ECB">
            <w:pPr>
              <w:rPr>
                <w:rFonts w:ascii="Times New Roman" w:hAnsi="Times New Roman"/>
                <w:sz w:val="24"/>
                <w:lang w:val="en-US"/>
              </w:rPr>
            </w:pPr>
            <w:r w:rsidRPr="0068244B">
              <w:rPr>
                <w:rFonts w:ascii="Times New Roman" w:hAnsi="Times New Roman"/>
                <w:sz w:val="24"/>
                <w:lang w:val="en-US"/>
              </w:rPr>
              <w:t>0</w:t>
            </w:r>
            <w:r w:rsidR="00D47672" w:rsidRPr="0068244B">
              <w:rPr>
                <w:rFonts w:ascii="Times New Roman" w:hAnsi="Times New Roman"/>
                <w:sz w:val="24"/>
                <w:lang w:val="en-US"/>
              </w:rPr>
              <w:t>0</w:t>
            </w:r>
            <w:r w:rsidRPr="0068244B">
              <w:rPr>
                <w:rFonts w:ascii="Times New Roman" w:hAnsi="Times New Roman"/>
                <w:sz w:val="24"/>
                <w:lang w:val="en-US"/>
              </w:rPr>
              <w:t>80</w:t>
            </w:r>
          </w:p>
        </w:tc>
        <w:tc>
          <w:tcPr>
            <w:tcW w:w="7306" w:type="dxa"/>
          </w:tcPr>
          <w:p w14:paraId="3B1CC0D3" w14:textId="77777777" w:rsidR="00E05204" w:rsidRPr="0068244B" w:rsidRDefault="00E05204" w:rsidP="00047ECB">
            <w:pPr>
              <w:rPr>
                <w:rFonts w:ascii="Times New Roman" w:hAnsi="Times New Roman"/>
                <w:b/>
                <w:sz w:val="24"/>
                <w:u w:val="single"/>
                <w:lang w:val="en-US"/>
              </w:rPr>
            </w:pPr>
            <w:r w:rsidRPr="0068244B">
              <w:rPr>
                <w:rFonts w:ascii="Times New Roman" w:hAnsi="Times New Roman"/>
                <w:b/>
                <w:sz w:val="24"/>
                <w:u w:val="single"/>
                <w:lang w:val="en-US"/>
              </w:rPr>
              <w:t>MtM value/nominal</w:t>
            </w:r>
          </w:p>
          <w:p w14:paraId="78CE7B68" w14:textId="6F7E8537" w:rsidR="00E05204" w:rsidRPr="0068244B" w:rsidRDefault="00E05204" w:rsidP="00047ECB">
            <w:pPr>
              <w:rPr>
                <w:rFonts w:ascii="Times New Roman" w:hAnsi="Times New Roman"/>
                <w:sz w:val="24"/>
                <w:lang w:val="en-US"/>
              </w:rPr>
            </w:pPr>
            <w:r w:rsidRPr="0068244B">
              <w:rPr>
                <w:rFonts w:ascii="Times New Roman" w:hAnsi="Times New Roman"/>
                <w:sz w:val="24"/>
                <w:lang w:val="en-US"/>
              </w:rPr>
              <w:t>The market value or fair value of the assets, or</w:t>
            </w:r>
            <w:r w:rsidR="00047ECB" w:rsidRPr="0068244B">
              <w:rPr>
                <w:rFonts w:ascii="Times New Roman" w:hAnsi="Times New Roman"/>
                <w:sz w:val="24"/>
                <w:lang w:val="en-US"/>
              </w:rPr>
              <w:t>,</w:t>
            </w:r>
            <w:r w:rsidRPr="0068244B">
              <w:rPr>
                <w:rFonts w:ascii="Times New Roman" w:hAnsi="Times New Roman"/>
                <w:sz w:val="24"/>
                <w:lang w:val="en-US"/>
              </w:rPr>
              <w:t xml:space="preserve"> </w:t>
            </w:r>
            <w:r w:rsidR="00047ECB" w:rsidRPr="0068244B">
              <w:rPr>
                <w:rFonts w:ascii="Times New Roman" w:hAnsi="Times New Roman"/>
                <w:sz w:val="24"/>
                <w:lang w:val="en-US"/>
              </w:rPr>
              <w:t>where</w:t>
            </w:r>
            <w:r w:rsidRPr="0068244B">
              <w:rPr>
                <w:rFonts w:ascii="Times New Roman" w:hAnsi="Times New Roman"/>
                <w:sz w:val="24"/>
                <w:lang w:val="en-US"/>
              </w:rPr>
              <w:t xml:space="preserve"> applicable</w:t>
            </w:r>
            <w:r w:rsidR="00047ECB" w:rsidRPr="0068244B">
              <w:rPr>
                <w:rFonts w:ascii="Times New Roman" w:hAnsi="Times New Roman"/>
                <w:sz w:val="24"/>
                <w:lang w:val="en-US"/>
              </w:rPr>
              <w:t>,</w:t>
            </w:r>
            <w:r w:rsidR="00AD33EE" w:rsidRPr="0068244B">
              <w:rPr>
                <w:rFonts w:ascii="Times New Roman" w:hAnsi="Times New Roman"/>
                <w:sz w:val="24"/>
                <w:lang w:val="en-US"/>
              </w:rPr>
              <w:t xml:space="preserve"> </w:t>
            </w:r>
            <w:r w:rsidRPr="0068244B">
              <w:rPr>
                <w:rFonts w:ascii="Times New Roman" w:hAnsi="Times New Roman"/>
                <w:sz w:val="24"/>
                <w:lang w:val="en-US"/>
              </w:rPr>
              <w:t xml:space="preserve">the nominal value of the undrawn liquidity line granted to the institution. </w:t>
            </w:r>
          </w:p>
        </w:tc>
      </w:tr>
      <w:tr w:rsidR="00E05204" w:rsidRPr="0068244B" w14:paraId="74EA2D80" w14:textId="77777777" w:rsidTr="00845EB1">
        <w:tc>
          <w:tcPr>
            <w:tcW w:w="990" w:type="dxa"/>
          </w:tcPr>
          <w:p w14:paraId="40B79F48" w14:textId="17099E72" w:rsidR="00E05204" w:rsidRPr="0068244B" w:rsidRDefault="00125C48" w:rsidP="00047ECB">
            <w:pPr>
              <w:rPr>
                <w:rFonts w:ascii="Times New Roman" w:hAnsi="Times New Roman"/>
                <w:sz w:val="24"/>
                <w:lang w:val="en-US"/>
              </w:rPr>
            </w:pPr>
            <w:r w:rsidRPr="0068244B">
              <w:rPr>
                <w:rFonts w:ascii="Times New Roman" w:hAnsi="Times New Roman"/>
                <w:sz w:val="24"/>
                <w:lang w:val="en-US"/>
              </w:rPr>
              <w:t>0</w:t>
            </w:r>
            <w:r w:rsidR="00D47672" w:rsidRPr="0068244B">
              <w:rPr>
                <w:rFonts w:ascii="Times New Roman" w:hAnsi="Times New Roman"/>
                <w:sz w:val="24"/>
                <w:lang w:val="en-US"/>
              </w:rPr>
              <w:t>0</w:t>
            </w:r>
            <w:r w:rsidRPr="0068244B">
              <w:rPr>
                <w:rFonts w:ascii="Times New Roman" w:hAnsi="Times New Roman"/>
                <w:sz w:val="24"/>
                <w:lang w:val="en-US"/>
              </w:rPr>
              <w:t>90</w:t>
            </w:r>
          </w:p>
        </w:tc>
        <w:tc>
          <w:tcPr>
            <w:tcW w:w="7306" w:type="dxa"/>
          </w:tcPr>
          <w:p w14:paraId="5F665131" w14:textId="77777777" w:rsidR="00E05204" w:rsidRPr="0068244B" w:rsidRDefault="00E05204" w:rsidP="00047ECB">
            <w:pPr>
              <w:rPr>
                <w:rFonts w:ascii="Times New Roman" w:hAnsi="Times New Roman"/>
                <w:b/>
                <w:sz w:val="24"/>
                <w:u w:val="single"/>
                <w:lang w:val="en-US"/>
              </w:rPr>
            </w:pPr>
            <w:r w:rsidRPr="0068244B">
              <w:rPr>
                <w:rFonts w:ascii="Times New Roman" w:hAnsi="Times New Roman"/>
                <w:b/>
                <w:sz w:val="24"/>
                <w:u w:val="single"/>
                <w:lang w:val="en-US"/>
              </w:rPr>
              <w:t xml:space="preserve">Collateral </w:t>
            </w:r>
            <w:r w:rsidR="00527920" w:rsidRPr="0068244B">
              <w:rPr>
                <w:rFonts w:ascii="Times New Roman" w:hAnsi="Times New Roman"/>
                <w:b/>
                <w:sz w:val="24"/>
                <w:u w:val="single"/>
                <w:lang w:val="en-US"/>
              </w:rPr>
              <w:t>v</w:t>
            </w:r>
            <w:r w:rsidRPr="0068244B">
              <w:rPr>
                <w:rFonts w:ascii="Times New Roman" w:hAnsi="Times New Roman"/>
                <w:b/>
                <w:sz w:val="24"/>
                <w:u w:val="single"/>
                <w:lang w:val="en-US"/>
              </w:rPr>
              <w:t>alue CB-eligible</w:t>
            </w:r>
          </w:p>
          <w:p w14:paraId="507C4FE8" w14:textId="2A6E5839" w:rsidR="00E05204" w:rsidRPr="0068244B" w:rsidRDefault="00E05204" w:rsidP="00047ECB">
            <w:pPr>
              <w:rPr>
                <w:rFonts w:ascii="Times New Roman" w:hAnsi="Times New Roman"/>
                <w:sz w:val="24"/>
                <w:lang w:val="en-US"/>
              </w:rPr>
            </w:pPr>
            <w:r w:rsidRPr="0068244B">
              <w:rPr>
                <w:rFonts w:ascii="Times New Roman" w:hAnsi="Times New Roman"/>
                <w:sz w:val="24"/>
                <w:lang w:val="en-US"/>
              </w:rPr>
              <w:t xml:space="preserve">The </w:t>
            </w:r>
            <w:r w:rsidRPr="0068244B">
              <w:rPr>
                <w:rStyle w:val="FormatvorlageInstructionsTabelleText"/>
                <w:rFonts w:ascii="Times New Roman" w:hAnsi="Times New Roman"/>
                <w:sz w:val="24"/>
              </w:rPr>
              <w:t>collateral</w:t>
            </w:r>
            <w:r w:rsidRPr="0068244B">
              <w:rPr>
                <w:rFonts w:ascii="Times New Roman" w:hAnsi="Times New Roman"/>
                <w:sz w:val="24"/>
                <w:lang w:val="en-US"/>
              </w:rPr>
              <w:t xml:space="preserve"> value </w:t>
            </w:r>
            <w:r w:rsidR="00936ADB" w:rsidRPr="0068244B">
              <w:rPr>
                <w:rFonts w:ascii="Times New Roman" w:hAnsi="Times New Roman"/>
                <w:sz w:val="24"/>
                <w:lang w:val="en-US"/>
              </w:rPr>
              <w:t xml:space="preserve">in </w:t>
            </w:r>
            <w:r w:rsidRPr="0068244B">
              <w:rPr>
                <w:rFonts w:ascii="Times New Roman" w:hAnsi="Times New Roman"/>
                <w:sz w:val="24"/>
                <w:lang w:val="en-US"/>
              </w:rPr>
              <w:t>accord</w:t>
            </w:r>
            <w:r w:rsidR="00936ADB" w:rsidRPr="0068244B">
              <w:rPr>
                <w:rFonts w:ascii="Times New Roman" w:hAnsi="Times New Roman"/>
                <w:sz w:val="24"/>
                <w:lang w:val="en-US"/>
              </w:rPr>
              <w:t xml:space="preserve">ance with </w:t>
            </w:r>
            <w:r w:rsidRPr="0068244B">
              <w:rPr>
                <w:rFonts w:ascii="Times New Roman" w:hAnsi="Times New Roman"/>
                <w:sz w:val="24"/>
                <w:lang w:val="en-US"/>
              </w:rPr>
              <w:t>the central bank rules for standing facilities for the specific assets</w:t>
            </w:r>
            <w:r w:rsidR="008F23F6" w:rsidRPr="0068244B">
              <w:rPr>
                <w:rFonts w:ascii="Times New Roman" w:hAnsi="Times New Roman"/>
                <w:sz w:val="24"/>
                <w:lang w:val="en-US"/>
              </w:rPr>
              <w:t>.</w:t>
            </w:r>
          </w:p>
          <w:p w14:paraId="4C124B93" w14:textId="0E66424F" w:rsidR="00BA0551" w:rsidRPr="0068244B" w:rsidRDefault="00B457F4" w:rsidP="00515147">
            <w:pPr>
              <w:rPr>
                <w:rFonts w:ascii="Times New Roman" w:hAnsi="Times New Roman"/>
                <w:sz w:val="24"/>
                <w:lang w:val="en-US"/>
              </w:rPr>
            </w:pPr>
            <w:r w:rsidRPr="0068244B">
              <w:rPr>
                <w:rFonts w:ascii="Times New Roman" w:hAnsi="Times New Roman"/>
                <w:sz w:val="24"/>
                <w:lang w:val="en-US"/>
              </w:rPr>
              <w:t xml:space="preserve">For assets denominated in a currency included in </w:t>
            </w:r>
            <w:r w:rsidR="00515147" w:rsidRPr="0068244B">
              <w:rPr>
                <w:rFonts w:ascii="Times New Roman" w:hAnsi="Times New Roman"/>
                <w:sz w:val="24"/>
                <w:lang w:val="en-US"/>
              </w:rPr>
              <w:t xml:space="preserve">Commission Implementing </w:t>
            </w:r>
            <w:r w:rsidRPr="0068244B">
              <w:rPr>
                <w:rFonts w:ascii="Times New Roman" w:hAnsi="Times New Roman"/>
                <w:sz w:val="24"/>
                <w:lang w:val="en-US"/>
              </w:rPr>
              <w:t>Regulation (EU) 2015/233</w:t>
            </w:r>
            <w:r w:rsidR="00515147" w:rsidRPr="0068244B">
              <w:rPr>
                <w:rFonts w:ascii="Times New Roman" w:hAnsi="Times New Roman"/>
                <w:sz w:val="24"/>
                <w:vertAlign w:val="superscript"/>
                <w:lang w:val="en-US"/>
              </w:rPr>
              <w:t>*</w:t>
            </w:r>
            <w:r w:rsidRPr="0068244B">
              <w:rPr>
                <w:rFonts w:ascii="Times New Roman" w:hAnsi="Times New Roman"/>
                <w:sz w:val="24"/>
                <w:vertAlign w:val="superscript"/>
                <w:lang w:val="en-US"/>
              </w:rPr>
              <w:t xml:space="preserve"> </w:t>
            </w:r>
            <w:r w:rsidRPr="0068244B">
              <w:rPr>
                <w:rFonts w:ascii="Times New Roman" w:hAnsi="Times New Roman"/>
                <w:sz w:val="24"/>
                <w:lang w:val="en-US"/>
              </w:rPr>
              <w:t>as a currency with extremely narrow central bank eligibility, institutions shall leave this field blank</w:t>
            </w:r>
            <w:r w:rsidR="00047ECB" w:rsidRPr="0068244B">
              <w:rPr>
                <w:rFonts w:ascii="Times New Roman" w:hAnsi="Times New Roman"/>
                <w:sz w:val="24"/>
                <w:lang w:val="en-US"/>
              </w:rPr>
              <w:t>.</w:t>
            </w:r>
            <w:r w:rsidR="00E94EBD">
              <w:rPr>
                <w:rFonts w:ascii="Times New Roman" w:hAnsi="Times New Roman"/>
                <w:sz w:val="24"/>
                <w:lang w:val="en-US"/>
              </w:rPr>
              <w:t>́</w:t>
            </w:r>
            <w:bookmarkStart w:id="1" w:name="_GoBack"/>
            <w:bookmarkEnd w:id="1"/>
          </w:p>
        </w:tc>
      </w:tr>
    </w:tbl>
    <w:p w14:paraId="2BD524BD" w14:textId="77777777" w:rsidR="00515147" w:rsidRPr="0068244B" w:rsidRDefault="00515147" w:rsidP="00845EB1">
      <w:pPr>
        <w:pStyle w:val="InstructionsText"/>
      </w:pPr>
      <w:r w:rsidRPr="0068244B">
        <w:t>______________</w:t>
      </w:r>
    </w:p>
    <w:p w14:paraId="56E0854E" w14:textId="4C352ECC" w:rsidR="00D02FE4" w:rsidRPr="00845EB1" w:rsidRDefault="00515147" w:rsidP="00515147">
      <w:pPr>
        <w:pStyle w:val="InstructionsText"/>
        <w:rPr>
          <w:rStyle w:val="InstructionsTabelleText"/>
          <w:b/>
        </w:rPr>
      </w:pPr>
      <w:r w:rsidRPr="0068244B">
        <w:rPr>
          <w:vertAlign w:val="superscript"/>
        </w:rPr>
        <w:t xml:space="preserve">* </w:t>
      </w:r>
      <w:r w:rsidRPr="0068244B">
        <w:t>Commission Implementing Regulation (EU) 2015/233 of 13 February 2015 laying down implementing technical standards with regard to currencies in which there is an extremely narrow definition of central bank eligibility pursuant to Regulation (EU) No 575/2013 of the European Parliament and of the Council (OJ L 39, 14.2.2015, p. 11).</w:t>
      </w:r>
      <w:r w:rsidRPr="00845EB1">
        <w:t xml:space="preserve"> </w:t>
      </w:r>
    </w:p>
    <w:sectPr w:rsidR="00D02FE4" w:rsidRPr="00845EB1" w:rsidSect="001C50E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1304"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45E02B" w16cid:durableId="25C0AF9B"/>
  <w16cid:commentId w16cid:paraId="2942CB83" w16cid:durableId="25C0AFA5"/>
  <w16cid:commentId w16cid:paraId="7D725ECE" w16cid:durableId="25C0AF9C"/>
  <w16cid:commentId w16cid:paraId="3AD63B79" w16cid:durableId="25C0B13B"/>
  <w16cid:commentId w16cid:paraId="1E98360E" w16cid:durableId="25C0AF9D"/>
  <w16cid:commentId w16cid:paraId="0F60AB7F" w16cid:durableId="25C0B3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81C07" w14:textId="77777777" w:rsidR="00E93689" w:rsidRDefault="00E93689">
      <w:r>
        <w:separator/>
      </w:r>
    </w:p>
  </w:endnote>
  <w:endnote w:type="continuationSeparator" w:id="0">
    <w:p w14:paraId="1B0C87B6" w14:textId="77777777" w:rsidR="00E93689" w:rsidRDefault="00E93689">
      <w:r>
        <w:continuationSeparator/>
      </w:r>
    </w:p>
  </w:endnote>
  <w:endnote w:type="continuationNotice" w:id="1">
    <w:p w14:paraId="1FB52F26" w14:textId="77777777" w:rsidR="00E93689" w:rsidRDefault="00E936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93A16" w14:textId="77777777" w:rsidR="00191FF3" w:rsidRDefault="00191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1377"/>
      <w:docPartObj>
        <w:docPartGallery w:val="Page Numbers (Bottom of Page)"/>
        <w:docPartUnique/>
      </w:docPartObj>
    </w:sdtPr>
    <w:sdtEndPr>
      <w:rPr>
        <w:noProof/>
      </w:rPr>
    </w:sdtEndPr>
    <w:sdtContent>
      <w:p w14:paraId="2FCDB5EC" w14:textId="59B7D084" w:rsidR="008E3ABF" w:rsidRDefault="008E3ABF">
        <w:pPr>
          <w:pStyle w:val="Footer"/>
          <w:jc w:val="center"/>
        </w:pPr>
        <w:r>
          <w:fldChar w:fldCharType="begin"/>
        </w:r>
        <w:r>
          <w:instrText xml:space="preserve"> PAGE   \* MERGEFORMAT </w:instrText>
        </w:r>
        <w:r>
          <w:fldChar w:fldCharType="separate"/>
        </w:r>
        <w:r w:rsidR="00E94EBD">
          <w:rPr>
            <w:noProof/>
          </w:rPr>
          <w:t>3</w:t>
        </w:r>
        <w:r>
          <w:rPr>
            <w:noProof/>
          </w:rPr>
          <w:fldChar w:fldCharType="end"/>
        </w:r>
      </w:p>
    </w:sdtContent>
  </w:sdt>
  <w:p w14:paraId="75EDC8A2" w14:textId="77777777" w:rsidR="008E3ABF" w:rsidRDefault="008E3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682065"/>
      <w:docPartObj>
        <w:docPartGallery w:val="Page Numbers (Bottom of Page)"/>
        <w:docPartUnique/>
      </w:docPartObj>
    </w:sdtPr>
    <w:sdtEndPr>
      <w:rPr>
        <w:noProof/>
      </w:rPr>
    </w:sdtEndPr>
    <w:sdtContent>
      <w:p w14:paraId="70C21430" w14:textId="0316AE9F" w:rsidR="009B3D8D" w:rsidRDefault="009B3D8D">
        <w:pPr>
          <w:pStyle w:val="Footer"/>
          <w:jc w:val="center"/>
        </w:pPr>
        <w:r>
          <w:fldChar w:fldCharType="begin"/>
        </w:r>
        <w:r>
          <w:instrText xml:space="preserve"> PAGE   \* MERGEFORMAT </w:instrText>
        </w:r>
        <w:r>
          <w:fldChar w:fldCharType="separate"/>
        </w:r>
        <w:r w:rsidR="00E94EBD">
          <w:rPr>
            <w:noProof/>
          </w:rPr>
          <w:t>1</w:t>
        </w:r>
        <w:r>
          <w:rPr>
            <w:noProof/>
          </w:rPr>
          <w:fldChar w:fldCharType="end"/>
        </w:r>
      </w:p>
    </w:sdtContent>
  </w:sdt>
  <w:p w14:paraId="266E4E64" w14:textId="77777777" w:rsidR="009B3D8D" w:rsidRDefault="009B3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87DBF" w14:textId="77777777" w:rsidR="00E93689" w:rsidRDefault="00E93689">
      <w:r>
        <w:separator/>
      </w:r>
    </w:p>
  </w:footnote>
  <w:footnote w:type="continuationSeparator" w:id="0">
    <w:p w14:paraId="5AE6DC05" w14:textId="77777777" w:rsidR="00E93689" w:rsidRDefault="00E93689">
      <w:r>
        <w:continuationSeparator/>
      </w:r>
    </w:p>
  </w:footnote>
  <w:footnote w:type="continuationNotice" w:id="1">
    <w:p w14:paraId="6C243A08" w14:textId="77777777" w:rsidR="00E93689" w:rsidRDefault="00E9368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5DF9F" w14:textId="3D370CD7" w:rsidR="00191FF3" w:rsidRDefault="00191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DA46" w14:textId="12540B02" w:rsidR="00B85053" w:rsidRDefault="00B85053" w:rsidP="00CB367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4103" w14:textId="692A2ED8" w:rsidR="00B85053" w:rsidRDefault="00B85053" w:rsidP="001C50E6">
    <w:pPr>
      <w:pStyle w:val="Header"/>
      <w:tabs>
        <w:tab w:val="left" w:pos="2742"/>
        <w:tab w:val="right" w:pos="8306"/>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CE6"/>
    <w:multiLevelType w:val="hybridMultilevel"/>
    <w:tmpl w:val="451A7CD0"/>
    <w:lvl w:ilvl="0" w:tplc="9CEC86B4">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F81BD"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F81BD"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F81BD"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02FE4"/>
    <w:rsid w:val="00003323"/>
    <w:rsid w:val="000038B0"/>
    <w:rsid w:val="00005124"/>
    <w:rsid w:val="0000533E"/>
    <w:rsid w:val="000055AF"/>
    <w:rsid w:val="00007F98"/>
    <w:rsid w:val="00010E6E"/>
    <w:rsid w:val="0001317A"/>
    <w:rsid w:val="00014140"/>
    <w:rsid w:val="000147A2"/>
    <w:rsid w:val="00017710"/>
    <w:rsid w:val="00020037"/>
    <w:rsid w:val="00020D35"/>
    <w:rsid w:val="000222A8"/>
    <w:rsid w:val="00024284"/>
    <w:rsid w:val="00025096"/>
    <w:rsid w:val="00027397"/>
    <w:rsid w:val="000305BD"/>
    <w:rsid w:val="000319E0"/>
    <w:rsid w:val="00032985"/>
    <w:rsid w:val="00032AC7"/>
    <w:rsid w:val="00032D38"/>
    <w:rsid w:val="00033E6A"/>
    <w:rsid w:val="0003410D"/>
    <w:rsid w:val="00036812"/>
    <w:rsid w:val="00037147"/>
    <w:rsid w:val="00045FD6"/>
    <w:rsid w:val="000460CB"/>
    <w:rsid w:val="000473FA"/>
    <w:rsid w:val="00047ECB"/>
    <w:rsid w:val="000502BD"/>
    <w:rsid w:val="000502EB"/>
    <w:rsid w:val="0005030F"/>
    <w:rsid w:val="000516AE"/>
    <w:rsid w:val="000520B1"/>
    <w:rsid w:val="0005230B"/>
    <w:rsid w:val="00052C04"/>
    <w:rsid w:val="000536F6"/>
    <w:rsid w:val="0005450D"/>
    <w:rsid w:val="00054637"/>
    <w:rsid w:val="000553C2"/>
    <w:rsid w:val="0005541B"/>
    <w:rsid w:val="00055892"/>
    <w:rsid w:val="0005633D"/>
    <w:rsid w:val="00057495"/>
    <w:rsid w:val="00060360"/>
    <w:rsid w:val="0006085A"/>
    <w:rsid w:val="00061237"/>
    <w:rsid w:val="00062247"/>
    <w:rsid w:val="000634DB"/>
    <w:rsid w:val="00063538"/>
    <w:rsid w:val="000635F8"/>
    <w:rsid w:val="00065B7A"/>
    <w:rsid w:val="000661DE"/>
    <w:rsid w:val="00067872"/>
    <w:rsid w:val="0007112B"/>
    <w:rsid w:val="0007486C"/>
    <w:rsid w:val="000761EA"/>
    <w:rsid w:val="00076DEF"/>
    <w:rsid w:val="000774F6"/>
    <w:rsid w:val="000811DC"/>
    <w:rsid w:val="00083FD8"/>
    <w:rsid w:val="000858D4"/>
    <w:rsid w:val="00087DC0"/>
    <w:rsid w:val="000916BF"/>
    <w:rsid w:val="0009355B"/>
    <w:rsid w:val="00094799"/>
    <w:rsid w:val="000A1B1B"/>
    <w:rsid w:val="000A1E8B"/>
    <w:rsid w:val="000A22EF"/>
    <w:rsid w:val="000A265B"/>
    <w:rsid w:val="000A4E47"/>
    <w:rsid w:val="000A6553"/>
    <w:rsid w:val="000A65B1"/>
    <w:rsid w:val="000A676C"/>
    <w:rsid w:val="000A7714"/>
    <w:rsid w:val="000B1AD8"/>
    <w:rsid w:val="000B1E42"/>
    <w:rsid w:val="000B31E2"/>
    <w:rsid w:val="000B323F"/>
    <w:rsid w:val="000B36FE"/>
    <w:rsid w:val="000B45B9"/>
    <w:rsid w:val="000B5A28"/>
    <w:rsid w:val="000B7471"/>
    <w:rsid w:val="000C0065"/>
    <w:rsid w:val="000C1613"/>
    <w:rsid w:val="000C1BA6"/>
    <w:rsid w:val="000C1E1F"/>
    <w:rsid w:val="000C2B9F"/>
    <w:rsid w:val="000C3837"/>
    <w:rsid w:val="000C44C9"/>
    <w:rsid w:val="000C46A9"/>
    <w:rsid w:val="000C651F"/>
    <w:rsid w:val="000C72CD"/>
    <w:rsid w:val="000C7B0C"/>
    <w:rsid w:val="000D002E"/>
    <w:rsid w:val="000D04E1"/>
    <w:rsid w:val="000D50C1"/>
    <w:rsid w:val="000D7457"/>
    <w:rsid w:val="000D7711"/>
    <w:rsid w:val="000E0086"/>
    <w:rsid w:val="000E375E"/>
    <w:rsid w:val="000E3E1D"/>
    <w:rsid w:val="000E43D6"/>
    <w:rsid w:val="000E54B5"/>
    <w:rsid w:val="000E7CD0"/>
    <w:rsid w:val="000F0DF9"/>
    <w:rsid w:val="000F32F6"/>
    <w:rsid w:val="000F5579"/>
    <w:rsid w:val="000F740F"/>
    <w:rsid w:val="0010105A"/>
    <w:rsid w:val="0010175F"/>
    <w:rsid w:val="00101DBE"/>
    <w:rsid w:val="00103C2D"/>
    <w:rsid w:val="00104ECF"/>
    <w:rsid w:val="00104F31"/>
    <w:rsid w:val="00105E75"/>
    <w:rsid w:val="00107C11"/>
    <w:rsid w:val="001105C6"/>
    <w:rsid w:val="00110E44"/>
    <w:rsid w:val="00111A31"/>
    <w:rsid w:val="0011243F"/>
    <w:rsid w:val="001126F1"/>
    <w:rsid w:val="001128AA"/>
    <w:rsid w:val="00112DAD"/>
    <w:rsid w:val="00114DCE"/>
    <w:rsid w:val="0011685F"/>
    <w:rsid w:val="00120331"/>
    <w:rsid w:val="00123582"/>
    <w:rsid w:val="00124EB8"/>
    <w:rsid w:val="001253FE"/>
    <w:rsid w:val="00125C48"/>
    <w:rsid w:val="00127122"/>
    <w:rsid w:val="0013073C"/>
    <w:rsid w:val="001325ED"/>
    <w:rsid w:val="001359BB"/>
    <w:rsid w:val="00136431"/>
    <w:rsid w:val="00136550"/>
    <w:rsid w:val="00140831"/>
    <w:rsid w:val="00140ABC"/>
    <w:rsid w:val="00142225"/>
    <w:rsid w:val="00143022"/>
    <w:rsid w:val="00143B75"/>
    <w:rsid w:val="00145317"/>
    <w:rsid w:val="001456E6"/>
    <w:rsid w:val="00147C46"/>
    <w:rsid w:val="00147F95"/>
    <w:rsid w:val="001507A4"/>
    <w:rsid w:val="001526C6"/>
    <w:rsid w:val="00152A18"/>
    <w:rsid w:val="0015307E"/>
    <w:rsid w:val="00153E41"/>
    <w:rsid w:val="00155567"/>
    <w:rsid w:val="00155E96"/>
    <w:rsid w:val="00161BDD"/>
    <w:rsid w:val="001625B0"/>
    <w:rsid w:val="001632B2"/>
    <w:rsid w:val="00165C19"/>
    <w:rsid w:val="001660A1"/>
    <w:rsid w:val="00166BAD"/>
    <w:rsid w:val="0017040C"/>
    <w:rsid w:val="00170712"/>
    <w:rsid w:val="00174660"/>
    <w:rsid w:val="00174D74"/>
    <w:rsid w:val="0017510B"/>
    <w:rsid w:val="0018393C"/>
    <w:rsid w:val="0018399F"/>
    <w:rsid w:val="00187112"/>
    <w:rsid w:val="00191CE8"/>
    <w:rsid w:val="00191FF3"/>
    <w:rsid w:val="001922E6"/>
    <w:rsid w:val="001924A9"/>
    <w:rsid w:val="001925FB"/>
    <w:rsid w:val="001934CA"/>
    <w:rsid w:val="001959EA"/>
    <w:rsid w:val="00195D88"/>
    <w:rsid w:val="00197358"/>
    <w:rsid w:val="00197458"/>
    <w:rsid w:val="00197B73"/>
    <w:rsid w:val="00197EDB"/>
    <w:rsid w:val="001A1D46"/>
    <w:rsid w:val="001A2A5D"/>
    <w:rsid w:val="001A331C"/>
    <w:rsid w:val="001A5E1F"/>
    <w:rsid w:val="001B05A8"/>
    <w:rsid w:val="001B0E00"/>
    <w:rsid w:val="001B1693"/>
    <w:rsid w:val="001B391C"/>
    <w:rsid w:val="001B5CC0"/>
    <w:rsid w:val="001B5DC4"/>
    <w:rsid w:val="001B609D"/>
    <w:rsid w:val="001C32BB"/>
    <w:rsid w:val="001C3ABE"/>
    <w:rsid w:val="001C4004"/>
    <w:rsid w:val="001C4296"/>
    <w:rsid w:val="001C44AD"/>
    <w:rsid w:val="001C50E6"/>
    <w:rsid w:val="001C5C97"/>
    <w:rsid w:val="001D2383"/>
    <w:rsid w:val="001D4F56"/>
    <w:rsid w:val="001D7651"/>
    <w:rsid w:val="001E0127"/>
    <w:rsid w:val="001E0B50"/>
    <w:rsid w:val="001E377E"/>
    <w:rsid w:val="001E4031"/>
    <w:rsid w:val="001E4878"/>
    <w:rsid w:val="001E4D8E"/>
    <w:rsid w:val="001E4EA9"/>
    <w:rsid w:val="001F03D5"/>
    <w:rsid w:val="001F06E6"/>
    <w:rsid w:val="001F0920"/>
    <w:rsid w:val="001F0985"/>
    <w:rsid w:val="001F21BE"/>
    <w:rsid w:val="001F222A"/>
    <w:rsid w:val="001F2559"/>
    <w:rsid w:val="001F3791"/>
    <w:rsid w:val="001F38B6"/>
    <w:rsid w:val="001F3C44"/>
    <w:rsid w:val="001F41F9"/>
    <w:rsid w:val="001F54B3"/>
    <w:rsid w:val="001F552A"/>
    <w:rsid w:val="001F5BAD"/>
    <w:rsid w:val="001F7680"/>
    <w:rsid w:val="001F7864"/>
    <w:rsid w:val="001F7E2C"/>
    <w:rsid w:val="002039F8"/>
    <w:rsid w:val="00203C60"/>
    <w:rsid w:val="00203DDF"/>
    <w:rsid w:val="00204D9A"/>
    <w:rsid w:val="00206F9E"/>
    <w:rsid w:val="0021066C"/>
    <w:rsid w:val="002108D8"/>
    <w:rsid w:val="00210E4D"/>
    <w:rsid w:val="00211504"/>
    <w:rsid w:val="00211F7A"/>
    <w:rsid w:val="00212FCC"/>
    <w:rsid w:val="00214011"/>
    <w:rsid w:val="00217076"/>
    <w:rsid w:val="00217556"/>
    <w:rsid w:val="00220736"/>
    <w:rsid w:val="00220CBD"/>
    <w:rsid w:val="002219D9"/>
    <w:rsid w:val="002242AF"/>
    <w:rsid w:val="0022499B"/>
    <w:rsid w:val="00224C95"/>
    <w:rsid w:val="002301D6"/>
    <w:rsid w:val="002309CD"/>
    <w:rsid w:val="00231B08"/>
    <w:rsid w:val="002352E7"/>
    <w:rsid w:val="00235ED5"/>
    <w:rsid w:val="00237261"/>
    <w:rsid w:val="002378C6"/>
    <w:rsid w:val="002403E3"/>
    <w:rsid w:val="00243B7F"/>
    <w:rsid w:val="002453B7"/>
    <w:rsid w:val="00245F6F"/>
    <w:rsid w:val="00246D52"/>
    <w:rsid w:val="00247235"/>
    <w:rsid w:val="002505E8"/>
    <w:rsid w:val="00250C47"/>
    <w:rsid w:val="00251381"/>
    <w:rsid w:val="00253273"/>
    <w:rsid w:val="002538F2"/>
    <w:rsid w:val="0025496A"/>
    <w:rsid w:val="00257904"/>
    <w:rsid w:val="00257EFA"/>
    <w:rsid w:val="0026098F"/>
    <w:rsid w:val="00261C3A"/>
    <w:rsid w:val="0026228C"/>
    <w:rsid w:val="0026410D"/>
    <w:rsid w:val="00264535"/>
    <w:rsid w:val="0026486E"/>
    <w:rsid w:val="0026487A"/>
    <w:rsid w:val="00265A6B"/>
    <w:rsid w:val="00265C4F"/>
    <w:rsid w:val="00265D0F"/>
    <w:rsid w:val="00270D39"/>
    <w:rsid w:val="00273B9D"/>
    <w:rsid w:val="00274246"/>
    <w:rsid w:val="00274A2D"/>
    <w:rsid w:val="00274FC9"/>
    <w:rsid w:val="002779FD"/>
    <w:rsid w:val="002813A2"/>
    <w:rsid w:val="00282604"/>
    <w:rsid w:val="00284510"/>
    <w:rsid w:val="00286398"/>
    <w:rsid w:val="002873EA"/>
    <w:rsid w:val="00290092"/>
    <w:rsid w:val="0029091E"/>
    <w:rsid w:val="002914DD"/>
    <w:rsid w:val="00291A5F"/>
    <w:rsid w:val="00292B75"/>
    <w:rsid w:val="00292D74"/>
    <w:rsid w:val="0029373D"/>
    <w:rsid w:val="0029404F"/>
    <w:rsid w:val="00295731"/>
    <w:rsid w:val="002957A1"/>
    <w:rsid w:val="002959B8"/>
    <w:rsid w:val="00295C96"/>
    <w:rsid w:val="00296254"/>
    <w:rsid w:val="002963F5"/>
    <w:rsid w:val="0029689C"/>
    <w:rsid w:val="002A0287"/>
    <w:rsid w:val="002A0515"/>
    <w:rsid w:val="002A08C1"/>
    <w:rsid w:val="002A1620"/>
    <w:rsid w:val="002A2091"/>
    <w:rsid w:val="002A24DB"/>
    <w:rsid w:val="002A4E71"/>
    <w:rsid w:val="002A575B"/>
    <w:rsid w:val="002A71AB"/>
    <w:rsid w:val="002B09BC"/>
    <w:rsid w:val="002B19FD"/>
    <w:rsid w:val="002B1FDF"/>
    <w:rsid w:val="002B27BD"/>
    <w:rsid w:val="002B3370"/>
    <w:rsid w:val="002B33E6"/>
    <w:rsid w:val="002B4524"/>
    <w:rsid w:val="002B61DE"/>
    <w:rsid w:val="002B6C9B"/>
    <w:rsid w:val="002C0F1F"/>
    <w:rsid w:val="002C60EE"/>
    <w:rsid w:val="002C67AA"/>
    <w:rsid w:val="002C72B4"/>
    <w:rsid w:val="002D1564"/>
    <w:rsid w:val="002D4EAD"/>
    <w:rsid w:val="002D6FC1"/>
    <w:rsid w:val="002D74BE"/>
    <w:rsid w:val="002D7DBC"/>
    <w:rsid w:val="002E06E0"/>
    <w:rsid w:val="002E0FBD"/>
    <w:rsid w:val="002E226D"/>
    <w:rsid w:val="002E4EDF"/>
    <w:rsid w:val="002E526C"/>
    <w:rsid w:val="002E6647"/>
    <w:rsid w:val="002E7093"/>
    <w:rsid w:val="002F100F"/>
    <w:rsid w:val="002F2006"/>
    <w:rsid w:val="002F3F30"/>
    <w:rsid w:val="002F40B2"/>
    <w:rsid w:val="002F461A"/>
    <w:rsid w:val="002F49D9"/>
    <w:rsid w:val="002F54A6"/>
    <w:rsid w:val="002F6343"/>
    <w:rsid w:val="00301B66"/>
    <w:rsid w:val="003040AA"/>
    <w:rsid w:val="00305838"/>
    <w:rsid w:val="003062E2"/>
    <w:rsid w:val="0031067C"/>
    <w:rsid w:val="00310CF5"/>
    <w:rsid w:val="00315C5E"/>
    <w:rsid w:val="00316707"/>
    <w:rsid w:val="00316817"/>
    <w:rsid w:val="00320184"/>
    <w:rsid w:val="00322AD6"/>
    <w:rsid w:val="0032336B"/>
    <w:rsid w:val="003237B6"/>
    <w:rsid w:val="00325272"/>
    <w:rsid w:val="00325C2E"/>
    <w:rsid w:val="00327A13"/>
    <w:rsid w:val="00330661"/>
    <w:rsid w:val="00331212"/>
    <w:rsid w:val="00331259"/>
    <w:rsid w:val="003322E1"/>
    <w:rsid w:val="0033279C"/>
    <w:rsid w:val="00332BEB"/>
    <w:rsid w:val="00332D04"/>
    <w:rsid w:val="003344EC"/>
    <w:rsid w:val="00335698"/>
    <w:rsid w:val="003400BD"/>
    <w:rsid w:val="00340D40"/>
    <w:rsid w:val="003411FB"/>
    <w:rsid w:val="003414A3"/>
    <w:rsid w:val="00341A84"/>
    <w:rsid w:val="00342A05"/>
    <w:rsid w:val="00342A27"/>
    <w:rsid w:val="00345BBF"/>
    <w:rsid w:val="00346A24"/>
    <w:rsid w:val="00347094"/>
    <w:rsid w:val="00347456"/>
    <w:rsid w:val="0035186E"/>
    <w:rsid w:val="0035467B"/>
    <w:rsid w:val="0035579B"/>
    <w:rsid w:val="003618AD"/>
    <w:rsid w:val="00365819"/>
    <w:rsid w:val="00365D67"/>
    <w:rsid w:val="003664D2"/>
    <w:rsid w:val="00367F87"/>
    <w:rsid w:val="00370CE1"/>
    <w:rsid w:val="003719B4"/>
    <w:rsid w:val="00372157"/>
    <w:rsid w:val="003727B9"/>
    <w:rsid w:val="0037286C"/>
    <w:rsid w:val="00373296"/>
    <w:rsid w:val="003737D3"/>
    <w:rsid w:val="003748A7"/>
    <w:rsid w:val="00375F1B"/>
    <w:rsid w:val="00376755"/>
    <w:rsid w:val="003821DB"/>
    <w:rsid w:val="0038298F"/>
    <w:rsid w:val="00382D94"/>
    <w:rsid w:val="00382E57"/>
    <w:rsid w:val="00387314"/>
    <w:rsid w:val="00387DE5"/>
    <w:rsid w:val="00390C02"/>
    <w:rsid w:val="00391724"/>
    <w:rsid w:val="003920BB"/>
    <w:rsid w:val="00392C32"/>
    <w:rsid w:val="003A05E1"/>
    <w:rsid w:val="003A07A5"/>
    <w:rsid w:val="003A45A0"/>
    <w:rsid w:val="003A4AA3"/>
    <w:rsid w:val="003A65ED"/>
    <w:rsid w:val="003A77C4"/>
    <w:rsid w:val="003B0648"/>
    <w:rsid w:val="003B2DAA"/>
    <w:rsid w:val="003B36FA"/>
    <w:rsid w:val="003B492B"/>
    <w:rsid w:val="003B5902"/>
    <w:rsid w:val="003B5E4E"/>
    <w:rsid w:val="003B6711"/>
    <w:rsid w:val="003B7D4B"/>
    <w:rsid w:val="003B7F4E"/>
    <w:rsid w:val="003C0FCA"/>
    <w:rsid w:val="003C23AF"/>
    <w:rsid w:val="003C34BD"/>
    <w:rsid w:val="003C4B9E"/>
    <w:rsid w:val="003C52C9"/>
    <w:rsid w:val="003C6A18"/>
    <w:rsid w:val="003C7C25"/>
    <w:rsid w:val="003D460D"/>
    <w:rsid w:val="003D4BDF"/>
    <w:rsid w:val="003D627C"/>
    <w:rsid w:val="003D6B9C"/>
    <w:rsid w:val="003D6CCA"/>
    <w:rsid w:val="003D7052"/>
    <w:rsid w:val="003E0FD8"/>
    <w:rsid w:val="003E2353"/>
    <w:rsid w:val="003E7307"/>
    <w:rsid w:val="003E76E9"/>
    <w:rsid w:val="003E7985"/>
    <w:rsid w:val="003F1434"/>
    <w:rsid w:val="003F171E"/>
    <w:rsid w:val="003F176E"/>
    <w:rsid w:val="003F37A5"/>
    <w:rsid w:val="003F5389"/>
    <w:rsid w:val="00401AE9"/>
    <w:rsid w:val="00402D60"/>
    <w:rsid w:val="004036B6"/>
    <w:rsid w:val="00403A80"/>
    <w:rsid w:val="0040604D"/>
    <w:rsid w:val="00406560"/>
    <w:rsid w:val="004066B9"/>
    <w:rsid w:val="004115FF"/>
    <w:rsid w:val="004127AC"/>
    <w:rsid w:val="00412B2C"/>
    <w:rsid w:val="00416408"/>
    <w:rsid w:val="004174D0"/>
    <w:rsid w:val="00422366"/>
    <w:rsid w:val="004225B8"/>
    <w:rsid w:val="00423C2C"/>
    <w:rsid w:val="00424695"/>
    <w:rsid w:val="004249E7"/>
    <w:rsid w:val="00425C97"/>
    <w:rsid w:val="00426411"/>
    <w:rsid w:val="00427114"/>
    <w:rsid w:val="00430772"/>
    <w:rsid w:val="00431FDC"/>
    <w:rsid w:val="00432104"/>
    <w:rsid w:val="0043404E"/>
    <w:rsid w:val="00436A29"/>
    <w:rsid w:val="0043770A"/>
    <w:rsid w:val="00437C92"/>
    <w:rsid w:val="00440C15"/>
    <w:rsid w:val="00442C44"/>
    <w:rsid w:val="004438F6"/>
    <w:rsid w:val="00443C8F"/>
    <w:rsid w:val="00444F57"/>
    <w:rsid w:val="00445F38"/>
    <w:rsid w:val="00450530"/>
    <w:rsid w:val="00453058"/>
    <w:rsid w:val="00455269"/>
    <w:rsid w:val="00455BBB"/>
    <w:rsid w:val="00456C57"/>
    <w:rsid w:val="00464465"/>
    <w:rsid w:val="00465663"/>
    <w:rsid w:val="004679FE"/>
    <w:rsid w:val="00471A02"/>
    <w:rsid w:val="00471D03"/>
    <w:rsid w:val="0047207F"/>
    <w:rsid w:val="00472557"/>
    <w:rsid w:val="004748D6"/>
    <w:rsid w:val="00474E51"/>
    <w:rsid w:val="00477625"/>
    <w:rsid w:val="0048110A"/>
    <w:rsid w:val="00481635"/>
    <w:rsid w:val="00481671"/>
    <w:rsid w:val="0048225A"/>
    <w:rsid w:val="004842A4"/>
    <w:rsid w:val="00484814"/>
    <w:rsid w:val="00485FC0"/>
    <w:rsid w:val="00490CBE"/>
    <w:rsid w:val="00491360"/>
    <w:rsid w:val="00492D45"/>
    <w:rsid w:val="00493BAC"/>
    <w:rsid w:val="0049459E"/>
    <w:rsid w:val="00495988"/>
    <w:rsid w:val="004959F9"/>
    <w:rsid w:val="004971FB"/>
    <w:rsid w:val="004A0067"/>
    <w:rsid w:val="004A0AFD"/>
    <w:rsid w:val="004A1949"/>
    <w:rsid w:val="004A1C3C"/>
    <w:rsid w:val="004A2C03"/>
    <w:rsid w:val="004A3251"/>
    <w:rsid w:val="004A4943"/>
    <w:rsid w:val="004A6F1D"/>
    <w:rsid w:val="004B0991"/>
    <w:rsid w:val="004B179E"/>
    <w:rsid w:val="004B37CF"/>
    <w:rsid w:val="004B4EEB"/>
    <w:rsid w:val="004B52C5"/>
    <w:rsid w:val="004C0310"/>
    <w:rsid w:val="004C03B1"/>
    <w:rsid w:val="004C03B6"/>
    <w:rsid w:val="004C067F"/>
    <w:rsid w:val="004C08FE"/>
    <w:rsid w:val="004C0945"/>
    <w:rsid w:val="004C12AE"/>
    <w:rsid w:val="004C1638"/>
    <w:rsid w:val="004C2CB2"/>
    <w:rsid w:val="004C3A64"/>
    <w:rsid w:val="004C3B19"/>
    <w:rsid w:val="004C4793"/>
    <w:rsid w:val="004C55E2"/>
    <w:rsid w:val="004C6B4F"/>
    <w:rsid w:val="004C6E56"/>
    <w:rsid w:val="004C7903"/>
    <w:rsid w:val="004C7F74"/>
    <w:rsid w:val="004D0658"/>
    <w:rsid w:val="004D0CA9"/>
    <w:rsid w:val="004D16B9"/>
    <w:rsid w:val="004D33CA"/>
    <w:rsid w:val="004D3581"/>
    <w:rsid w:val="004D3A78"/>
    <w:rsid w:val="004D3A98"/>
    <w:rsid w:val="004D4A7D"/>
    <w:rsid w:val="004E0009"/>
    <w:rsid w:val="004E0828"/>
    <w:rsid w:val="004E25C9"/>
    <w:rsid w:val="004E3FE3"/>
    <w:rsid w:val="004E6B4F"/>
    <w:rsid w:val="004E78DB"/>
    <w:rsid w:val="004E7F70"/>
    <w:rsid w:val="004F058B"/>
    <w:rsid w:val="004F1F32"/>
    <w:rsid w:val="004F1FAB"/>
    <w:rsid w:val="004F431A"/>
    <w:rsid w:val="004F50F4"/>
    <w:rsid w:val="004F638B"/>
    <w:rsid w:val="004F6C3F"/>
    <w:rsid w:val="004F7535"/>
    <w:rsid w:val="00500809"/>
    <w:rsid w:val="0050144D"/>
    <w:rsid w:val="0050358E"/>
    <w:rsid w:val="005048E9"/>
    <w:rsid w:val="005065EE"/>
    <w:rsid w:val="005068A3"/>
    <w:rsid w:val="00506C3F"/>
    <w:rsid w:val="00507349"/>
    <w:rsid w:val="00507470"/>
    <w:rsid w:val="0051041F"/>
    <w:rsid w:val="00510435"/>
    <w:rsid w:val="0051314B"/>
    <w:rsid w:val="00514EBB"/>
    <w:rsid w:val="0051512B"/>
    <w:rsid w:val="00515147"/>
    <w:rsid w:val="005153DA"/>
    <w:rsid w:val="00515597"/>
    <w:rsid w:val="0051595F"/>
    <w:rsid w:val="00516D1A"/>
    <w:rsid w:val="00520A83"/>
    <w:rsid w:val="005222CE"/>
    <w:rsid w:val="005243AD"/>
    <w:rsid w:val="005244BB"/>
    <w:rsid w:val="005266EF"/>
    <w:rsid w:val="00526AF7"/>
    <w:rsid w:val="005277AA"/>
    <w:rsid w:val="00527920"/>
    <w:rsid w:val="005304E1"/>
    <w:rsid w:val="00530802"/>
    <w:rsid w:val="005315D2"/>
    <w:rsid w:val="005332F1"/>
    <w:rsid w:val="00534A69"/>
    <w:rsid w:val="00537CF7"/>
    <w:rsid w:val="00540C96"/>
    <w:rsid w:val="00542112"/>
    <w:rsid w:val="00544476"/>
    <w:rsid w:val="00544A62"/>
    <w:rsid w:val="00545558"/>
    <w:rsid w:val="0054702C"/>
    <w:rsid w:val="00547E60"/>
    <w:rsid w:val="00551909"/>
    <w:rsid w:val="00551FB4"/>
    <w:rsid w:val="005537CE"/>
    <w:rsid w:val="00553EAE"/>
    <w:rsid w:val="00554F20"/>
    <w:rsid w:val="00556E35"/>
    <w:rsid w:val="005608A0"/>
    <w:rsid w:val="00560CC4"/>
    <w:rsid w:val="00561902"/>
    <w:rsid w:val="00561E62"/>
    <w:rsid w:val="00562455"/>
    <w:rsid w:val="00562468"/>
    <w:rsid w:val="0056474F"/>
    <w:rsid w:val="00564FAC"/>
    <w:rsid w:val="00570C54"/>
    <w:rsid w:val="00571315"/>
    <w:rsid w:val="00572E18"/>
    <w:rsid w:val="00575061"/>
    <w:rsid w:val="0057741E"/>
    <w:rsid w:val="005815BE"/>
    <w:rsid w:val="0058293E"/>
    <w:rsid w:val="005830CB"/>
    <w:rsid w:val="00584554"/>
    <w:rsid w:val="00584E64"/>
    <w:rsid w:val="00590747"/>
    <w:rsid w:val="005914BC"/>
    <w:rsid w:val="0059182F"/>
    <w:rsid w:val="00592110"/>
    <w:rsid w:val="00592B97"/>
    <w:rsid w:val="00594112"/>
    <w:rsid w:val="00595525"/>
    <w:rsid w:val="005966B1"/>
    <w:rsid w:val="00597669"/>
    <w:rsid w:val="005A1E9A"/>
    <w:rsid w:val="005A3FC3"/>
    <w:rsid w:val="005A4733"/>
    <w:rsid w:val="005A7661"/>
    <w:rsid w:val="005A771B"/>
    <w:rsid w:val="005A7EC0"/>
    <w:rsid w:val="005B08B3"/>
    <w:rsid w:val="005B0C3C"/>
    <w:rsid w:val="005B11DA"/>
    <w:rsid w:val="005B27B2"/>
    <w:rsid w:val="005B3B47"/>
    <w:rsid w:val="005B3B62"/>
    <w:rsid w:val="005B45A3"/>
    <w:rsid w:val="005B47BD"/>
    <w:rsid w:val="005B58D2"/>
    <w:rsid w:val="005B6948"/>
    <w:rsid w:val="005B6F53"/>
    <w:rsid w:val="005C2204"/>
    <w:rsid w:val="005C409E"/>
    <w:rsid w:val="005C5936"/>
    <w:rsid w:val="005D10E3"/>
    <w:rsid w:val="005D18D4"/>
    <w:rsid w:val="005D1C45"/>
    <w:rsid w:val="005D249C"/>
    <w:rsid w:val="005D292A"/>
    <w:rsid w:val="005D32F6"/>
    <w:rsid w:val="005D330A"/>
    <w:rsid w:val="005D3867"/>
    <w:rsid w:val="005D5B20"/>
    <w:rsid w:val="005D5D43"/>
    <w:rsid w:val="005D659A"/>
    <w:rsid w:val="005D6BA8"/>
    <w:rsid w:val="005D7857"/>
    <w:rsid w:val="005D7879"/>
    <w:rsid w:val="005E0149"/>
    <w:rsid w:val="005E075E"/>
    <w:rsid w:val="005E162F"/>
    <w:rsid w:val="005E3727"/>
    <w:rsid w:val="005E39E2"/>
    <w:rsid w:val="005E4BDA"/>
    <w:rsid w:val="005E6140"/>
    <w:rsid w:val="005E6B42"/>
    <w:rsid w:val="005E7F28"/>
    <w:rsid w:val="005F002F"/>
    <w:rsid w:val="005F2433"/>
    <w:rsid w:val="005F3A4B"/>
    <w:rsid w:val="005F4027"/>
    <w:rsid w:val="005F4234"/>
    <w:rsid w:val="005F63A9"/>
    <w:rsid w:val="006007F2"/>
    <w:rsid w:val="00600B36"/>
    <w:rsid w:val="00600E5A"/>
    <w:rsid w:val="00603A99"/>
    <w:rsid w:val="00610546"/>
    <w:rsid w:val="00611695"/>
    <w:rsid w:val="0061365F"/>
    <w:rsid w:val="00613F86"/>
    <w:rsid w:val="00613FC0"/>
    <w:rsid w:val="0061442A"/>
    <w:rsid w:val="00616BFA"/>
    <w:rsid w:val="00616D44"/>
    <w:rsid w:val="0062073A"/>
    <w:rsid w:val="006242E9"/>
    <w:rsid w:val="0062477C"/>
    <w:rsid w:val="00625032"/>
    <w:rsid w:val="00625143"/>
    <w:rsid w:val="00632E46"/>
    <w:rsid w:val="006354DF"/>
    <w:rsid w:val="006359EA"/>
    <w:rsid w:val="00635A22"/>
    <w:rsid w:val="00635DC7"/>
    <w:rsid w:val="00637E2E"/>
    <w:rsid w:val="00637F1C"/>
    <w:rsid w:val="00640611"/>
    <w:rsid w:val="00640F43"/>
    <w:rsid w:val="00641DBF"/>
    <w:rsid w:val="0064308D"/>
    <w:rsid w:val="006439CE"/>
    <w:rsid w:val="00643C9B"/>
    <w:rsid w:val="006463B5"/>
    <w:rsid w:val="00646C49"/>
    <w:rsid w:val="006470A0"/>
    <w:rsid w:val="00651007"/>
    <w:rsid w:val="00652D30"/>
    <w:rsid w:val="006537F7"/>
    <w:rsid w:val="00653D4E"/>
    <w:rsid w:val="00655ED9"/>
    <w:rsid w:val="00655F28"/>
    <w:rsid w:val="0065656C"/>
    <w:rsid w:val="00656908"/>
    <w:rsid w:val="00656C18"/>
    <w:rsid w:val="00663A34"/>
    <w:rsid w:val="006644C7"/>
    <w:rsid w:val="00665B17"/>
    <w:rsid w:val="00667FEE"/>
    <w:rsid w:val="006708BC"/>
    <w:rsid w:val="00671C24"/>
    <w:rsid w:val="00671EF3"/>
    <w:rsid w:val="00672329"/>
    <w:rsid w:val="00672684"/>
    <w:rsid w:val="00672B1B"/>
    <w:rsid w:val="006761DC"/>
    <w:rsid w:val="00680437"/>
    <w:rsid w:val="00680CBC"/>
    <w:rsid w:val="00681960"/>
    <w:rsid w:val="0068244B"/>
    <w:rsid w:val="00683EF0"/>
    <w:rsid w:val="00684617"/>
    <w:rsid w:val="00686B41"/>
    <w:rsid w:val="0069188C"/>
    <w:rsid w:val="00694087"/>
    <w:rsid w:val="006942B2"/>
    <w:rsid w:val="00695052"/>
    <w:rsid w:val="00695799"/>
    <w:rsid w:val="006958CF"/>
    <w:rsid w:val="00695BDE"/>
    <w:rsid w:val="006A01B6"/>
    <w:rsid w:val="006A12B8"/>
    <w:rsid w:val="006A1825"/>
    <w:rsid w:val="006A32C7"/>
    <w:rsid w:val="006A558C"/>
    <w:rsid w:val="006B283D"/>
    <w:rsid w:val="006B33B8"/>
    <w:rsid w:val="006B46EF"/>
    <w:rsid w:val="006B5845"/>
    <w:rsid w:val="006B613C"/>
    <w:rsid w:val="006B6618"/>
    <w:rsid w:val="006C09A9"/>
    <w:rsid w:val="006C0E1F"/>
    <w:rsid w:val="006C24B8"/>
    <w:rsid w:val="006C3576"/>
    <w:rsid w:val="006C35E3"/>
    <w:rsid w:val="006C486B"/>
    <w:rsid w:val="006C4D88"/>
    <w:rsid w:val="006C5E41"/>
    <w:rsid w:val="006D00AA"/>
    <w:rsid w:val="006D290D"/>
    <w:rsid w:val="006D56BA"/>
    <w:rsid w:val="006D59CC"/>
    <w:rsid w:val="006D7758"/>
    <w:rsid w:val="006D795C"/>
    <w:rsid w:val="006E1330"/>
    <w:rsid w:val="006E2C26"/>
    <w:rsid w:val="006E3500"/>
    <w:rsid w:val="006F11B5"/>
    <w:rsid w:val="006F131D"/>
    <w:rsid w:val="006F275E"/>
    <w:rsid w:val="006F434B"/>
    <w:rsid w:val="006F4DF6"/>
    <w:rsid w:val="006F6E92"/>
    <w:rsid w:val="006F725A"/>
    <w:rsid w:val="0070093F"/>
    <w:rsid w:val="00700BD5"/>
    <w:rsid w:val="00702966"/>
    <w:rsid w:val="00702D78"/>
    <w:rsid w:val="00703413"/>
    <w:rsid w:val="0070579B"/>
    <w:rsid w:val="0070591E"/>
    <w:rsid w:val="00705F68"/>
    <w:rsid w:val="007074DB"/>
    <w:rsid w:val="0071240D"/>
    <w:rsid w:val="00712B12"/>
    <w:rsid w:val="00712B67"/>
    <w:rsid w:val="007161C1"/>
    <w:rsid w:val="00717B11"/>
    <w:rsid w:val="00720169"/>
    <w:rsid w:val="00722702"/>
    <w:rsid w:val="00723CA3"/>
    <w:rsid w:val="00724BAE"/>
    <w:rsid w:val="0072666C"/>
    <w:rsid w:val="0073004F"/>
    <w:rsid w:val="00730DBF"/>
    <w:rsid w:val="00731C06"/>
    <w:rsid w:val="007354FB"/>
    <w:rsid w:val="007359FE"/>
    <w:rsid w:val="007362B2"/>
    <w:rsid w:val="007368C1"/>
    <w:rsid w:val="00736DCB"/>
    <w:rsid w:val="0074239A"/>
    <w:rsid w:val="00743492"/>
    <w:rsid w:val="0074360F"/>
    <w:rsid w:val="00743F7E"/>
    <w:rsid w:val="007449E8"/>
    <w:rsid w:val="007470C6"/>
    <w:rsid w:val="00750DD3"/>
    <w:rsid w:val="00751DC2"/>
    <w:rsid w:val="00751E46"/>
    <w:rsid w:val="0075293E"/>
    <w:rsid w:val="007558B8"/>
    <w:rsid w:val="00757056"/>
    <w:rsid w:val="0075769C"/>
    <w:rsid w:val="00761DED"/>
    <w:rsid w:val="00762190"/>
    <w:rsid w:val="00764290"/>
    <w:rsid w:val="00764D7E"/>
    <w:rsid w:val="00767868"/>
    <w:rsid w:val="0077052A"/>
    <w:rsid w:val="00770BC7"/>
    <w:rsid w:val="00772E63"/>
    <w:rsid w:val="0077329F"/>
    <w:rsid w:val="00774708"/>
    <w:rsid w:val="0077591B"/>
    <w:rsid w:val="007764E5"/>
    <w:rsid w:val="0077793E"/>
    <w:rsid w:val="00780731"/>
    <w:rsid w:val="00780D66"/>
    <w:rsid w:val="00781A57"/>
    <w:rsid w:val="007823C2"/>
    <w:rsid w:val="00783775"/>
    <w:rsid w:val="00786055"/>
    <w:rsid w:val="00786634"/>
    <w:rsid w:val="00787538"/>
    <w:rsid w:val="00787967"/>
    <w:rsid w:val="00791156"/>
    <w:rsid w:val="00791251"/>
    <w:rsid w:val="00792387"/>
    <w:rsid w:val="007926BB"/>
    <w:rsid w:val="00793D38"/>
    <w:rsid w:val="00793D61"/>
    <w:rsid w:val="00793DB9"/>
    <w:rsid w:val="00793F9D"/>
    <w:rsid w:val="007959A4"/>
    <w:rsid w:val="00795C34"/>
    <w:rsid w:val="007974FD"/>
    <w:rsid w:val="007A061D"/>
    <w:rsid w:val="007A34AA"/>
    <w:rsid w:val="007A3F5F"/>
    <w:rsid w:val="007A5BD8"/>
    <w:rsid w:val="007A5E1D"/>
    <w:rsid w:val="007A6A70"/>
    <w:rsid w:val="007A72DC"/>
    <w:rsid w:val="007A7871"/>
    <w:rsid w:val="007B18A5"/>
    <w:rsid w:val="007B2BBD"/>
    <w:rsid w:val="007B3403"/>
    <w:rsid w:val="007B4269"/>
    <w:rsid w:val="007B5A2D"/>
    <w:rsid w:val="007B76FE"/>
    <w:rsid w:val="007B7F2C"/>
    <w:rsid w:val="007C05E5"/>
    <w:rsid w:val="007C0BEB"/>
    <w:rsid w:val="007C1380"/>
    <w:rsid w:val="007C29FB"/>
    <w:rsid w:val="007C2CF7"/>
    <w:rsid w:val="007C30BA"/>
    <w:rsid w:val="007C3A15"/>
    <w:rsid w:val="007C43CE"/>
    <w:rsid w:val="007C4F75"/>
    <w:rsid w:val="007D087E"/>
    <w:rsid w:val="007D3E81"/>
    <w:rsid w:val="007D4A44"/>
    <w:rsid w:val="007D4ACE"/>
    <w:rsid w:val="007D6378"/>
    <w:rsid w:val="007D69E0"/>
    <w:rsid w:val="007E0394"/>
    <w:rsid w:val="007E1CCC"/>
    <w:rsid w:val="007E2BEF"/>
    <w:rsid w:val="007E4405"/>
    <w:rsid w:val="007E4564"/>
    <w:rsid w:val="007E6E38"/>
    <w:rsid w:val="007E7CD1"/>
    <w:rsid w:val="007F0519"/>
    <w:rsid w:val="007F0565"/>
    <w:rsid w:val="007F0CA1"/>
    <w:rsid w:val="007F0D42"/>
    <w:rsid w:val="007F1786"/>
    <w:rsid w:val="007F1EB7"/>
    <w:rsid w:val="007F2A5B"/>
    <w:rsid w:val="007F3253"/>
    <w:rsid w:val="007F6A1C"/>
    <w:rsid w:val="0080118E"/>
    <w:rsid w:val="00801459"/>
    <w:rsid w:val="00801610"/>
    <w:rsid w:val="00801C2E"/>
    <w:rsid w:val="00801E14"/>
    <w:rsid w:val="00801EC5"/>
    <w:rsid w:val="00802010"/>
    <w:rsid w:val="00802152"/>
    <w:rsid w:val="00804914"/>
    <w:rsid w:val="0081105A"/>
    <w:rsid w:val="00813966"/>
    <w:rsid w:val="008159B0"/>
    <w:rsid w:val="00817959"/>
    <w:rsid w:val="00817AF6"/>
    <w:rsid w:val="00822C02"/>
    <w:rsid w:val="00823837"/>
    <w:rsid w:val="0082447C"/>
    <w:rsid w:val="00824565"/>
    <w:rsid w:val="008260BA"/>
    <w:rsid w:val="008263F9"/>
    <w:rsid w:val="0082643B"/>
    <w:rsid w:val="00830F16"/>
    <w:rsid w:val="008326BA"/>
    <w:rsid w:val="008334B3"/>
    <w:rsid w:val="0083376D"/>
    <w:rsid w:val="00835E1D"/>
    <w:rsid w:val="00837942"/>
    <w:rsid w:val="00840052"/>
    <w:rsid w:val="0084065D"/>
    <w:rsid w:val="008428D3"/>
    <w:rsid w:val="00843890"/>
    <w:rsid w:val="00844416"/>
    <w:rsid w:val="008450E8"/>
    <w:rsid w:val="00845767"/>
    <w:rsid w:val="00845EB1"/>
    <w:rsid w:val="008460B2"/>
    <w:rsid w:val="00846CE5"/>
    <w:rsid w:val="00847710"/>
    <w:rsid w:val="00847872"/>
    <w:rsid w:val="00852469"/>
    <w:rsid w:val="00853590"/>
    <w:rsid w:val="0085529D"/>
    <w:rsid w:val="008553D2"/>
    <w:rsid w:val="0085617B"/>
    <w:rsid w:val="008579F1"/>
    <w:rsid w:val="00860E58"/>
    <w:rsid w:val="00861C38"/>
    <w:rsid w:val="00862642"/>
    <w:rsid w:val="00862BED"/>
    <w:rsid w:val="00865AC1"/>
    <w:rsid w:val="00870EC4"/>
    <w:rsid w:val="0087243A"/>
    <w:rsid w:val="00873BBE"/>
    <w:rsid w:val="00875E14"/>
    <w:rsid w:val="00880B55"/>
    <w:rsid w:val="00882AB3"/>
    <w:rsid w:val="00884612"/>
    <w:rsid w:val="008846C2"/>
    <w:rsid w:val="00885125"/>
    <w:rsid w:val="0088754E"/>
    <w:rsid w:val="00887ECC"/>
    <w:rsid w:val="008901AF"/>
    <w:rsid w:val="00893902"/>
    <w:rsid w:val="00893BB6"/>
    <w:rsid w:val="0089454F"/>
    <w:rsid w:val="0089516E"/>
    <w:rsid w:val="008964F2"/>
    <w:rsid w:val="008A0F6D"/>
    <w:rsid w:val="008A1696"/>
    <w:rsid w:val="008A1DB9"/>
    <w:rsid w:val="008A1F2A"/>
    <w:rsid w:val="008A20A5"/>
    <w:rsid w:val="008A3649"/>
    <w:rsid w:val="008A41BF"/>
    <w:rsid w:val="008A5226"/>
    <w:rsid w:val="008A5726"/>
    <w:rsid w:val="008A5A8E"/>
    <w:rsid w:val="008A6AD4"/>
    <w:rsid w:val="008A6BEE"/>
    <w:rsid w:val="008A7751"/>
    <w:rsid w:val="008A7BBD"/>
    <w:rsid w:val="008A7FB9"/>
    <w:rsid w:val="008B0347"/>
    <w:rsid w:val="008B07C7"/>
    <w:rsid w:val="008B0FFF"/>
    <w:rsid w:val="008B101A"/>
    <w:rsid w:val="008B16E3"/>
    <w:rsid w:val="008B208E"/>
    <w:rsid w:val="008B32E0"/>
    <w:rsid w:val="008B654F"/>
    <w:rsid w:val="008B6F84"/>
    <w:rsid w:val="008C0A5B"/>
    <w:rsid w:val="008C0F1F"/>
    <w:rsid w:val="008C12CB"/>
    <w:rsid w:val="008C41A5"/>
    <w:rsid w:val="008C45B1"/>
    <w:rsid w:val="008C47DC"/>
    <w:rsid w:val="008C4BF9"/>
    <w:rsid w:val="008C4D4B"/>
    <w:rsid w:val="008C592E"/>
    <w:rsid w:val="008C6044"/>
    <w:rsid w:val="008C6B6B"/>
    <w:rsid w:val="008C6E36"/>
    <w:rsid w:val="008C71F3"/>
    <w:rsid w:val="008C7508"/>
    <w:rsid w:val="008C7C43"/>
    <w:rsid w:val="008D07B6"/>
    <w:rsid w:val="008D2CB3"/>
    <w:rsid w:val="008D3C0F"/>
    <w:rsid w:val="008D3FA9"/>
    <w:rsid w:val="008D6ECE"/>
    <w:rsid w:val="008D6ECF"/>
    <w:rsid w:val="008E0656"/>
    <w:rsid w:val="008E12C2"/>
    <w:rsid w:val="008E16F4"/>
    <w:rsid w:val="008E1E6A"/>
    <w:rsid w:val="008E36FC"/>
    <w:rsid w:val="008E3ABF"/>
    <w:rsid w:val="008E6FE1"/>
    <w:rsid w:val="008E7D4F"/>
    <w:rsid w:val="008F1100"/>
    <w:rsid w:val="008F23F6"/>
    <w:rsid w:val="008F2DBC"/>
    <w:rsid w:val="008F4183"/>
    <w:rsid w:val="008F4190"/>
    <w:rsid w:val="008F48A4"/>
    <w:rsid w:val="008F6B6B"/>
    <w:rsid w:val="008F6DDA"/>
    <w:rsid w:val="008F713F"/>
    <w:rsid w:val="008F7C06"/>
    <w:rsid w:val="009005D0"/>
    <w:rsid w:val="00902B35"/>
    <w:rsid w:val="00905BEA"/>
    <w:rsid w:val="00906FD0"/>
    <w:rsid w:val="00907DC6"/>
    <w:rsid w:val="00912545"/>
    <w:rsid w:val="00915FB9"/>
    <w:rsid w:val="00916037"/>
    <w:rsid w:val="0092203C"/>
    <w:rsid w:val="00922D9F"/>
    <w:rsid w:val="00922DB3"/>
    <w:rsid w:val="00923A16"/>
    <w:rsid w:val="0092526B"/>
    <w:rsid w:val="00926380"/>
    <w:rsid w:val="00930C1A"/>
    <w:rsid w:val="00935A4D"/>
    <w:rsid w:val="00936735"/>
    <w:rsid w:val="00936ADB"/>
    <w:rsid w:val="00937FD6"/>
    <w:rsid w:val="00941A66"/>
    <w:rsid w:val="009432DC"/>
    <w:rsid w:val="009439F8"/>
    <w:rsid w:val="00945629"/>
    <w:rsid w:val="00946AE8"/>
    <w:rsid w:val="00950DEE"/>
    <w:rsid w:val="009521AF"/>
    <w:rsid w:val="00956D8A"/>
    <w:rsid w:val="009577E2"/>
    <w:rsid w:val="00960024"/>
    <w:rsid w:val="00961603"/>
    <w:rsid w:val="00961851"/>
    <w:rsid w:val="0096225C"/>
    <w:rsid w:val="00962983"/>
    <w:rsid w:val="00964B81"/>
    <w:rsid w:val="00966998"/>
    <w:rsid w:val="00966CE3"/>
    <w:rsid w:val="00966F82"/>
    <w:rsid w:val="00967CA7"/>
    <w:rsid w:val="00967FEB"/>
    <w:rsid w:val="0097107C"/>
    <w:rsid w:val="00973AB9"/>
    <w:rsid w:val="00973C6E"/>
    <w:rsid w:val="00977E20"/>
    <w:rsid w:val="00977F19"/>
    <w:rsid w:val="0098084D"/>
    <w:rsid w:val="00983A15"/>
    <w:rsid w:val="00983C01"/>
    <w:rsid w:val="00984379"/>
    <w:rsid w:val="009856F7"/>
    <w:rsid w:val="009900A6"/>
    <w:rsid w:val="0099038D"/>
    <w:rsid w:val="00990A14"/>
    <w:rsid w:val="00990C79"/>
    <w:rsid w:val="009917F0"/>
    <w:rsid w:val="009930C8"/>
    <w:rsid w:val="00994617"/>
    <w:rsid w:val="009946CF"/>
    <w:rsid w:val="009A007E"/>
    <w:rsid w:val="009A07BC"/>
    <w:rsid w:val="009A1AF1"/>
    <w:rsid w:val="009A1C01"/>
    <w:rsid w:val="009A3AE8"/>
    <w:rsid w:val="009A4A22"/>
    <w:rsid w:val="009A5620"/>
    <w:rsid w:val="009A643C"/>
    <w:rsid w:val="009A77E1"/>
    <w:rsid w:val="009B0276"/>
    <w:rsid w:val="009B0D78"/>
    <w:rsid w:val="009B3D8D"/>
    <w:rsid w:val="009B4603"/>
    <w:rsid w:val="009B647A"/>
    <w:rsid w:val="009C14D7"/>
    <w:rsid w:val="009C3C83"/>
    <w:rsid w:val="009C3DA4"/>
    <w:rsid w:val="009C4047"/>
    <w:rsid w:val="009C4CB0"/>
    <w:rsid w:val="009C6BFD"/>
    <w:rsid w:val="009C7466"/>
    <w:rsid w:val="009D04B7"/>
    <w:rsid w:val="009D10DD"/>
    <w:rsid w:val="009D1906"/>
    <w:rsid w:val="009D1C94"/>
    <w:rsid w:val="009D253B"/>
    <w:rsid w:val="009D3308"/>
    <w:rsid w:val="009D35DD"/>
    <w:rsid w:val="009D3E9D"/>
    <w:rsid w:val="009D4C95"/>
    <w:rsid w:val="009D5165"/>
    <w:rsid w:val="009D548F"/>
    <w:rsid w:val="009E264D"/>
    <w:rsid w:val="009E3431"/>
    <w:rsid w:val="009E4088"/>
    <w:rsid w:val="009E4CBF"/>
    <w:rsid w:val="009E5639"/>
    <w:rsid w:val="009E6B2D"/>
    <w:rsid w:val="009E6B53"/>
    <w:rsid w:val="009E7588"/>
    <w:rsid w:val="009F2B9C"/>
    <w:rsid w:val="009F42A4"/>
    <w:rsid w:val="009F664D"/>
    <w:rsid w:val="00A00D6D"/>
    <w:rsid w:val="00A01B66"/>
    <w:rsid w:val="00A03731"/>
    <w:rsid w:val="00A03A3B"/>
    <w:rsid w:val="00A05CF9"/>
    <w:rsid w:val="00A06CBD"/>
    <w:rsid w:val="00A11325"/>
    <w:rsid w:val="00A11331"/>
    <w:rsid w:val="00A12578"/>
    <w:rsid w:val="00A13BBC"/>
    <w:rsid w:val="00A16192"/>
    <w:rsid w:val="00A16318"/>
    <w:rsid w:val="00A17196"/>
    <w:rsid w:val="00A17921"/>
    <w:rsid w:val="00A17C2E"/>
    <w:rsid w:val="00A20405"/>
    <w:rsid w:val="00A21A4D"/>
    <w:rsid w:val="00A21DEE"/>
    <w:rsid w:val="00A22BE4"/>
    <w:rsid w:val="00A23EAA"/>
    <w:rsid w:val="00A24714"/>
    <w:rsid w:val="00A25E2F"/>
    <w:rsid w:val="00A27A0B"/>
    <w:rsid w:val="00A27E98"/>
    <w:rsid w:val="00A30795"/>
    <w:rsid w:val="00A312A7"/>
    <w:rsid w:val="00A3183A"/>
    <w:rsid w:val="00A3211A"/>
    <w:rsid w:val="00A366AF"/>
    <w:rsid w:val="00A36F2D"/>
    <w:rsid w:val="00A3703F"/>
    <w:rsid w:val="00A3708B"/>
    <w:rsid w:val="00A40027"/>
    <w:rsid w:val="00A4098D"/>
    <w:rsid w:val="00A40F7F"/>
    <w:rsid w:val="00A439AE"/>
    <w:rsid w:val="00A45170"/>
    <w:rsid w:val="00A45DCF"/>
    <w:rsid w:val="00A46599"/>
    <w:rsid w:val="00A47F08"/>
    <w:rsid w:val="00A51CE6"/>
    <w:rsid w:val="00A521E9"/>
    <w:rsid w:val="00A52505"/>
    <w:rsid w:val="00A535BD"/>
    <w:rsid w:val="00A53755"/>
    <w:rsid w:val="00A54D15"/>
    <w:rsid w:val="00A60B0D"/>
    <w:rsid w:val="00A60D95"/>
    <w:rsid w:val="00A6186C"/>
    <w:rsid w:val="00A65D11"/>
    <w:rsid w:val="00A66974"/>
    <w:rsid w:val="00A700F3"/>
    <w:rsid w:val="00A706E3"/>
    <w:rsid w:val="00A70F42"/>
    <w:rsid w:val="00A72BB4"/>
    <w:rsid w:val="00A737F5"/>
    <w:rsid w:val="00A74D48"/>
    <w:rsid w:val="00A757C6"/>
    <w:rsid w:val="00A76161"/>
    <w:rsid w:val="00A80D6A"/>
    <w:rsid w:val="00A81EF1"/>
    <w:rsid w:val="00A84934"/>
    <w:rsid w:val="00A91963"/>
    <w:rsid w:val="00A9260A"/>
    <w:rsid w:val="00A932E9"/>
    <w:rsid w:val="00A93C6E"/>
    <w:rsid w:val="00A9464B"/>
    <w:rsid w:val="00A95302"/>
    <w:rsid w:val="00A953A0"/>
    <w:rsid w:val="00A95884"/>
    <w:rsid w:val="00A97BAB"/>
    <w:rsid w:val="00A97BC2"/>
    <w:rsid w:val="00AA1AD8"/>
    <w:rsid w:val="00AA1E7A"/>
    <w:rsid w:val="00AA2CAF"/>
    <w:rsid w:val="00AA3E58"/>
    <w:rsid w:val="00AA444D"/>
    <w:rsid w:val="00AA6CDC"/>
    <w:rsid w:val="00AB0201"/>
    <w:rsid w:val="00AB066B"/>
    <w:rsid w:val="00AB1662"/>
    <w:rsid w:val="00AB1E22"/>
    <w:rsid w:val="00AB1E35"/>
    <w:rsid w:val="00AB2703"/>
    <w:rsid w:val="00AB2D85"/>
    <w:rsid w:val="00AB511C"/>
    <w:rsid w:val="00AB628F"/>
    <w:rsid w:val="00AC12B2"/>
    <w:rsid w:val="00AC13F6"/>
    <w:rsid w:val="00AC2E34"/>
    <w:rsid w:val="00AC510A"/>
    <w:rsid w:val="00AD33EE"/>
    <w:rsid w:val="00AD60DD"/>
    <w:rsid w:val="00AD794C"/>
    <w:rsid w:val="00AE1363"/>
    <w:rsid w:val="00AE1BBE"/>
    <w:rsid w:val="00AE2407"/>
    <w:rsid w:val="00AE2CE9"/>
    <w:rsid w:val="00AE3BA4"/>
    <w:rsid w:val="00AE561A"/>
    <w:rsid w:val="00AE58F7"/>
    <w:rsid w:val="00AE6C16"/>
    <w:rsid w:val="00AE7884"/>
    <w:rsid w:val="00AF0669"/>
    <w:rsid w:val="00AF1DEA"/>
    <w:rsid w:val="00AF2034"/>
    <w:rsid w:val="00AF359C"/>
    <w:rsid w:val="00AF43F5"/>
    <w:rsid w:val="00AF4E42"/>
    <w:rsid w:val="00AF5AA6"/>
    <w:rsid w:val="00AF626D"/>
    <w:rsid w:val="00B0076D"/>
    <w:rsid w:val="00B00D6E"/>
    <w:rsid w:val="00B01241"/>
    <w:rsid w:val="00B01BCD"/>
    <w:rsid w:val="00B01EC8"/>
    <w:rsid w:val="00B02200"/>
    <w:rsid w:val="00B0397B"/>
    <w:rsid w:val="00B05165"/>
    <w:rsid w:val="00B05DAC"/>
    <w:rsid w:val="00B07939"/>
    <w:rsid w:val="00B07B6E"/>
    <w:rsid w:val="00B10978"/>
    <w:rsid w:val="00B115F0"/>
    <w:rsid w:val="00B124AC"/>
    <w:rsid w:val="00B14B42"/>
    <w:rsid w:val="00B1719D"/>
    <w:rsid w:val="00B17C39"/>
    <w:rsid w:val="00B223E1"/>
    <w:rsid w:val="00B2254C"/>
    <w:rsid w:val="00B233D2"/>
    <w:rsid w:val="00B234F3"/>
    <w:rsid w:val="00B2358D"/>
    <w:rsid w:val="00B23E9F"/>
    <w:rsid w:val="00B24C18"/>
    <w:rsid w:val="00B25CEB"/>
    <w:rsid w:val="00B279B8"/>
    <w:rsid w:val="00B27E9A"/>
    <w:rsid w:val="00B31EB3"/>
    <w:rsid w:val="00B33747"/>
    <w:rsid w:val="00B33A4F"/>
    <w:rsid w:val="00B33B82"/>
    <w:rsid w:val="00B347C5"/>
    <w:rsid w:val="00B350B3"/>
    <w:rsid w:val="00B35A16"/>
    <w:rsid w:val="00B3660C"/>
    <w:rsid w:val="00B36A38"/>
    <w:rsid w:val="00B37127"/>
    <w:rsid w:val="00B37656"/>
    <w:rsid w:val="00B37CA0"/>
    <w:rsid w:val="00B411A1"/>
    <w:rsid w:val="00B42738"/>
    <w:rsid w:val="00B4290D"/>
    <w:rsid w:val="00B42F66"/>
    <w:rsid w:val="00B43FC8"/>
    <w:rsid w:val="00B4436E"/>
    <w:rsid w:val="00B45099"/>
    <w:rsid w:val="00B457F4"/>
    <w:rsid w:val="00B50B0E"/>
    <w:rsid w:val="00B51971"/>
    <w:rsid w:val="00B51AA7"/>
    <w:rsid w:val="00B5260F"/>
    <w:rsid w:val="00B52AB9"/>
    <w:rsid w:val="00B54C58"/>
    <w:rsid w:val="00B55713"/>
    <w:rsid w:val="00B55B83"/>
    <w:rsid w:val="00B56743"/>
    <w:rsid w:val="00B61B93"/>
    <w:rsid w:val="00B64167"/>
    <w:rsid w:val="00B70974"/>
    <w:rsid w:val="00B71474"/>
    <w:rsid w:val="00B71EAA"/>
    <w:rsid w:val="00B728E1"/>
    <w:rsid w:val="00B74A18"/>
    <w:rsid w:val="00B74AED"/>
    <w:rsid w:val="00B7515F"/>
    <w:rsid w:val="00B75F11"/>
    <w:rsid w:val="00B7763F"/>
    <w:rsid w:val="00B77949"/>
    <w:rsid w:val="00B77BC1"/>
    <w:rsid w:val="00B813EE"/>
    <w:rsid w:val="00B822B1"/>
    <w:rsid w:val="00B82C5D"/>
    <w:rsid w:val="00B831A8"/>
    <w:rsid w:val="00B83BB0"/>
    <w:rsid w:val="00B83EE6"/>
    <w:rsid w:val="00B85053"/>
    <w:rsid w:val="00B855EA"/>
    <w:rsid w:val="00B86C63"/>
    <w:rsid w:val="00B8775C"/>
    <w:rsid w:val="00B92060"/>
    <w:rsid w:val="00B92324"/>
    <w:rsid w:val="00B93E33"/>
    <w:rsid w:val="00B953B6"/>
    <w:rsid w:val="00B95C64"/>
    <w:rsid w:val="00BA0551"/>
    <w:rsid w:val="00BA3539"/>
    <w:rsid w:val="00BA5304"/>
    <w:rsid w:val="00BA6AA4"/>
    <w:rsid w:val="00BA6FE7"/>
    <w:rsid w:val="00BA7966"/>
    <w:rsid w:val="00BB08E6"/>
    <w:rsid w:val="00BB1384"/>
    <w:rsid w:val="00BB2204"/>
    <w:rsid w:val="00BB3A95"/>
    <w:rsid w:val="00BB499B"/>
    <w:rsid w:val="00BB4D3B"/>
    <w:rsid w:val="00BB5F04"/>
    <w:rsid w:val="00BB7DB5"/>
    <w:rsid w:val="00BC11DB"/>
    <w:rsid w:val="00BC3299"/>
    <w:rsid w:val="00BC32E3"/>
    <w:rsid w:val="00BC41F5"/>
    <w:rsid w:val="00BC572F"/>
    <w:rsid w:val="00BC5835"/>
    <w:rsid w:val="00BC59C1"/>
    <w:rsid w:val="00BC649D"/>
    <w:rsid w:val="00BC6518"/>
    <w:rsid w:val="00BD05D3"/>
    <w:rsid w:val="00BD3651"/>
    <w:rsid w:val="00BD441A"/>
    <w:rsid w:val="00BD5CAC"/>
    <w:rsid w:val="00BE033D"/>
    <w:rsid w:val="00BE09DA"/>
    <w:rsid w:val="00BE495E"/>
    <w:rsid w:val="00BE635E"/>
    <w:rsid w:val="00BE65A2"/>
    <w:rsid w:val="00BE677C"/>
    <w:rsid w:val="00BE7A53"/>
    <w:rsid w:val="00BF09B5"/>
    <w:rsid w:val="00BF1A09"/>
    <w:rsid w:val="00BF29E1"/>
    <w:rsid w:val="00BF3B1F"/>
    <w:rsid w:val="00BF4504"/>
    <w:rsid w:val="00BF5722"/>
    <w:rsid w:val="00BF691C"/>
    <w:rsid w:val="00C01AFA"/>
    <w:rsid w:val="00C026C1"/>
    <w:rsid w:val="00C03983"/>
    <w:rsid w:val="00C0411C"/>
    <w:rsid w:val="00C055B4"/>
    <w:rsid w:val="00C05CCA"/>
    <w:rsid w:val="00C07276"/>
    <w:rsid w:val="00C116F4"/>
    <w:rsid w:val="00C132A8"/>
    <w:rsid w:val="00C1399E"/>
    <w:rsid w:val="00C14D19"/>
    <w:rsid w:val="00C1591A"/>
    <w:rsid w:val="00C160E8"/>
    <w:rsid w:val="00C16DC7"/>
    <w:rsid w:val="00C1764E"/>
    <w:rsid w:val="00C20ADC"/>
    <w:rsid w:val="00C21AFF"/>
    <w:rsid w:val="00C22F45"/>
    <w:rsid w:val="00C2356E"/>
    <w:rsid w:val="00C2453D"/>
    <w:rsid w:val="00C26AA5"/>
    <w:rsid w:val="00C26C1D"/>
    <w:rsid w:val="00C30EB1"/>
    <w:rsid w:val="00C31512"/>
    <w:rsid w:val="00C334A1"/>
    <w:rsid w:val="00C348B0"/>
    <w:rsid w:val="00C35075"/>
    <w:rsid w:val="00C4170C"/>
    <w:rsid w:val="00C417BC"/>
    <w:rsid w:val="00C41C70"/>
    <w:rsid w:val="00C4202F"/>
    <w:rsid w:val="00C456DD"/>
    <w:rsid w:val="00C458EC"/>
    <w:rsid w:val="00C477BA"/>
    <w:rsid w:val="00C513BC"/>
    <w:rsid w:val="00C51920"/>
    <w:rsid w:val="00C51990"/>
    <w:rsid w:val="00C51AA5"/>
    <w:rsid w:val="00C5394C"/>
    <w:rsid w:val="00C549F7"/>
    <w:rsid w:val="00C55699"/>
    <w:rsid w:val="00C56B32"/>
    <w:rsid w:val="00C6053E"/>
    <w:rsid w:val="00C61187"/>
    <w:rsid w:val="00C61205"/>
    <w:rsid w:val="00C61DE2"/>
    <w:rsid w:val="00C62E8E"/>
    <w:rsid w:val="00C636F2"/>
    <w:rsid w:val="00C64817"/>
    <w:rsid w:val="00C649CE"/>
    <w:rsid w:val="00C65E28"/>
    <w:rsid w:val="00C70407"/>
    <w:rsid w:val="00C70C66"/>
    <w:rsid w:val="00C72A00"/>
    <w:rsid w:val="00C72B89"/>
    <w:rsid w:val="00C7334C"/>
    <w:rsid w:val="00C7615B"/>
    <w:rsid w:val="00C77C4F"/>
    <w:rsid w:val="00C80083"/>
    <w:rsid w:val="00C80551"/>
    <w:rsid w:val="00C81489"/>
    <w:rsid w:val="00C81943"/>
    <w:rsid w:val="00C84355"/>
    <w:rsid w:val="00C84518"/>
    <w:rsid w:val="00C849CB"/>
    <w:rsid w:val="00C854E6"/>
    <w:rsid w:val="00C85FA6"/>
    <w:rsid w:val="00C9131D"/>
    <w:rsid w:val="00C94E5E"/>
    <w:rsid w:val="00C96B02"/>
    <w:rsid w:val="00C97C38"/>
    <w:rsid w:val="00CA2D26"/>
    <w:rsid w:val="00CA44A9"/>
    <w:rsid w:val="00CA4D07"/>
    <w:rsid w:val="00CA5D5D"/>
    <w:rsid w:val="00CA60F9"/>
    <w:rsid w:val="00CA772F"/>
    <w:rsid w:val="00CB0212"/>
    <w:rsid w:val="00CB05F9"/>
    <w:rsid w:val="00CB25B4"/>
    <w:rsid w:val="00CB3679"/>
    <w:rsid w:val="00CB4404"/>
    <w:rsid w:val="00CB4AB0"/>
    <w:rsid w:val="00CB5174"/>
    <w:rsid w:val="00CB797C"/>
    <w:rsid w:val="00CC03D0"/>
    <w:rsid w:val="00CC3135"/>
    <w:rsid w:val="00CC3BA0"/>
    <w:rsid w:val="00CC4AAC"/>
    <w:rsid w:val="00CC5980"/>
    <w:rsid w:val="00CC5FFD"/>
    <w:rsid w:val="00CD076C"/>
    <w:rsid w:val="00CD0CF5"/>
    <w:rsid w:val="00CD2B51"/>
    <w:rsid w:val="00CD37EB"/>
    <w:rsid w:val="00CD4073"/>
    <w:rsid w:val="00CD413A"/>
    <w:rsid w:val="00CE0E41"/>
    <w:rsid w:val="00CE3BDB"/>
    <w:rsid w:val="00CE40EB"/>
    <w:rsid w:val="00CE4189"/>
    <w:rsid w:val="00CE49E3"/>
    <w:rsid w:val="00CE4DEA"/>
    <w:rsid w:val="00CE52FD"/>
    <w:rsid w:val="00CE68EA"/>
    <w:rsid w:val="00CE7DF5"/>
    <w:rsid w:val="00CF094F"/>
    <w:rsid w:val="00CF19C6"/>
    <w:rsid w:val="00CF216E"/>
    <w:rsid w:val="00CF443C"/>
    <w:rsid w:val="00CF528E"/>
    <w:rsid w:val="00CF6568"/>
    <w:rsid w:val="00CF7642"/>
    <w:rsid w:val="00D002EA"/>
    <w:rsid w:val="00D02291"/>
    <w:rsid w:val="00D02322"/>
    <w:rsid w:val="00D02937"/>
    <w:rsid w:val="00D02C60"/>
    <w:rsid w:val="00D02FE4"/>
    <w:rsid w:val="00D03E18"/>
    <w:rsid w:val="00D0423F"/>
    <w:rsid w:val="00D05041"/>
    <w:rsid w:val="00D05BD6"/>
    <w:rsid w:val="00D05D2E"/>
    <w:rsid w:val="00D068D5"/>
    <w:rsid w:val="00D079A1"/>
    <w:rsid w:val="00D079F5"/>
    <w:rsid w:val="00D113F7"/>
    <w:rsid w:val="00D128A6"/>
    <w:rsid w:val="00D13590"/>
    <w:rsid w:val="00D146D7"/>
    <w:rsid w:val="00D14910"/>
    <w:rsid w:val="00D2021B"/>
    <w:rsid w:val="00D209D6"/>
    <w:rsid w:val="00D21B02"/>
    <w:rsid w:val="00D22724"/>
    <w:rsid w:val="00D257D9"/>
    <w:rsid w:val="00D25E91"/>
    <w:rsid w:val="00D26049"/>
    <w:rsid w:val="00D26909"/>
    <w:rsid w:val="00D27CBC"/>
    <w:rsid w:val="00D31B42"/>
    <w:rsid w:val="00D34EAD"/>
    <w:rsid w:val="00D37424"/>
    <w:rsid w:val="00D37783"/>
    <w:rsid w:val="00D40577"/>
    <w:rsid w:val="00D43A69"/>
    <w:rsid w:val="00D45CFC"/>
    <w:rsid w:val="00D468AB"/>
    <w:rsid w:val="00D46CA6"/>
    <w:rsid w:val="00D47309"/>
    <w:rsid w:val="00D47672"/>
    <w:rsid w:val="00D47AEC"/>
    <w:rsid w:val="00D51025"/>
    <w:rsid w:val="00D529D2"/>
    <w:rsid w:val="00D5389B"/>
    <w:rsid w:val="00D53EB0"/>
    <w:rsid w:val="00D54ED0"/>
    <w:rsid w:val="00D56C37"/>
    <w:rsid w:val="00D56F3A"/>
    <w:rsid w:val="00D61924"/>
    <w:rsid w:val="00D64FFA"/>
    <w:rsid w:val="00D663ED"/>
    <w:rsid w:val="00D665FC"/>
    <w:rsid w:val="00D67340"/>
    <w:rsid w:val="00D67984"/>
    <w:rsid w:val="00D67D15"/>
    <w:rsid w:val="00D67DCA"/>
    <w:rsid w:val="00D704B3"/>
    <w:rsid w:val="00D70A13"/>
    <w:rsid w:val="00D71AC6"/>
    <w:rsid w:val="00D7280B"/>
    <w:rsid w:val="00D755AA"/>
    <w:rsid w:val="00D7643A"/>
    <w:rsid w:val="00D7725D"/>
    <w:rsid w:val="00D80160"/>
    <w:rsid w:val="00D808DE"/>
    <w:rsid w:val="00D81DAE"/>
    <w:rsid w:val="00D853F5"/>
    <w:rsid w:val="00D86461"/>
    <w:rsid w:val="00D86E4C"/>
    <w:rsid w:val="00D90872"/>
    <w:rsid w:val="00D90F6F"/>
    <w:rsid w:val="00D95E30"/>
    <w:rsid w:val="00D96E38"/>
    <w:rsid w:val="00DA26CB"/>
    <w:rsid w:val="00DA48E0"/>
    <w:rsid w:val="00DA6B2D"/>
    <w:rsid w:val="00DA76E3"/>
    <w:rsid w:val="00DB1BB8"/>
    <w:rsid w:val="00DB1EF3"/>
    <w:rsid w:val="00DB2E02"/>
    <w:rsid w:val="00DB45AD"/>
    <w:rsid w:val="00DB4C95"/>
    <w:rsid w:val="00DB4DAF"/>
    <w:rsid w:val="00DB4DC3"/>
    <w:rsid w:val="00DB522C"/>
    <w:rsid w:val="00DB71B1"/>
    <w:rsid w:val="00DC0EF6"/>
    <w:rsid w:val="00DC11B2"/>
    <w:rsid w:val="00DC139C"/>
    <w:rsid w:val="00DC1D2D"/>
    <w:rsid w:val="00DC20BD"/>
    <w:rsid w:val="00DC29A9"/>
    <w:rsid w:val="00DC652D"/>
    <w:rsid w:val="00DC6A02"/>
    <w:rsid w:val="00DC7D6C"/>
    <w:rsid w:val="00DD0ADF"/>
    <w:rsid w:val="00DD10B0"/>
    <w:rsid w:val="00DD1BB6"/>
    <w:rsid w:val="00DD1EF8"/>
    <w:rsid w:val="00DD2DB7"/>
    <w:rsid w:val="00DD32D1"/>
    <w:rsid w:val="00DD3D9F"/>
    <w:rsid w:val="00DD49D2"/>
    <w:rsid w:val="00DD5BDC"/>
    <w:rsid w:val="00DD5CB4"/>
    <w:rsid w:val="00DD6325"/>
    <w:rsid w:val="00DD6345"/>
    <w:rsid w:val="00DE08BF"/>
    <w:rsid w:val="00DE0BC0"/>
    <w:rsid w:val="00DE0CD0"/>
    <w:rsid w:val="00DE1247"/>
    <w:rsid w:val="00DE1483"/>
    <w:rsid w:val="00DE1A5D"/>
    <w:rsid w:val="00DE1F2C"/>
    <w:rsid w:val="00DE321C"/>
    <w:rsid w:val="00DE36A7"/>
    <w:rsid w:val="00DE5859"/>
    <w:rsid w:val="00DE62A6"/>
    <w:rsid w:val="00DE6D40"/>
    <w:rsid w:val="00DF082A"/>
    <w:rsid w:val="00DF24D5"/>
    <w:rsid w:val="00DF2A28"/>
    <w:rsid w:val="00DF53E6"/>
    <w:rsid w:val="00DF5B03"/>
    <w:rsid w:val="00DF5D1F"/>
    <w:rsid w:val="00DF731E"/>
    <w:rsid w:val="00DF73FD"/>
    <w:rsid w:val="00E01701"/>
    <w:rsid w:val="00E02AA7"/>
    <w:rsid w:val="00E05204"/>
    <w:rsid w:val="00E074F6"/>
    <w:rsid w:val="00E07613"/>
    <w:rsid w:val="00E078A9"/>
    <w:rsid w:val="00E07AEF"/>
    <w:rsid w:val="00E10115"/>
    <w:rsid w:val="00E11EF5"/>
    <w:rsid w:val="00E1261D"/>
    <w:rsid w:val="00E12FF1"/>
    <w:rsid w:val="00E13119"/>
    <w:rsid w:val="00E13FDD"/>
    <w:rsid w:val="00E14053"/>
    <w:rsid w:val="00E147D3"/>
    <w:rsid w:val="00E1492B"/>
    <w:rsid w:val="00E155AB"/>
    <w:rsid w:val="00E17B5E"/>
    <w:rsid w:val="00E216E0"/>
    <w:rsid w:val="00E22838"/>
    <w:rsid w:val="00E23238"/>
    <w:rsid w:val="00E23B0F"/>
    <w:rsid w:val="00E251C6"/>
    <w:rsid w:val="00E259B3"/>
    <w:rsid w:val="00E263EA"/>
    <w:rsid w:val="00E27D58"/>
    <w:rsid w:val="00E31C93"/>
    <w:rsid w:val="00E31DB3"/>
    <w:rsid w:val="00E31F2C"/>
    <w:rsid w:val="00E323BC"/>
    <w:rsid w:val="00E33681"/>
    <w:rsid w:val="00E36E2F"/>
    <w:rsid w:val="00E40009"/>
    <w:rsid w:val="00E41F0A"/>
    <w:rsid w:val="00E44C4C"/>
    <w:rsid w:val="00E44EAA"/>
    <w:rsid w:val="00E50088"/>
    <w:rsid w:val="00E506E3"/>
    <w:rsid w:val="00E51B5D"/>
    <w:rsid w:val="00E53E59"/>
    <w:rsid w:val="00E54031"/>
    <w:rsid w:val="00E54CC1"/>
    <w:rsid w:val="00E55DE4"/>
    <w:rsid w:val="00E579A7"/>
    <w:rsid w:val="00E60FC1"/>
    <w:rsid w:val="00E61B2A"/>
    <w:rsid w:val="00E62C3D"/>
    <w:rsid w:val="00E64C51"/>
    <w:rsid w:val="00E66886"/>
    <w:rsid w:val="00E70FFD"/>
    <w:rsid w:val="00E71CB0"/>
    <w:rsid w:val="00E72306"/>
    <w:rsid w:val="00E7382F"/>
    <w:rsid w:val="00E738F4"/>
    <w:rsid w:val="00E73DE2"/>
    <w:rsid w:val="00E7415F"/>
    <w:rsid w:val="00E74195"/>
    <w:rsid w:val="00E74D19"/>
    <w:rsid w:val="00E77194"/>
    <w:rsid w:val="00E818A6"/>
    <w:rsid w:val="00E82B65"/>
    <w:rsid w:val="00E848C8"/>
    <w:rsid w:val="00E8535E"/>
    <w:rsid w:val="00E85A50"/>
    <w:rsid w:val="00E8715F"/>
    <w:rsid w:val="00E872E3"/>
    <w:rsid w:val="00E9142E"/>
    <w:rsid w:val="00E91651"/>
    <w:rsid w:val="00E93641"/>
    <w:rsid w:val="00E93689"/>
    <w:rsid w:val="00E94EBD"/>
    <w:rsid w:val="00E978BD"/>
    <w:rsid w:val="00E97B2F"/>
    <w:rsid w:val="00EA01AC"/>
    <w:rsid w:val="00EA16D9"/>
    <w:rsid w:val="00EA2B25"/>
    <w:rsid w:val="00EA3AE7"/>
    <w:rsid w:val="00EA3C75"/>
    <w:rsid w:val="00EA3E5D"/>
    <w:rsid w:val="00EA4C5B"/>
    <w:rsid w:val="00EA6CA3"/>
    <w:rsid w:val="00EA7912"/>
    <w:rsid w:val="00EB0FA0"/>
    <w:rsid w:val="00EB1D0B"/>
    <w:rsid w:val="00EB5007"/>
    <w:rsid w:val="00EB5A19"/>
    <w:rsid w:val="00EB5A8C"/>
    <w:rsid w:val="00EB6FD1"/>
    <w:rsid w:val="00EB74E5"/>
    <w:rsid w:val="00EC004C"/>
    <w:rsid w:val="00EC0BA8"/>
    <w:rsid w:val="00EC317F"/>
    <w:rsid w:val="00EC53F7"/>
    <w:rsid w:val="00EC5B61"/>
    <w:rsid w:val="00EC65DE"/>
    <w:rsid w:val="00EC7812"/>
    <w:rsid w:val="00ED1796"/>
    <w:rsid w:val="00ED17A7"/>
    <w:rsid w:val="00ED3A57"/>
    <w:rsid w:val="00ED6567"/>
    <w:rsid w:val="00EE246C"/>
    <w:rsid w:val="00EE4525"/>
    <w:rsid w:val="00EE49BB"/>
    <w:rsid w:val="00EE7DBE"/>
    <w:rsid w:val="00EF01F9"/>
    <w:rsid w:val="00EF029F"/>
    <w:rsid w:val="00EF2C7A"/>
    <w:rsid w:val="00EF34D4"/>
    <w:rsid w:val="00EF3B32"/>
    <w:rsid w:val="00EF6290"/>
    <w:rsid w:val="00EF6A97"/>
    <w:rsid w:val="00EF6F16"/>
    <w:rsid w:val="00F00883"/>
    <w:rsid w:val="00F00AB1"/>
    <w:rsid w:val="00F02E7A"/>
    <w:rsid w:val="00F0443F"/>
    <w:rsid w:val="00F0611E"/>
    <w:rsid w:val="00F06FDF"/>
    <w:rsid w:val="00F07ABD"/>
    <w:rsid w:val="00F10992"/>
    <w:rsid w:val="00F10EE2"/>
    <w:rsid w:val="00F1110A"/>
    <w:rsid w:val="00F17820"/>
    <w:rsid w:val="00F21CC6"/>
    <w:rsid w:val="00F22FEE"/>
    <w:rsid w:val="00F26C5B"/>
    <w:rsid w:val="00F309FA"/>
    <w:rsid w:val="00F3178C"/>
    <w:rsid w:val="00F31837"/>
    <w:rsid w:val="00F32B97"/>
    <w:rsid w:val="00F32D3F"/>
    <w:rsid w:val="00F32D85"/>
    <w:rsid w:val="00F332F2"/>
    <w:rsid w:val="00F339E4"/>
    <w:rsid w:val="00F33C5A"/>
    <w:rsid w:val="00F34604"/>
    <w:rsid w:val="00F34D51"/>
    <w:rsid w:val="00F35454"/>
    <w:rsid w:val="00F35864"/>
    <w:rsid w:val="00F3600D"/>
    <w:rsid w:val="00F37164"/>
    <w:rsid w:val="00F40152"/>
    <w:rsid w:val="00F402B9"/>
    <w:rsid w:val="00F40562"/>
    <w:rsid w:val="00F40DDD"/>
    <w:rsid w:val="00F41A4C"/>
    <w:rsid w:val="00F446F4"/>
    <w:rsid w:val="00F44754"/>
    <w:rsid w:val="00F51E54"/>
    <w:rsid w:val="00F52402"/>
    <w:rsid w:val="00F541C2"/>
    <w:rsid w:val="00F55BFF"/>
    <w:rsid w:val="00F60EBD"/>
    <w:rsid w:val="00F612B9"/>
    <w:rsid w:val="00F619AE"/>
    <w:rsid w:val="00F63871"/>
    <w:rsid w:val="00F63D2E"/>
    <w:rsid w:val="00F641F7"/>
    <w:rsid w:val="00F670A6"/>
    <w:rsid w:val="00F67233"/>
    <w:rsid w:val="00F7446C"/>
    <w:rsid w:val="00F765A7"/>
    <w:rsid w:val="00F76A26"/>
    <w:rsid w:val="00F7727B"/>
    <w:rsid w:val="00F77C11"/>
    <w:rsid w:val="00F80021"/>
    <w:rsid w:val="00F8034D"/>
    <w:rsid w:val="00F8179F"/>
    <w:rsid w:val="00F823BB"/>
    <w:rsid w:val="00F82821"/>
    <w:rsid w:val="00F83712"/>
    <w:rsid w:val="00F85E35"/>
    <w:rsid w:val="00F9016D"/>
    <w:rsid w:val="00F930B6"/>
    <w:rsid w:val="00F93F2B"/>
    <w:rsid w:val="00F9633E"/>
    <w:rsid w:val="00F96D23"/>
    <w:rsid w:val="00FA1418"/>
    <w:rsid w:val="00FA2A39"/>
    <w:rsid w:val="00FA3649"/>
    <w:rsid w:val="00FA650E"/>
    <w:rsid w:val="00FA72D9"/>
    <w:rsid w:val="00FA7B85"/>
    <w:rsid w:val="00FB19FD"/>
    <w:rsid w:val="00FB1F3A"/>
    <w:rsid w:val="00FB23AA"/>
    <w:rsid w:val="00FB23B6"/>
    <w:rsid w:val="00FB2A54"/>
    <w:rsid w:val="00FB31F6"/>
    <w:rsid w:val="00FB3A2A"/>
    <w:rsid w:val="00FB3C6F"/>
    <w:rsid w:val="00FB793B"/>
    <w:rsid w:val="00FC0AC1"/>
    <w:rsid w:val="00FC1212"/>
    <w:rsid w:val="00FC1FA7"/>
    <w:rsid w:val="00FC491A"/>
    <w:rsid w:val="00FC560E"/>
    <w:rsid w:val="00FC788F"/>
    <w:rsid w:val="00FC7B0D"/>
    <w:rsid w:val="00FD05AB"/>
    <w:rsid w:val="00FD28F3"/>
    <w:rsid w:val="00FD35D4"/>
    <w:rsid w:val="00FD36EC"/>
    <w:rsid w:val="00FD4564"/>
    <w:rsid w:val="00FD696E"/>
    <w:rsid w:val="00FD6C74"/>
    <w:rsid w:val="00FD6CAE"/>
    <w:rsid w:val="00FE1797"/>
    <w:rsid w:val="00FE1C81"/>
    <w:rsid w:val="00FE2837"/>
    <w:rsid w:val="00FE4DC9"/>
    <w:rsid w:val="00FE6049"/>
    <w:rsid w:val="00FE7D57"/>
    <w:rsid w:val="00FF20D9"/>
    <w:rsid w:val="00FF25FE"/>
    <w:rsid w:val="00FF3763"/>
    <w:rsid w:val="00FF4741"/>
    <w:rsid w:val="00FF52A8"/>
    <w:rsid w:val="00FF5710"/>
    <w:rsid w:val="00FF5824"/>
    <w:rsid w:val="00FF7C87"/>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5F5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A5D"/>
    <w:pPr>
      <w:spacing w:before="120" w:after="120"/>
      <w:jc w:val="both"/>
    </w:pPr>
    <w:rPr>
      <w:rFonts w:ascii="Verdana" w:hAnsi="Verdana"/>
      <w:szCs w:val="24"/>
      <w:lang w:val="en-GB" w:eastAsia="en-US"/>
    </w:rPr>
  </w:style>
  <w:style w:type="paragraph" w:styleId="Heading2">
    <w:name w:val="heading 2"/>
    <w:basedOn w:val="Normal"/>
    <w:next w:val="Normal"/>
    <w:link w:val="Heading2Char"/>
    <w:autoRedefine/>
    <w:qFormat/>
    <w:rsid w:val="00D02FE4"/>
    <w:pPr>
      <w:keepNext/>
      <w:spacing w:before="24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 Char,Footnote Text Char Char,Footnote,FSR footnote,lábléc,Carattere1,Footnote Text Char1 Char,Footnote Text Char2 Char Char Char,Footnote Text Char1 Char Char Char Char,Footnote Text Char Char Char Char Char Char,fn,f"/>
    <w:basedOn w:val="Normal"/>
    <w:link w:val="FootnoteTextChar"/>
    <w:rsid w:val="00D02FE4"/>
    <w:pPr>
      <w:spacing w:line="180" w:lineRule="exact"/>
      <w:ind w:left="142" w:hanging="142"/>
    </w:pPr>
    <w:rPr>
      <w:sz w:val="16"/>
      <w:szCs w:val="16"/>
    </w:rPr>
  </w:style>
  <w:style w:type="character" w:customStyle="1" w:styleId="FootnoteTextChar">
    <w:name w:val="Footnote Text Char"/>
    <w:aliases w:val="Fußnote Char1, Char Char,Footnote Text Char Char Char,Footnote Char,FSR footnote Char,lábléc Char,Carattere1 Char,Footnote Text Char1 Char Char,Footnote Text Char2 Char Char Char Char,Footnote Text Char1 Char Char Char Char Char"/>
    <w:link w:val="FootnoteText"/>
    <w:rsid w:val="00D02FE4"/>
    <w:rPr>
      <w:rFonts w:ascii="Verdana" w:hAnsi="Verdana"/>
      <w:sz w:val="16"/>
      <w:szCs w:val="16"/>
      <w:lang w:val="en-GB" w:eastAsia="en-US" w:bidi="ar-SA"/>
    </w:rPr>
  </w:style>
  <w:style w:type="character" w:styleId="FootnoteReference">
    <w:name w:val="footnote reference"/>
    <w:rsid w:val="00D02FE4"/>
    <w:rPr>
      <w:rFonts w:ascii="Arial" w:hAnsi="Arial"/>
      <w:dstrike w:val="0"/>
      <w:kern w:val="0"/>
      <w:position w:val="4"/>
      <w:sz w:val="12"/>
      <w:szCs w:val="12"/>
      <w:vertAlign w:val="baseline"/>
    </w:rPr>
  </w:style>
  <w:style w:type="character" w:customStyle="1" w:styleId="Heading2Char">
    <w:name w:val="Heading 2 Char"/>
    <w:link w:val="Heading2"/>
    <w:rsid w:val="00D02FE4"/>
    <w:rPr>
      <w:rFonts w:ascii="Verdana" w:hAnsi="Verdana"/>
      <w:b/>
      <w:sz w:val="24"/>
      <w:szCs w:val="24"/>
      <w:lang w:val="en-GB" w:eastAsia="en-US" w:bidi="ar-SA"/>
    </w:rPr>
  </w:style>
  <w:style w:type="paragraph" w:customStyle="1" w:styleId="Instructionsberschrift2">
    <w:name w:val="Instructions Überschrift 2"/>
    <w:basedOn w:val="Heading2"/>
    <w:rsid w:val="00D02FE4"/>
    <w:pPr>
      <w:numPr>
        <w:numId w:val="1"/>
      </w:numPr>
      <w:spacing w:after="240"/>
    </w:pPr>
    <w:rPr>
      <w:rFonts w:cs="Arial"/>
      <w:b w:val="0"/>
      <w:sz w:val="20"/>
      <w:u w:val="single"/>
    </w:rPr>
  </w:style>
  <w:style w:type="paragraph" w:customStyle="1" w:styleId="InstructionsText">
    <w:name w:val="Instructions Text"/>
    <w:basedOn w:val="Normal"/>
    <w:link w:val="InstructionsTextChar"/>
    <w:autoRedefine/>
    <w:rsid w:val="00845EB1"/>
    <w:pPr>
      <w:spacing w:before="0" w:after="0"/>
      <w:ind w:left="33"/>
    </w:pPr>
    <w:rPr>
      <w:rFonts w:ascii="Times New Roman" w:hAnsi="Times New Roman"/>
      <w:sz w:val="24"/>
      <w:lang w:val="en-US" w:eastAsia="de-DE"/>
    </w:rPr>
  </w:style>
  <w:style w:type="character" w:customStyle="1" w:styleId="InstructionsTabelleberschrift">
    <w:name w:val="Instructions Tabelle Überschrift"/>
    <w:qFormat/>
    <w:rsid w:val="00D02FE4"/>
    <w:rPr>
      <w:rFonts w:ascii="Verdana" w:hAnsi="Verdana" w:cs="Times New Roman"/>
      <w:b/>
      <w:bCs/>
      <w:sz w:val="20"/>
      <w:u w:val="single"/>
    </w:rPr>
  </w:style>
  <w:style w:type="character" w:customStyle="1" w:styleId="InstructionsTabelleText">
    <w:name w:val="Instructions Tabelle Text"/>
    <w:rsid w:val="00D02FE4"/>
    <w:rPr>
      <w:rFonts w:ascii="Verdana" w:hAnsi="Verdana" w:cs="Times New Roman"/>
      <w:sz w:val="20"/>
    </w:rPr>
  </w:style>
  <w:style w:type="character" w:customStyle="1" w:styleId="FormatvorlageInstructionsTabelleText">
    <w:name w:val="Formatvorlage Instructions Tabelle Text"/>
    <w:uiPriority w:val="99"/>
    <w:qFormat/>
    <w:rsid w:val="00D02FE4"/>
    <w:rPr>
      <w:rFonts w:ascii="Verdana" w:hAnsi="Verdana" w:cs="Times New Roman"/>
      <w:bCs/>
      <w:sz w:val="20"/>
      <w:u w:val="none"/>
    </w:rPr>
  </w:style>
  <w:style w:type="character" w:customStyle="1" w:styleId="InstructionsTextChar">
    <w:name w:val="Instructions Text Char"/>
    <w:link w:val="InstructionsText"/>
    <w:locked/>
    <w:rsid w:val="00845EB1"/>
    <w:rPr>
      <w:sz w:val="24"/>
      <w:szCs w:val="24"/>
      <w:lang w:val="en-US" w:eastAsia="de-DE"/>
    </w:rPr>
  </w:style>
  <w:style w:type="paragraph" w:customStyle="1" w:styleId="InstructionsText2">
    <w:name w:val="Instructions Text 2"/>
    <w:basedOn w:val="InstructionsText"/>
    <w:qFormat/>
    <w:rsid w:val="00D02FE4"/>
    <w:pPr>
      <w:spacing w:after="240"/>
      <w:ind w:left="0"/>
    </w:pPr>
  </w:style>
  <w:style w:type="paragraph" w:customStyle="1" w:styleId="Paragraph">
    <w:name w:val="Paragraph"/>
    <w:basedOn w:val="Normal"/>
    <w:link w:val="ParagraphChar"/>
    <w:rsid w:val="009D253B"/>
    <w:pPr>
      <w:spacing w:before="0" w:after="240"/>
    </w:pPr>
    <w:rPr>
      <w:rFonts w:ascii="Arial" w:hAnsi="Arial"/>
      <w:sz w:val="22"/>
      <w:szCs w:val="20"/>
    </w:rPr>
  </w:style>
  <w:style w:type="character" w:customStyle="1" w:styleId="ParagraphChar">
    <w:name w:val="Paragraph Char"/>
    <w:link w:val="Paragraph"/>
    <w:rsid w:val="009D253B"/>
    <w:rPr>
      <w:rFonts w:ascii="Arial" w:hAnsi="Arial"/>
      <w:sz w:val="22"/>
      <w:lang w:val="en-GB" w:eastAsia="en-US" w:bidi="ar-SA"/>
    </w:rPr>
  </w:style>
  <w:style w:type="character" w:customStyle="1" w:styleId="FunoteChar">
    <w:name w:val="Fußnote Char"/>
    <w:aliases w:val=" Char Char Char"/>
    <w:semiHidden/>
    <w:rsid w:val="009D253B"/>
    <w:rPr>
      <w:rFonts w:ascii="Arial" w:hAnsi="Arial"/>
      <w:sz w:val="18"/>
      <w:lang w:val="en-GB" w:eastAsia="en-US" w:bidi="ar-SA"/>
    </w:rPr>
  </w:style>
  <w:style w:type="paragraph" w:customStyle="1" w:styleId="Bullets">
    <w:name w:val="Bullets"/>
    <w:basedOn w:val="Normal"/>
    <w:link w:val="BulletsChar"/>
    <w:rsid w:val="009D253B"/>
    <w:pPr>
      <w:tabs>
        <w:tab w:val="num" w:pos="851"/>
      </w:tabs>
      <w:spacing w:before="0"/>
      <w:ind w:left="851" w:hanging="851"/>
    </w:pPr>
    <w:rPr>
      <w:rFonts w:ascii="Arial" w:eastAsia="MS Mincho" w:hAnsi="Arial"/>
      <w:sz w:val="22"/>
      <w:szCs w:val="20"/>
      <w:lang w:eastAsia="ja-JP"/>
    </w:rPr>
  </w:style>
  <w:style w:type="character" w:customStyle="1" w:styleId="BulletsChar">
    <w:name w:val="Bullets Char"/>
    <w:link w:val="Bullets"/>
    <w:locked/>
    <w:rsid w:val="009D253B"/>
    <w:rPr>
      <w:rFonts w:ascii="Arial" w:eastAsia="MS Mincho" w:hAnsi="Arial"/>
      <w:sz w:val="22"/>
      <w:lang w:val="en-GB" w:eastAsia="ja-JP" w:bidi="ar-SA"/>
    </w:rPr>
  </w:style>
  <w:style w:type="paragraph" w:customStyle="1" w:styleId="TableText">
    <w:name w:val="TableText"/>
    <w:basedOn w:val="Normal"/>
    <w:rsid w:val="00DD1BB6"/>
    <w:pPr>
      <w:keepNext/>
      <w:spacing w:before="60" w:after="60"/>
      <w:jc w:val="left"/>
    </w:pPr>
    <w:rPr>
      <w:rFonts w:ascii="Arial" w:hAnsi="Arial"/>
      <w:szCs w:val="20"/>
    </w:rPr>
  </w:style>
  <w:style w:type="paragraph" w:styleId="BalloonText">
    <w:name w:val="Balloon Text"/>
    <w:basedOn w:val="Normal"/>
    <w:semiHidden/>
    <w:rsid w:val="00104F31"/>
    <w:rPr>
      <w:rFonts w:ascii="Tahoma" w:hAnsi="Tahoma" w:cs="Tahoma"/>
      <w:sz w:val="16"/>
      <w:szCs w:val="16"/>
    </w:rPr>
  </w:style>
  <w:style w:type="character" w:styleId="CommentReference">
    <w:name w:val="annotation reference"/>
    <w:uiPriority w:val="99"/>
    <w:rsid w:val="001128AA"/>
    <w:rPr>
      <w:sz w:val="16"/>
      <w:szCs w:val="16"/>
    </w:rPr>
  </w:style>
  <w:style w:type="paragraph" w:styleId="CommentText">
    <w:name w:val="annotation text"/>
    <w:basedOn w:val="Normal"/>
    <w:link w:val="CommentTextChar"/>
    <w:uiPriority w:val="99"/>
    <w:rsid w:val="001128AA"/>
    <w:rPr>
      <w:szCs w:val="20"/>
    </w:rPr>
  </w:style>
  <w:style w:type="character" w:customStyle="1" w:styleId="CommentTextChar">
    <w:name w:val="Comment Text Char"/>
    <w:link w:val="CommentText"/>
    <w:uiPriority w:val="99"/>
    <w:rsid w:val="001128AA"/>
    <w:rPr>
      <w:rFonts w:ascii="Verdana" w:hAnsi="Verdana"/>
      <w:lang w:val="en-GB" w:eastAsia="en-US"/>
    </w:rPr>
  </w:style>
  <w:style w:type="paragraph" w:styleId="CommentSubject">
    <w:name w:val="annotation subject"/>
    <w:basedOn w:val="CommentText"/>
    <w:next w:val="CommentText"/>
    <w:link w:val="CommentSubjectChar"/>
    <w:rsid w:val="001128AA"/>
    <w:rPr>
      <w:b/>
      <w:bCs/>
    </w:rPr>
  </w:style>
  <w:style w:type="character" w:customStyle="1" w:styleId="CommentSubjectChar">
    <w:name w:val="Comment Subject Char"/>
    <w:link w:val="CommentSubject"/>
    <w:rsid w:val="001128AA"/>
    <w:rPr>
      <w:rFonts w:ascii="Verdana" w:hAnsi="Verdana"/>
      <w:b/>
      <w:bCs/>
      <w:lang w:val="en-GB" w:eastAsia="en-US"/>
    </w:rPr>
  </w:style>
  <w:style w:type="paragraph" w:styleId="PlainText">
    <w:name w:val="Plain Text"/>
    <w:basedOn w:val="Normal"/>
    <w:semiHidden/>
    <w:rsid w:val="00392C32"/>
    <w:pPr>
      <w:spacing w:before="0" w:after="0"/>
      <w:jc w:val="left"/>
    </w:pPr>
    <w:rPr>
      <w:rFonts w:ascii="Consolas" w:hAnsi="Consolas"/>
      <w:sz w:val="21"/>
      <w:szCs w:val="21"/>
    </w:rPr>
  </w:style>
  <w:style w:type="paragraph" w:styleId="Footer">
    <w:name w:val="footer"/>
    <w:basedOn w:val="Normal"/>
    <w:link w:val="FooterChar"/>
    <w:uiPriority w:val="99"/>
    <w:rsid w:val="00392C32"/>
    <w:pPr>
      <w:tabs>
        <w:tab w:val="center" w:pos="4536"/>
        <w:tab w:val="right" w:pos="9072"/>
      </w:tabs>
      <w:spacing w:before="0" w:after="0"/>
      <w:jc w:val="left"/>
    </w:pPr>
    <w:rPr>
      <w:rFonts w:ascii="Times New Roman" w:hAnsi="Times New Roman"/>
      <w:sz w:val="24"/>
      <w:lang w:val="de-AT" w:eastAsia="de-AT"/>
    </w:rPr>
  </w:style>
  <w:style w:type="paragraph" w:customStyle="1" w:styleId="Numberedheadinglevel1">
    <w:name w:val="Numbered heading level 1"/>
    <w:basedOn w:val="Normal"/>
    <w:next w:val="Normal"/>
    <w:qFormat/>
    <w:rsid w:val="00BF691C"/>
    <w:pPr>
      <w:numPr>
        <w:numId w:val="2"/>
      </w:numPr>
      <w:tabs>
        <w:tab w:val="left" w:pos="0"/>
      </w:tabs>
      <w:spacing w:before="360" w:after="360"/>
    </w:pPr>
    <w:rPr>
      <w:rFonts w:ascii="Arial" w:hAnsi="Arial"/>
      <w:color w:val="4F81BD" w:themeColor="accent1"/>
      <w:sz w:val="28"/>
      <w:szCs w:val="28"/>
    </w:rPr>
  </w:style>
  <w:style w:type="paragraph" w:customStyle="1" w:styleId="Numberedheadinglevel2">
    <w:name w:val="Numbered heading level 2"/>
    <w:basedOn w:val="Normal"/>
    <w:next w:val="Normal"/>
    <w:qFormat/>
    <w:rsid w:val="00BF691C"/>
    <w:pPr>
      <w:numPr>
        <w:ilvl w:val="1"/>
        <w:numId w:val="2"/>
      </w:numPr>
      <w:tabs>
        <w:tab w:val="left" w:pos="567"/>
      </w:tabs>
      <w:spacing w:before="360" w:after="240"/>
    </w:pPr>
    <w:rPr>
      <w:rFonts w:ascii="Arial" w:hAnsi="Arial"/>
      <w:color w:val="4F81BD" w:themeColor="accent1"/>
      <w:sz w:val="24"/>
    </w:rPr>
  </w:style>
  <w:style w:type="paragraph" w:customStyle="1" w:styleId="Numberedheadinglevel3">
    <w:name w:val="Numbered heading level 3"/>
    <w:basedOn w:val="Normal"/>
    <w:next w:val="Normal"/>
    <w:qFormat/>
    <w:rsid w:val="00BF691C"/>
    <w:pPr>
      <w:numPr>
        <w:ilvl w:val="2"/>
        <w:numId w:val="2"/>
      </w:numPr>
      <w:tabs>
        <w:tab w:val="left" w:pos="567"/>
      </w:tabs>
      <w:spacing w:before="240"/>
    </w:pPr>
    <w:rPr>
      <w:rFonts w:ascii="Arial" w:hAnsi="Arial"/>
      <w:color w:val="4F81BD" w:themeColor="accent1"/>
      <w:szCs w:val="20"/>
    </w:rPr>
  </w:style>
  <w:style w:type="character" w:customStyle="1" w:styleId="DeltaViewInsertion">
    <w:name w:val="DeltaView Insertion"/>
    <w:rsid w:val="00723CA3"/>
    <w:rPr>
      <w:color w:val="0000FF"/>
      <w:spacing w:val="0"/>
      <w:u w:val="double"/>
    </w:rPr>
  </w:style>
  <w:style w:type="character" w:customStyle="1" w:styleId="DeltaViewDeletion">
    <w:name w:val="DeltaView Deletion"/>
    <w:rsid w:val="00723CA3"/>
    <w:rPr>
      <w:strike/>
      <w:color w:val="FF0000"/>
      <w:spacing w:val="0"/>
    </w:rPr>
  </w:style>
  <w:style w:type="paragraph" w:customStyle="1" w:styleId="Point1">
    <w:name w:val="Point 1"/>
    <w:basedOn w:val="Normal"/>
    <w:link w:val="Point1Char"/>
    <w:rsid w:val="00751DC2"/>
    <w:pPr>
      <w:ind w:left="1417" w:hanging="567"/>
    </w:pPr>
    <w:rPr>
      <w:rFonts w:ascii="Times New Roman" w:hAnsi="Times New Roman"/>
      <w:sz w:val="24"/>
      <w:lang w:eastAsia="de-DE"/>
    </w:rPr>
  </w:style>
  <w:style w:type="paragraph" w:customStyle="1" w:styleId="Point0number">
    <w:name w:val="Point 0 (number)"/>
    <w:basedOn w:val="Normal"/>
    <w:rsid w:val="00751DC2"/>
    <w:pPr>
      <w:tabs>
        <w:tab w:val="num" w:pos="360"/>
      </w:tabs>
      <w:ind w:left="850" w:hanging="850"/>
    </w:pPr>
    <w:rPr>
      <w:rFonts w:ascii="Times New Roman" w:hAnsi="Times New Roman"/>
      <w:sz w:val="24"/>
    </w:rPr>
  </w:style>
  <w:style w:type="character" w:customStyle="1" w:styleId="Point1Char">
    <w:name w:val="Point 1 Char"/>
    <w:link w:val="Point1"/>
    <w:locked/>
    <w:rsid w:val="00751DC2"/>
    <w:rPr>
      <w:sz w:val="24"/>
      <w:szCs w:val="24"/>
      <w:lang w:val="en-GB" w:eastAsia="de-DE"/>
    </w:rPr>
  </w:style>
  <w:style w:type="paragraph" w:styleId="Revision">
    <w:name w:val="Revision"/>
    <w:hidden/>
    <w:uiPriority w:val="99"/>
    <w:semiHidden/>
    <w:rsid w:val="0089454F"/>
    <w:rPr>
      <w:rFonts w:ascii="Verdana" w:hAnsi="Verdana"/>
      <w:szCs w:val="24"/>
      <w:lang w:val="en-GB" w:eastAsia="en-US"/>
    </w:rPr>
  </w:style>
  <w:style w:type="paragraph" w:styleId="ListParagraph">
    <w:name w:val="List Paragraph"/>
    <w:basedOn w:val="Normal"/>
    <w:uiPriority w:val="34"/>
    <w:qFormat/>
    <w:rsid w:val="007E6E38"/>
    <w:pPr>
      <w:ind w:left="720"/>
      <w:contextualSpacing/>
    </w:pPr>
  </w:style>
  <w:style w:type="paragraph" w:customStyle="1" w:styleId="DocTitle">
    <w:name w:val="Doc Title"/>
    <w:basedOn w:val="Normal"/>
    <w:qFormat/>
    <w:rsid w:val="00CB3679"/>
    <w:pPr>
      <w:spacing w:before="3280" w:after="480"/>
      <w:jc w:val="left"/>
    </w:pPr>
    <w:rPr>
      <w:rFonts w:ascii="Arial" w:hAnsi="Arial"/>
      <w:color w:val="4F81BD" w:themeColor="accent1"/>
      <w:sz w:val="40"/>
      <w:szCs w:val="40"/>
    </w:rPr>
  </w:style>
  <w:style w:type="paragraph" w:customStyle="1" w:styleId="SubTitle">
    <w:name w:val="Sub Title"/>
    <w:basedOn w:val="Heading2"/>
    <w:qFormat/>
    <w:rsid w:val="00CB3679"/>
    <w:pPr>
      <w:keepNext w:val="0"/>
      <w:spacing w:before="120" w:after="0"/>
      <w:contextualSpacing/>
      <w:jc w:val="left"/>
    </w:pPr>
    <w:rPr>
      <w:rFonts w:ascii="Arial" w:hAnsi="Arial"/>
      <w:b w:val="0"/>
      <w:color w:val="4F81BD" w:themeColor="accent1"/>
      <w:szCs w:val="20"/>
    </w:rPr>
  </w:style>
  <w:style w:type="paragraph" w:customStyle="1" w:styleId="Numberedparagraphs">
    <w:name w:val="Numbered paragraphs"/>
    <w:basedOn w:val="Normal"/>
    <w:qFormat/>
    <w:rsid w:val="00CB3679"/>
    <w:pPr>
      <w:numPr>
        <w:numId w:val="3"/>
      </w:numPr>
      <w:tabs>
        <w:tab w:val="left" w:pos="284"/>
      </w:tabs>
      <w:spacing w:before="0" w:after="300" w:line="300" w:lineRule="exact"/>
      <w:ind w:left="284" w:hanging="284"/>
    </w:pPr>
    <w:rPr>
      <w:rFonts w:ascii="Arial" w:hAnsi="Arial"/>
      <w:color w:val="000000"/>
      <w:szCs w:val="20"/>
    </w:rPr>
  </w:style>
  <w:style w:type="paragraph" w:styleId="Header">
    <w:name w:val="header"/>
    <w:basedOn w:val="Normal"/>
    <w:link w:val="HeaderChar"/>
    <w:rsid w:val="00CB3679"/>
    <w:pPr>
      <w:tabs>
        <w:tab w:val="center" w:pos="4513"/>
        <w:tab w:val="right" w:pos="9026"/>
      </w:tabs>
      <w:spacing w:before="0" w:after="0"/>
    </w:pPr>
  </w:style>
  <w:style w:type="character" w:customStyle="1" w:styleId="HeaderChar">
    <w:name w:val="Header Char"/>
    <w:basedOn w:val="DefaultParagraphFont"/>
    <w:link w:val="Header"/>
    <w:rsid w:val="00CB3679"/>
    <w:rPr>
      <w:rFonts w:ascii="Verdana" w:hAnsi="Verdana"/>
      <w:szCs w:val="24"/>
      <w:lang w:val="en-GB" w:eastAsia="en-US"/>
    </w:rPr>
  </w:style>
  <w:style w:type="paragraph" w:customStyle="1" w:styleId="CM15">
    <w:name w:val="CM1+5"/>
    <w:basedOn w:val="Normal"/>
    <w:next w:val="Normal"/>
    <w:uiPriority w:val="99"/>
    <w:rsid w:val="00EA3AE7"/>
    <w:pPr>
      <w:autoSpaceDE w:val="0"/>
      <w:autoSpaceDN w:val="0"/>
      <w:adjustRightInd w:val="0"/>
      <w:spacing w:before="0" w:after="0"/>
      <w:jc w:val="left"/>
    </w:pPr>
    <w:rPr>
      <w:rFonts w:ascii="EUAlbertina" w:hAnsi="EUAlbertina"/>
      <w:sz w:val="24"/>
      <w:lang w:val="en-IE" w:eastAsia="fr-FR"/>
    </w:rPr>
  </w:style>
  <w:style w:type="paragraph" w:customStyle="1" w:styleId="CM35">
    <w:name w:val="CM3+5"/>
    <w:basedOn w:val="Normal"/>
    <w:next w:val="Normal"/>
    <w:uiPriority w:val="99"/>
    <w:rsid w:val="00EA3AE7"/>
    <w:pPr>
      <w:autoSpaceDE w:val="0"/>
      <w:autoSpaceDN w:val="0"/>
      <w:adjustRightInd w:val="0"/>
      <w:spacing w:before="0" w:after="0"/>
      <w:jc w:val="left"/>
    </w:pPr>
    <w:rPr>
      <w:rFonts w:ascii="EUAlbertina" w:hAnsi="EUAlbertina"/>
      <w:sz w:val="24"/>
      <w:lang w:val="en-IE" w:eastAsia="fr-FR"/>
    </w:rPr>
  </w:style>
  <w:style w:type="table" w:styleId="TableGrid">
    <w:name w:val="Table Grid"/>
    <w:basedOn w:val="TableNormal"/>
    <w:uiPriority w:val="59"/>
    <w:rsid w:val="00E05204"/>
    <w:rPr>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B3D8D"/>
    <w:rPr>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5910">
      <w:bodyDiv w:val="1"/>
      <w:marLeft w:val="0"/>
      <w:marRight w:val="0"/>
      <w:marTop w:val="0"/>
      <w:marBottom w:val="0"/>
      <w:divBdr>
        <w:top w:val="none" w:sz="0" w:space="0" w:color="auto"/>
        <w:left w:val="none" w:sz="0" w:space="0" w:color="auto"/>
        <w:bottom w:val="none" w:sz="0" w:space="0" w:color="auto"/>
        <w:right w:val="none" w:sz="0" w:space="0" w:color="auto"/>
      </w:divBdr>
    </w:div>
    <w:div w:id="108595124">
      <w:bodyDiv w:val="1"/>
      <w:marLeft w:val="0"/>
      <w:marRight w:val="0"/>
      <w:marTop w:val="0"/>
      <w:marBottom w:val="0"/>
      <w:divBdr>
        <w:top w:val="none" w:sz="0" w:space="0" w:color="auto"/>
        <w:left w:val="none" w:sz="0" w:space="0" w:color="auto"/>
        <w:bottom w:val="none" w:sz="0" w:space="0" w:color="auto"/>
        <w:right w:val="none" w:sz="0" w:space="0" w:color="auto"/>
      </w:divBdr>
    </w:div>
    <w:div w:id="513229451">
      <w:bodyDiv w:val="1"/>
      <w:marLeft w:val="0"/>
      <w:marRight w:val="0"/>
      <w:marTop w:val="0"/>
      <w:marBottom w:val="0"/>
      <w:divBdr>
        <w:top w:val="none" w:sz="0" w:space="0" w:color="auto"/>
        <w:left w:val="none" w:sz="0" w:space="0" w:color="auto"/>
        <w:bottom w:val="none" w:sz="0" w:space="0" w:color="auto"/>
        <w:right w:val="none" w:sz="0" w:space="0" w:color="auto"/>
      </w:divBdr>
    </w:div>
    <w:div w:id="655383701">
      <w:bodyDiv w:val="1"/>
      <w:marLeft w:val="0"/>
      <w:marRight w:val="0"/>
      <w:marTop w:val="0"/>
      <w:marBottom w:val="0"/>
      <w:divBdr>
        <w:top w:val="none" w:sz="0" w:space="0" w:color="auto"/>
        <w:left w:val="none" w:sz="0" w:space="0" w:color="auto"/>
        <w:bottom w:val="none" w:sz="0" w:space="0" w:color="auto"/>
        <w:right w:val="none" w:sz="0" w:space="0" w:color="auto"/>
      </w:divBdr>
    </w:div>
    <w:div w:id="680666033">
      <w:bodyDiv w:val="1"/>
      <w:marLeft w:val="0"/>
      <w:marRight w:val="0"/>
      <w:marTop w:val="0"/>
      <w:marBottom w:val="0"/>
      <w:divBdr>
        <w:top w:val="none" w:sz="0" w:space="0" w:color="auto"/>
        <w:left w:val="none" w:sz="0" w:space="0" w:color="auto"/>
        <w:bottom w:val="none" w:sz="0" w:space="0" w:color="auto"/>
        <w:right w:val="none" w:sz="0" w:space="0" w:color="auto"/>
      </w:divBdr>
    </w:div>
    <w:div w:id="836917998">
      <w:bodyDiv w:val="1"/>
      <w:marLeft w:val="0"/>
      <w:marRight w:val="0"/>
      <w:marTop w:val="0"/>
      <w:marBottom w:val="0"/>
      <w:divBdr>
        <w:top w:val="none" w:sz="0" w:space="0" w:color="auto"/>
        <w:left w:val="none" w:sz="0" w:space="0" w:color="auto"/>
        <w:bottom w:val="none" w:sz="0" w:space="0" w:color="auto"/>
        <w:right w:val="none" w:sz="0" w:space="0" w:color="auto"/>
      </w:divBdr>
    </w:div>
    <w:div w:id="850027614">
      <w:bodyDiv w:val="1"/>
      <w:marLeft w:val="0"/>
      <w:marRight w:val="0"/>
      <w:marTop w:val="0"/>
      <w:marBottom w:val="0"/>
      <w:divBdr>
        <w:top w:val="none" w:sz="0" w:space="0" w:color="auto"/>
        <w:left w:val="none" w:sz="0" w:space="0" w:color="auto"/>
        <w:bottom w:val="none" w:sz="0" w:space="0" w:color="auto"/>
        <w:right w:val="none" w:sz="0" w:space="0" w:color="auto"/>
      </w:divBdr>
    </w:div>
    <w:div w:id="1090393875">
      <w:bodyDiv w:val="1"/>
      <w:marLeft w:val="0"/>
      <w:marRight w:val="0"/>
      <w:marTop w:val="0"/>
      <w:marBottom w:val="0"/>
      <w:divBdr>
        <w:top w:val="none" w:sz="0" w:space="0" w:color="auto"/>
        <w:left w:val="none" w:sz="0" w:space="0" w:color="auto"/>
        <w:bottom w:val="none" w:sz="0" w:space="0" w:color="auto"/>
        <w:right w:val="none" w:sz="0" w:space="0" w:color="auto"/>
      </w:divBdr>
    </w:div>
    <w:div w:id="1532644019">
      <w:bodyDiv w:val="1"/>
      <w:marLeft w:val="0"/>
      <w:marRight w:val="0"/>
      <w:marTop w:val="0"/>
      <w:marBottom w:val="0"/>
      <w:divBdr>
        <w:top w:val="none" w:sz="0" w:space="0" w:color="auto"/>
        <w:left w:val="none" w:sz="0" w:space="0" w:color="auto"/>
        <w:bottom w:val="none" w:sz="0" w:space="0" w:color="auto"/>
        <w:right w:val="none" w:sz="0" w:space="0" w:color="auto"/>
      </w:divBdr>
    </w:div>
    <w:div w:id="1533498576">
      <w:bodyDiv w:val="1"/>
      <w:marLeft w:val="0"/>
      <w:marRight w:val="0"/>
      <w:marTop w:val="0"/>
      <w:marBottom w:val="0"/>
      <w:divBdr>
        <w:top w:val="none" w:sz="0" w:space="0" w:color="auto"/>
        <w:left w:val="none" w:sz="0" w:space="0" w:color="auto"/>
        <w:bottom w:val="none" w:sz="0" w:space="0" w:color="auto"/>
        <w:right w:val="none" w:sz="0" w:space="0" w:color="auto"/>
      </w:divBdr>
    </w:div>
    <w:div w:id="1676225399">
      <w:bodyDiv w:val="1"/>
      <w:marLeft w:val="0"/>
      <w:marRight w:val="0"/>
      <w:marTop w:val="0"/>
      <w:marBottom w:val="0"/>
      <w:divBdr>
        <w:top w:val="none" w:sz="0" w:space="0" w:color="auto"/>
        <w:left w:val="none" w:sz="0" w:space="0" w:color="auto"/>
        <w:bottom w:val="none" w:sz="0" w:space="0" w:color="auto"/>
        <w:right w:val="none" w:sz="0" w:space="0" w:color="auto"/>
      </w:divBdr>
    </w:div>
    <w:div w:id="17783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E3E9-D91E-466F-B301-D169C30CA669}">
  <ds:schemaRefs>
    <ds:schemaRef ds:uri="http://schemas.openxmlformats.org/officeDocument/2006/bibliography"/>
  </ds:schemaRefs>
</ds:datastoreItem>
</file>

<file path=customXml/itemProps2.xml><?xml version="1.0" encoding="utf-8"?>
<ds:datastoreItem xmlns:ds="http://schemas.openxmlformats.org/officeDocument/2006/customXml" ds:itemID="{09EC746B-269F-4BEB-9ADC-5B7AA263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5351</Characters>
  <Application>Microsoft Office Word</Application>
  <DocSecurity>0</DocSecurity>
  <Lines>127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2022-10-27T13:24:00Z</dcterms:created>
  <dcterms:modified xsi:type="dcterms:W3CDTF">2022-10-27T13:24:00Z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6ba66e-8b7b-475b-ae81-4aab15d5f212_Enabled">
    <vt:lpwstr>true</vt:lpwstr>
  </property>
  <property fmtid="{D5CDD505-2E9C-101B-9397-08002B2CF9AE}" pid="3" name="MSIP_Label_e66ba66e-8b7b-475b-ae81-4aab15d5f212_SetDate">
    <vt:lpwstr>2022-03-03T13:23:18Z</vt:lpwstr>
  </property>
  <property fmtid="{D5CDD505-2E9C-101B-9397-08002B2CF9AE}" pid="4" name="MSIP_Label_e66ba66e-8b7b-475b-ae81-4aab15d5f212_Method">
    <vt:lpwstr>Privileged</vt:lpwstr>
  </property>
  <property fmtid="{D5CDD505-2E9C-101B-9397-08002B2CF9AE}" pid="5" name="MSIP_Label_e66ba66e-8b7b-475b-ae81-4aab15d5f212_Name">
    <vt:lpwstr>No Label</vt:lpwstr>
  </property>
  <property fmtid="{D5CDD505-2E9C-101B-9397-08002B2CF9AE}" pid="6" name="MSIP_Label_e66ba66e-8b7b-475b-ae81-4aab15d5f212_SiteId">
    <vt:lpwstr>3bacb4ff-f1a2-4c92-b96c-e99fec826b68</vt:lpwstr>
  </property>
  <property fmtid="{D5CDD505-2E9C-101B-9397-08002B2CF9AE}" pid="7" name="MSIP_Label_e66ba66e-8b7b-475b-ae81-4aab15d5f212_ActionId">
    <vt:lpwstr>26a8a858-45fe-4cd0-9dfa-da300a052af8</vt:lpwstr>
  </property>
  <property fmtid="{D5CDD505-2E9C-101B-9397-08002B2CF9AE}" pid="8" name="MSIP_Label_e66ba66e-8b7b-475b-ae81-4aab15d5f212_ContentBits">
    <vt:lpwstr>0</vt:lpwstr>
  </property>
</Properties>
</file>