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4" w:rsidRPr="007F5684" w:rsidRDefault="007F5684" w:rsidP="007F5684">
      <w:pPr>
        <w:pStyle w:val="Instructionsberschrift2"/>
        <w:numPr>
          <w:ilvl w:val="0"/>
          <w:numId w:val="0"/>
        </w:numPr>
        <w:ind w:left="35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F5684" w:rsidRPr="00D12E38" w:rsidRDefault="007F5684" w:rsidP="007F5684">
      <w:pPr>
        <w:pStyle w:val="Numberedheadinglevel2"/>
        <w:numPr>
          <w:ilvl w:val="0"/>
          <w:numId w:val="0"/>
        </w:numPr>
        <w:ind w:left="567" w:hanging="567"/>
        <w:rPr>
          <w:rFonts w:ascii="Times New Roman" w:hAnsi="Times New Roman"/>
          <w:sz w:val="20"/>
          <w:szCs w:val="20"/>
        </w:rPr>
      </w:pPr>
      <w:r w:rsidRPr="00D12E38">
        <w:rPr>
          <w:rFonts w:ascii="Times New Roman" w:hAnsi="Times New Roman"/>
          <w:sz w:val="20"/>
          <w:szCs w:val="20"/>
        </w:rPr>
        <w:t xml:space="preserve">ANNEX </w:t>
      </w:r>
      <w:r w:rsidR="006508B3">
        <w:rPr>
          <w:rFonts w:ascii="Times New Roman" w:hAnsi="Times New Roman"/>
          <w:sz w:val="20"/>
          <w:szCs w:val="20"/>
        </w:rPr>
        <w:t>X</w:t>
      </w:r>
      <w:r w:rsidR="0011112D">
        <w:rPr>
          <w:rFonts w:ascii="Times New Roman" w:hAnsi="Times New Roman"/>
          <w:sz w:val="20"/>
          <w:szCs w:val="20"/>
        </w:rPr>
        <w:t>X</w:t>
      </w:r>
      <w:r w:rsidRPr="00D12E38">
        <w:rPr>
          <w:rFonts w:ascii="Times New Roman" w:hAnsi="Times New Roman"/>
          <w:sz w:val="20"/>
          <w:szCs w:val="20"/>
        </w:rPr>
        <w:t>I</w:t>
      </w:r>
    </w:p>
    <w:p w:rsidR="007F5684" w:rsidRPr="00392C32" w:rsidRDefault="007F5684" w:rsidP="007F5684">
      <w:pPr>
        <w:pStyle w:val="Heading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INSTRUCTIONS FOR COMPLETING THE ADDITIONAL MONITORING TOOLS </w:t>
      </w:r>
      <w:r w:rsidRPr="00392C32">
        <w:rPr>
          <w:rFonts w:ascii="Times New Roman" w:hAnsi="Times New Roman"/>
          <w:sz w:val="20"/>
          <w:szCs w:val="20"/>
        </w:rPr>
        <w:t xml:space="preserve">TEMPLATE </w:t>
      </w:r>
      <w:r>
        <w:rPr>
          <w:rFonts w:ascii="Times New Roman" w:hAnsi="Times New Roman"/>
          <w:sz w:val="20"/>
          <w:szCs w:val="20"/>
        </w:rPr>
        <w:t xml:space="preserve">OF ANNEX </w:t>
      </w:r>
      <w:r w:rsidR="006508B3">
        <w:rPr>
          <w:rFonts w:ascii="Times New Roman" w:hAnsi="Times New Roman"/>
          <w:sz w:val="20"/>
          <w:szCs w:val="20"/>
        </w:rPr>
        <w:t>XX</w:t>
      </w:r>
    </w:p>
    <w:p w:rsidR="00D02FE4" w:rsidRPr="007F5684" w:rsidRDefault="00181260" w:rsidP="00432D9F">
      <w:pPr>
        <w:pStyle w:val="Instructionsberschrift2"/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Additional Monitoring Tools</w:t>
      </w:r>
    </w:p>
    <w:p w:rsidR="00D02FE4" w:rsidRPr="007F5684" w:rsidRDefault="00D02FE4" w:rsidP="00432D9F">
      <w:pPr>
        <w:pStyle w:val="Instructionsberschrift2"/>
        <w:numPr>
          <w:ilvl w:val="1"/>
          <w:numId w:val="2"/>
        </w:numPr>
        <w:rPr>
          <w:rFonts w:ascii="Times New Roman" w:hAnsi="Times New Roman" w:cs="Times New Roman"/>
          <w:szCs w:val="20"/>
        </w:rPr>
      </w:pPr>
      <w:bookmarkStart w:id="1" w:name="_Toc308175819"/>
      <w:bookmarkStart w:id="2" w:name="_Toc310414966"/>
      <w:r w:rsidRPr="007F5684">
        <w:rPr>
          <w:rFonts w:ascii="Times New Roman" w:hAnsi="Times New Roman" w:cs="Times New Roman"/>
          <w:szCs w:val="20"/>
        </w:rPr>
        <w:t>General remarks</w:t>
      </w:r>
      <w:bookmarkEnd w:id="1"/>
      <w:bookmarkEnd w:id="2"/>
    </w:p>
    <w:p w:rsidR="00C079B7" w:rsidRPr="007F5684" w:rsidRDefault="005816E8" w:rsidP="00432D9F">
      <w:pPr>
        <w:pStyle w:val="InstructionsText2"/>
        <w:numPr>
          <w:ilvl w:val="0"/>
          <w:numId w:val="4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</w:t>
      </w:r>
      <w:r w:rsidR="000275A3" w:rsidRPr="007F5684">
        <w:rPr>
          <w:szCs w:val="20"/>
          <w:u w:val="none"/>
        </w:rPr>
        <w:t xml:space="preserve">summary </w:t>
      </w:r>
      <w:proofErr w:type="gramStart"/>
      <w:r w:rsidR="000275A3" w:rsidRPr="007F5684">
        <w:rPr>
          <w:szCs w:val="20"/>
          <w:u w:val="none"/>
        </w:rPr>
        <w:t>template</w:t>
      </w:r>
      <w:r w:rsidR="0011112D">
        <w:rPr>
          <w:szCs w:val="20"/>
          <w:u w:val="none"/>
        </w:rPr>
        <w:t>s</w:t>
      </w:r>
      <w:r w:rsidRPr="007F5684">
        <w:rPr>
          <w:szCs w:val="20"/>
          <w:u w:val="none"/>
        </w:rPr>
        <w:t xml:space="preserve"> contained in Annex </w:t>
      </w:r>
      <w:r w:rsidR="0011112D">
        <w:rPr>
          <w:szCs w:val="20"/>
          <w:u w:val="none"/>
        </w:rPr>
        <w:t>X</w:t>
      </w:r>
      <w:r w:rsidR="006508B3">
        <w:rPr>
          <w:szCs w:val="20"/>
          <w:u w:val="none"/>
        </w:rPr>
        <w:t>X</w:t>
      </w:r>
      <w:r w:rsidR="000275A3" w:rsidRPr="007F5684">
        <w:rPr>
          <w:szCs w:val="20"/>
          <w:u w:val="none"/>
        </w:rPr>
        <w:t xml:space="preserve"> is</w:t>
      </w:r>
      <w:proofErr w:type="gramEnd"/>
      <w:r w:rsidR="000275A3" w:rsidRPr="007F5684">
        <w:rPr>
          <w:szCs w:val="20"/>
          <w:u w:val="none"/>
        </w:rPr>
        <w:t xml:space="preserve"> designed to monitor </w:t>
      </w:r>
      <w:r w:rsidR="00C079B7" w:rsidRPr="007F5684">
        <w:rPr>
          <w:szCs w:val="20"/>
          <w:u w:val="none"/>
        </w:rPr>
        <w:t>an institution’s</w:t>
      </w:r>
      <w:r w:rsidR="000275A3" w:rsidRPr="007F5684">
        <w:rPr>
          <w:szCs w:val="20"/>
          <w:u w:val="none"/>
        </w:rPr>
        <w:t xml:space="preserve"> liquidity</w:t>
      </w:r>
      <w:r w:rsidR="00C079B7" w:rsidRPr="007F5684">
        <w:rPr>
          <w:szCs w:val="20"/>
          <w:u w:val="none"/>
        </w:rPr>
        <w:t xml:space="preserve"> risk that</w:t>
      </w:r>
      <w:r w:rsidR="000275A3" w:rsidRPr="007F5684">
        <w:rPr>
          <w:szCs w:val="20"/>
          <w:u w:val="none"/>
        </w:rPr>
        <w:t xml:space="preserve"> falls outside of the scope of the reports on </w:t>
      </w:r>
      <w:r w:rsidR="00C079B7" w:rsidRPr="007F5684">
        <w:rPr>
          <w:szCs w:val="20"/>
          <w:u w:val="none"/>
        </w:rPr>
        <w:t>L</w:t>
      </w:r>
      <w:r w:rsidR="000275A3" w:rsidRPr="007F5684">
        <w:rPr>
          <w:szCs w:val="20"/>
          <w:u w:val="none"/>
        </w:rPr>
        <w:t xml:space="preserve">iquidity </w:t>
      </w:r>
      <w:r w:rsidR="00E179DF" w:rsidRPr="007F5684">
        <w:rPr>
          <w:szCs w:val="20"/>
          <w:u w:val="none"/>
        </w:rPr>
        <w:t>C</w:t>
      </w:r>
      <w:r w:rsidR="000275A3" w:rsidRPr="007F5684">
        <w:rPr>
          <w:szCs w:val="20"/>
          <w:u w:val="none"/>
        </w:rPr>
        <w:t xml:space="preserve">overage and </w:t>
      </w:r>
      <w:r w:rsidR="00C079B7" w:rsidRPr="007F5684">
        <w:rPr>
          <w:szCs w:val="20"/>
          <w:u w:val="none"/>
        </w:rPr>
        <w:t>Stable F</w:t>
      </w:r>
      <w:r w:rsidR="000275A3" w:rsidRPr="007F5684">
        <w:rPr>
          <w:szCs w:val="20"/>
          <w:u w:val="none"/>
        </w:rPr>
        <w:t>unding.</w:t>
      </w:r>
    </w:p>
    <w:p w:rsidR="00174208" w:rsidRPr="007F5684" w:rsidRDefault="006000DF" w:rsidP="00432D9F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Concentration of funding by counterparty</w:t>
      </w:r>
      <w:r w:rsidR="00E47DCC">
        <w:rPr>
          <w:rFonts w:ascii="Times New Roman" w:hAnsi="Times New Roman" w:cs="Times New Roman"/>
          <w:szCs w:val="20"/>
        </w:rPr>
        <w:t xml:space="preserve"> (C 67.00)</w:t>
      </w:r>
    </w:p>
    <w:p w:rsidR="00510487" w:rsidRPr="007F5684" w:rsidRDefault="00510487" w:rsidP="00432D9F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>This template seeks to collect information about the reporting institutions’ concentration of funding by counterparty.</w:t>
      </w:r>
    </w:p>
    <w:p w:rsidR="00AC59C8" w:rsidRPr="007F5684" w:rsidRDefault="00AC59C8" w:rsidP="00432D9F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>For the purpose of completing this template:</w:t>
      </w:r>
    </w:p>
    <w:p w:rsidR="00AC59C8" w:rsidRPr="007F5684" w:rsidRDefault="00AC59C8" w:rsidP="005816E8">
      <w:pPr>
        <w:pStyle w:val="InstructionsText2"/>
        <w:numPr>
          <w:ilvl w:val="1"/>
          <w:numId w:val="9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t xml:space="preserve">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report </w:t>
      </w:r>
      <w:r w:rsidR="00A007A8" w:rsidRPr="007F5684">
        <w:rPr>
          <w:szCs w:val="20"/>
          <w:u w:val="none"/>
        </w:rPr>
        <w:t>the top ten largest</w:t>
      </w:r>
      <w:r w:rsidR="00DB0D87" w:rsidRPr="007F5684">
        <w:rPr>
          <w:szCs w:val="20"/>
          <w:u w:val="none"/>
        </w:rPr>
        <w:t xml:space="preserve"> counterparties </w:t>
      </w:r>
      <w:r w:rsidR="009C0493" w:rsidRPr="007F5684">
        <w:rPr>
          <w:szCs w:val="20"/>
          <w:u w:val="none"/>
        </w:rPr>
        <w:t xml:space="preserve">or a group of connected clients </w:t>
      </w:r>
      <w:r w:rsidR="008F741B" w:rsidRPr="007F5684">
        <w:rPr>
          <w:szCs w:val="20"/>
          <w:u w:val="none"/>
        </w:rPr>
        <w:t>according to Article 4 (</w:t>
      </w:r>
      <w:r w:rsidR="00FD37BD">
        <w:rPr>
          <w:szCs w:val="20"/>
          <w:u w:val="none"/>
        </w:rPr>
        <w:t>39</w:t>
      </w:r>
      <w:r w:rsidR="008F741B" w:rsidRPr="007F5684">
        <w:rPr>
          <w:szCs w:val="20"/>
          <w:u w:val="none"/>
        </w:rPr>
        <w:t xml:space="preserve">) </w:t>
      </w:r>
      <w:r w:rsidR="00FD37BD">
        <w:rPr>
          <w:szCs w:val="20"/>
          <w:u w:val="none"/>
        </w:rPr>
        <w:t xml:space="preserve">of Regulation </w:t>
      </w:r>
      <w:r w:rsidR="00584FCE">
        <w:rPr>
          <w:szCs w:val="20"/>
          <w:u w:val="none"/>
        </w:rPr>
        <w:t>575</w:t>
      </w:r>
      <w:r w:rsidR="00FD37BD">
        <w:rPr>
          <w:szCs w:val="20"/>
          <w:u w:val="none"/>
        </w:rPr>
        <w:t>/2013 [</w:t>
      </w:r>
      <w:r w:rsidR="008F741B" w:rsidRPr="007F5684">
        <w:rPr>
          <w:szCs w:val="20"/>
          <w:u w:val="none"/>
        </w:rPr>
        <w:t>CRR</w:t>
      </w:r>
      <w:r w:rsidR="00FD37BD">
        <w:rPr>
          <w:szCs w:val="20"/>
          <w:u w:val="none"/>
        </w:rPr>
        <w:t>]</w:t>
      </w:r>
      <w:r w:rsidR="008F741B" w:rsidRPr="007F5684">
        <w:rPr>
          <w:szCs w:val="20"/>
          <w:u w:val="none"/>
        </w:rPr>
        <w:t xml:space="preserve"> </w:t>
      </w:r>
      <w:r w:rsidR="00DB0D87" w:rsidRPr="007F5684">
        <w:rPr>
          <w:szCs w:val="20"/>
          <w:u w:val="none"/>
        </w:rPr>
        <w:t xml:space="preserve">from </w:t>
      </w:r>
      <w:r w:rsidR="002F687B" w:rsidRPr="007F5684">
        <w:rPr>
          <w:szCs w:val="20"/>
          <w:u w:val="none"/>
        </w:rPr>
        <w:t>which</w:t>
      </w:r>
      <w:r w:rsidR="00DB0D87" w:rsidRPr="007F5684">
        <w:rPr>
          <w:szCs w:val="20"/>
          <w:u w:val="none"/>
        </w:rPr>
        <w:t xml:space="preserve"> funding obtained </w:t>
      </w:r>
      <w:r w:rsidR="00126802">
        <w:rPr>
          <w:szCs w:val="20"/>
          <w:u w:val="none"/>
        </w:rPr>
        <w:t xml:space="preserve">from </w:t>
      </w:r>
      <w:r w:rsidR="00274077">
        <w:rPr>
          <w:szCs w:val="20"/>
          <w:u w:val="none"/>
        </w:rPr>
        <w:t>each</w:t>
      </w:r>
      <w:r w:rsidR="00126802">
        <w:rPr>
          <w:szCs w:val="20"/>
          <w:u w:val="none"/>
        </w:rPr>
        <w:t xml:space="preserve"> counterpart</w:t>
      </w:r>
      <w:r w:rsidR="00274077">
        <w:rPr>
          <w:szCs w:val="20"/>
          <w:u w:val="none"/>
        </w:rPr>
        <w:t>y</w:t>
      </w:r>
      <w:r w:rsidR="00126802">
        <w:rPr>
          <w:szCs w:val="20"/>
          <w:u w:val="none"/>
        </w:rPr>
        <w:t xml:space="preserve"> </w:t>
      </w:r>
      <w:r w:rsidR="00DB0D87" w:rsidRPr="007F5684">
        <w:rPr>
          <w:szCs w:val="20"/>
          <w:u w:val="none"/>
        </w:rPr>
        <w:t xml:space="preserve">exceeds </w:t>
      </w:r>
      <w:r w:rsidR="00AF270F" w:rsidRPr="007F5684">
        <w:rPr>
          <w:szCs w:val="20"/>
          <w:u w:val="none"/>
        </w:rPr>
        <w:t>a threshold of 1</w:t>
      </w:r>
      <w:r w:rsidR="00DB0D87" w:rsidRPr="007F5684">
        <w:rPr>
          <w:szCs w:val="20"/>
          <w:u w:val="none"/>
        </w:rPr>
        <w:t>% of total liabilities</w:t>
      </w:r>
      <w:r w:rsidR="00F16DD6" w:rsidRPr="007F5684">
        <w:rPr>
          <w:szCs w:val="20"/>
          <w:u w:val="none"/>
        </w:rPr>
        <w:t xml:space="preserve"> in the sublines of section 1 of the template</w:t>
      </w:r>
      <w:r w:rsidR="00DB0D87" w:rsidRPr="007F5684">
        <w:rPr>
          <w:szCs w:val="20"/>
          <w:u w:val="none"/>
        </w:rPr>
        <w:t>.</w:t>
      </w:r>
      <w:r w:rsidR="00F16DD6" w:rsidRPr="007F5684">
        <w:rPr>
          <w:szCs w:val="20"/>
          <w:u w:val="none"/>
        </w:rPr>
        <w:t xml:space="preserve"> </w:t>
      </w:r>
      <w:r w:rsidR="005816E8" w:rsidRPr="007F5684">
        <w:rPr>
          <w:szCs w:val="20"/>
          <w:u w:val="none"/>
        </w:rPr>
        <w:t>Thus</w:t>
      </w:r>
      <w:r w:rsidR="00AF270F" w:rsidRPr="007F5684">
        <w:rPr>
          <w:szCs w:val="20"/>
          <w:u w:val="none"/>
        </w:rPr>
        <w:t>, the counterparty reported</w:t>
      </w:r>
      <w:r w:rsidR="00DB0D87" w:rsidRPr="007F5684">
        <w:rPr>
          <w:szCs w:val="20"/>
          <w:u w:val="none"/>
        </w:rPr>
        <w:t xml:space="preserve"> in </w:t>
      </w:r>
      <w:r w:rsidRPr="007F5684">
        <w:rPr>
          <w:szCs w:val="20"/>
          <w:u w:val="none"/>
        </w:rPr>
        <w:t>item 1</w:t>
      </w:r>
      <w:r w:rsidR="00A007A8" w:rsidRPr="007F5684">
        <w:rPr>
          <w:szCs w:val="20"/>
          <w:u w:val="none"/>
        </w:rPr>
        <w:t xml:space="preserve">.01 </w:t>
      </w:r>
      <w:r w:rsidR="006A7234" w:rsidRPr="007F5684">
        <w:rPr>
          <w:szCs w:val="20"/>
          <w:u w:val="none"/>
        </w:rPr>
        <w:t>shall</w:t>
      </w:r>
      <w:r w:rsidR="00AF270F" w:rsidRPr="007F5684">
        <w:rPr>
          <w:szCs w:val="20"/>
          <w:u w:val="none"/>
        </w:rPr>
        <w:t xml:space="preserve"> be</w:t>
      </w:r>
      <w:r w:rsidRPr="007F5684">
        <w:rPr>
          <w:szCs w:val="20"/>
          <w:u w:val="none"/>
        </w:rPr>
        <w:t xml:space="preserve"> the largest amount of funding received from one counterparty</w:t>
      </w:r>
      <w:r w:rsidR="00DB0D87" w:rsidRPr="007F5684">
        <w:rPr>
          <w:szCs w:val="20"/>
          <w:u w:val="none"/>
        </w:rPr>
        <w:t xml:space="preserve"> which is above the </w:t>
      </w:r>
      <w:r w:rsidR="00AF270F" w:rsidRPr="007F5684">
        <w:rPr>
          <w:szCs w:val="20"/>
          <w:u w:val="none"/>
        </w:rPr>
        <w:t>1</w:t>
      </w:r>
      <w:r w:rsidR="00DB0D87" w:rsidRPr="007F5684">
        <w:rPr>
          <w:szCs w:val="20"/>
          <w:u w:val="none"/>
        </w:rPr>
        <w:t xml:space="preserve">% threshold as at the reporting date; </w:t>
      </w:r>
      <w:r w:rsidRPr="007F5684">
        <w:rPr>
          <w:szCs w:val="20"/>
          <w:u w:val="none"/>
        </w:rPr>
        <w:t>ite</w:t>
      </w:r>
      <w:r w:rsidR="00DB0D87" w:rsidRPr="007F5684">
        <w:rPr>
          <w:szCs w:val="20"/>
          <w:u w:val="none"/>
        </w:rPr>
        <w:t xml:space="preserve">m </w:t>
      </w:r>
      <w:r w:rsidR="00A007A8" w:rsidRPr="007F5684">
        <w:rPr>
          <w:szCs w:val="20"/>
          <w:u w:val="none"/>
        </w:rPr>
        <w:t>1.0</w:t>
      </w:r>
      <w:r w:rsidR="00DB0D87" w:rsidRPr="007F5684">
        <w:rPr>
          <w:szCs w:val="20"/>
          <w:u w:val="none"/>
        </w:rPr>
        <w:t xml:space="preserve">2 </w:t>
      </w:r>
      <w:r w:rsidR="006A7234" w:rsidRPr="007F5684">
        <w:rPr>
          <w:szCs w:val="20"/>
          <w:u w:val="none"/>
        </w:rPr>
        <w:t>shall</w:t>
      </w:r>
      <w:r w:rsidR="00AF270F" w:rsidRPr="007F5684">
        <w:rPr>
          <w:szCs w:val="20"/>
          <w:u w:val="none"/>
        </w:rPr>
        <w:t xml:space="preserve"> be</w:t>
      </w:r>
      <w:r w:rsidR="00DB0D87" w:rsidRPr="007F5684">
        <w:rPr>
          <w:szCs w:val="20"/>
          <w:u w:val="none"/>
        </w:rPr>
        <w:t xml:space="preserve"> the second largest</w:t>
      </w:r>
      <w:r w:rsidR="00274077">
        <w:rPr>
          <w:szCs w:val="20"/>
          <w:u w:val="none"/>
        </w:rPr>
        <w:t xml:space="preserve"> above the 1% threshold</w:t>
      </w:r>
      <w:r w:rsidR="00DB0D87" w:rsidRPr="007F5684">
        <w:rPr>
          <w:szCs w:val="20"/>
          <w:u w:val="none"/>
        </w:rPr>
        <w:t>;</w:t>
      </w:r>
      <w:r w:rsidRPr="007F5684">
        <w:rPr>
          <w:szCs w:val="20"/>
          <w:u w:val="none"/>
        </w:rPr>
        <w:t xml:space="preserve"> and so on.</w:t>
      </w:r>
    </w:p>
    <w:p w:rsidR="00F16DD6" w:rsidRPr="007F5684" w:rsidRDefault="00F16DD6" w:rsidP="00235A84">
      <w:pPr>
        <w:pStyle w:val="InstructionsText2"/>
        <w:numPr>
          <w:ilvl w:val="1"/>
          <w:numId w:val="9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t xml:space="preserve">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report </w:t>
      </w:r>
      <w:r w:rsidR="00126802">
        <w:rPr>
          <w:szCs w:val="20"/>
          <w:u w:val="none"/>
        </w:rPr>
        <w:t>the total of all</w:t>
      </w:r>
      <w:r w:rsidRPr="007F5684">
        <w:rPr>
          <w:szCs w:val="20"/>
          <w:u w:val="none"/>
        </w:rPr>
        <w:t xml:space="preserve"> other </w:t>
      </w:r>
      <w:r w:rsidR="00126802">
        <w:rPr>
          <w:szCs w:val="20"/>
          <w:u w:val="none"/>
        </w:rPr>
        <w:t xml:space="preserve">remaining </w:t>
      </w:r>
      <w:r w:rsidRPr="007F5684">
        <w:rPr>
          <w:szCs w:val="20"/>
          <w:u w:val="none"/>
        </w:rPr>
        <w:t>liabilities in section 2.</w:t>
      </w:r>
    </w:p>
    <w:p w:rsidR="00F16DD6" w:rsidRPr="007F5684" w:rsidRDefault="00F16DD6" w:rsidP="00235A84">
      <w:pPr>
        <w:pStyle w:val="InstructionsText2"/>
        <w:numPr>
          <w:ilvl w:val="1"/>
          <w:numId w:val="9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t xml:space="preserve">The totals of section 1 and section 2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equal an institution</w:t>
      </w:r>
      <w:r w:rsidR="005816E8" w:rsidRPr="007F5684">
        <w:rPr>
          <w:szCs w:val="20"/>
          <w:u w:val="none"/>
        </w:rPr>
        <w:t>’</w:t>
      </w:r>
      <w:r w:rsidRPr="007F5684">
        <w:rPr>
          <w:szCs w:val="20"/>
          <w:u w:val="none"/>
        </w:rPr>
        <w:t>s total liabilities as per its balance sheet</w:t>
      </w:r>
      <w:r w:rsidR="00917EBF">
        <w:rPr>
          <w:szCs w:val="20"/>
          <w:u w:val="none"/>
        </w:rPr>
        <w:t xml:space="preserve"> reported under the financial reporting framework (FINREP)</w:t>
      </w:r>
      <w:r w:rsidRPr="007F5684">
        <w:rPr>
          <w:szCs w:val="20"/>
          <w:u w:val="none"/>
        </w:rPr>
        <w:t>.</w:t>
      </w:r>
    </w:p>
    <w:p w:rsidR="00AF270F" w:rsidRPr="007F5684" w:rsidRDefault="009032C6" w:rsidP="00AF270F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each counterparty,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record</w:t>
      </w:r>
      <w:r w:rsidR="0016014D" w:rsidRPr="007F5684">
        <w:rPr>
          <w:szCs w:val="20"/>
          <w:u w:val="none"/>
        </w:rPr>
        <w:t xml:space="preserve"> the following components:</w:t>
      </w:r>
    </w:p>
    <w:p w:rsidR="0016014D" w:rsidRPr="007F5684" w:rsidRDefault="0016014D" w:rsidP="005816E8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counterparty name;</w:t>
      </w:r>
    </w:p>
    <w:p w:rsidR="00E47DCC" w:rsidRDefault="000109BC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>
        <w:rPr>
          <w:szCs w:val="20"/>
          <w:u w:val="none"/>
        </w:rPr>
        <w:t>LEI c</w:t>
      </w:r>
      <w:r w:rsidR="00E47DCC">
        <w:rPr>
          <w:szCs w:val="20"/>
          <w:u w:val="none"/>
        </w:rPr>
        <w:t>ode;</w:t>
      </w:r>
    </w:p>
    <w:p w:rsidR="0016014D" w:rsidRPr="007F5684" w:rsidRDefault="0016014D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 xml:space="preserve">counterparty </w:t>
      </w:r>
      <w:r w:rsidR="00E47DCC">
        <w:rPr>
          <w:szCs w:val="20"/>
          <w:u w:val="none"/>
        </w:rPr>
        <w:t>sector</w:t>
      </w:r>
      <w:r w:rsidRPr="007F5684">
        <w:rPr>
          <w:szCs w:val="20"/>
          <w:u w:val="none"/>
        </w:rPr>
        <w:t>;</w:t>
      </w:r>
    </w:p>
    <w:p w:rsidR="00AF270F" w:rsidRPr="007F5684" w:rsidRDefault="00E47DCC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>
        <w:rPr>
          <w:szCs w:val="20"/>
          <w:u w:val="none"/>
        </w:rPr>
        <w:t xml:space="preserve">residence of the </w:t>
      </w:r>
      <w:r w:rsidR="00AF270F" w:rsidRPr="007F5684">
        <w:rPr>
          <w:szCs w:val="20"/>
          <w:u w:val="none"/>
        </w:rPr>
        <w:t>counterparty;</w:t>
      </w:r>
    </w:p>
    <w:p w:rsidR="0016014D" w:rsidRPr="007F5684" w:rsidRDefault="0016014D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product type;</w:t>
      </w:r>
    </w:p>
    <w:p w:rsidR="00AF270F" w:rsidRPr="007F5684" w:rsidRDefault="00AF270F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amount received;</w:t>
      </w:r>
    </w:p>
    <w:p w:rsidR="00AF270F" w:rsidRPr="007F5684" w:rsidRDefault="00DB0D87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we</w:t>
      </w:r>
      <w:r w:rsidR="00AF270F" w:rsidRPr="007F5684">
        <w:rPr>
          <w:szCs w:val="20"/>
          <w:u w:val="none"/>
        </w:rPr>
        <w:t>ighted average initial maturity; and</w:t>
      </w:r>
    </w:p>
    <w:p w:rsidR="009032C6" w:rsidRPr="007F5684" w:rsidRDefault="009032C6" w:rsidP="00235A84">
      <w:pPr>
        <w:pStyle w:val="InstructionsText2"/>
        <w:numPr>
          <w:ilvl w:val="1"/>
          <w:numId w:val="10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weighted average residual matur</w:t>
      </w:r>
      <w:r w:rsidR="00B8464D">
        <w:rPr>
          <w:szCs w:val="20"/>
          <w:u w:val="none"/>
        </w:rPr>
        <w:t>ity</w:t>
      </w:r>
    </w:p>
    <w:p w:rsidR="0016014D" w:rsidRPr="007F5684" w:rsidRDefault="0016014D" w:rsidP="0016014D">
      <w:pPr>
        <w:pStyle w:val="InstructionsText2"/>
        <w:numPr>
          <w:ilvl w:val="0"/>
          <w:numId w:val="0"/>
        </w:numPr>
        <w:ind w:left="720"/>
        <w:rPr>
          <w:szCs w:val="20"/>
          <w:u w:val="none"/>
        </w:rPr>
      </w:pPr>
      <w:r w:rsidRPr="007F5684">
        <w:rPr>
          <w:szCs w:val="20"/>
          <w:u w:val="none"/>
        </w:rPr>
        <w:t>These components are explained in more detail in the table below.</w:t>
      </w:r>
    </w:p>
    <w:p w:rsidR="00711871" w:rsidRDefault="00711871" w:rsidP="00711871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Where funding is obtained in more than one product type, the type reported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the product in which the largest proportion of funding was obtained. Separate information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</w:t>
      </w:r>
      <w:r w:rsidRPr="007F5684">
        <w:rPr>
          <w:szCs w:val="20"/>
          <w:u w:val="none"/>
        </w:rPr>
        <w:lastRenderedPageBreak/>
        <w:t xml:space="preserve">reported to the competent authority explaining the breakdown of funding received </w:t>
      </w:r>
      <w:r w:rsidR="004379DA">
        <w:rPr>
          <w:szCs w:val="20"/>
          <w:u w:val="none"/>
        </w:rPr>
        <w:t xml:space="preserve">for the </w:t>
      </w:r>
      <w:r w:rsidR="00274077">
        <w:rPr>
          <w:szCs w:val="20"/>
          <w:u w:val="none"/>
        </w:rPr>
        <w:t xml:space="preserve">top 5 products </w:t>
      </w:r>
      <w:r w:rsidRPr="007F5684">
        <w:rPr>
          <w:szCs w:val="20"/>
          <w:u w:val="none"/>
        </w:rPr>
        <w:t>by product type.</w:t>
      </w:r>
      <w:r w:rsidR="00687C6A">
        <w:rPr>
          <w:szCs w:val="20"/>
          <w:u w:val="none"/>
        </w:rPr>
        <w:t xml:space="preserve"> </w:t>
      </w:r>
    </w:p>
    <w:p w:rsidR="00687C6A" w:rsidRPr="00B261DB" w:rsidRDefault="00687C6A" w:rsidP="00711871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ED28A5">
        <w:rPr>
          <w:szCs w:val="20"/>
          <w:u w:val="none"/>
          <w:lang w:val="en-US" w:eastAsia="fr-FR"/>
        </w:rPr>
        <w:t xml:space="preserve">Identification of the underlying holder of securities may be undertaken on a best efforts basis. Where an institution has information concerning the holder of securities (i.e. is the custodian bank) it should consider that amount for reporting the concentration of counterparties. </w:t>
      </w:r>
      <w:r w:rsidRPr="00ED28A5">
        <w:rPr>
          <w:u w:val="none"/>
          <w:lang w:val="en-US" w:eastAsia="fr-FR"/>
        </w:rPr>
        <w:t xml:space="preserve">When there is no information available on the holder of securities the corresponding amount does not have to be </w:t>
      </w:r>
      <w:r w:rsidR="00274077" w:rsidRPr="00ED28A5">
        <w:rPr>
          <w:u w:val="none"/>
          <w:lang w:val="en-US" w:eastAsia="fr-FR"/>
        </w:rPr>
        <w:t>reported</w:t>
      </w:r>
      <w:r w:rsidRPr="00ED28A5">
        <w:rPr>
          <w:u w:val="none"/>
          <w:lang w:val="en-US" w:eastAsia="fr-FR"/>
        </w:rPr>
        <w:t>.</w:t>
      </w:r>
    </w:p>
    <w:p w:rsidR="00AC59C8" w:rsidRPr="007F5684" w:rsidRDefault="00AC59C8" w:rsidP="009032C6">
      <w:pPr>
        <w:pStyle w:val="InstructionsText2"/>
        <w:numPr>
          <w:ilvl w:val="0"/>
          <w:numId w:val="6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Instructions concerning specific </w:t>
      </w:r>
      <w:r w:rsidR="00584FCE">
        <w:rPr>
          <w:szCs w:val="20"/>
          <w:u w:val="none"/>
        </w:rPr>
        <w:t>column</w:t>
      </w:r>
      <w:r w:rsidR="00584FCE" w:rsidRPr="007F5684">
        <w:rPr>
          <w:szCs w:val="20"/>
          <w:u w:val="none"/>
        </w:rPr>
        <w:t>s</w:t>
      </w:r>
      <w:r w:rsidRPr="007F5684">
        <w:rPr>
          <w:szCs w:val="20"/>
          <w:u w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41"/>
        <w:gridCol w:w="3639"/>
      </w:tblGrid>
      <w:tr w:rsidR="00AC59C8" w:rsidRPr="007F5684" w:rsidTr="003F0706">
        <w:trPr>
          <w:trHeight w:val="548"/>
        </w:trPr>
        <w:tc>
          <w:tcPr>
            <w:tcW w:w="729" w:type="pct"/>
            <w:shd w:val="clear" w:color="auto" w:fill="D9D9D9"/>
            <w:noWrap/>
            <w:vAlign w:val="center"/>
          </w:tcPr>
          <w:p w:rsidR="00AC59C8" w:rsidRPr="007F5684" w:rsidRDefault="000B288B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color w:val="000000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gridSpan w:val="2"/>
            <w:shd w:val="clear" w:color="auto" w:fill="D9D9D9"/>
            <w:vAlign w:val="center"/>
          </w:tcPr>
          <w:p w:rsidR="00AC59C8" w:rsidRPr="007F5684" w:rsidRDefault="00AC59C8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AC59C8" w:rsidRPr="007F5684" w:rsidTr="003F0706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AC59C8" w:rsidRPr="007F5684" w:rsidRDefault="00E47DCC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</w:t>
            </w:r>
          </w:p>
        </w:tc>
        <w:tc>
          <w:tcPr>
            <w:tcW w:w="4271" w:type="pct"/>
            <w:gridSpan w:val="2"/>
            <w:shd w:val="clear" w:color="auto" w:fill="auto"/>
          </w:tcPr>
          <w:p w:rsidR="00AC59C8" w:rsidRPr="007F5684" w:rsidRDefault="00AC59C8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Counterparty Name</w:t>
            </w:r>
          </w:p>
          <w:p w:rsidR="0035239A" w:rsidRPr="007F5684" w:rsidRDefault="0035239A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35239A" w:rsidRPr="007F5684" w:rsidRDefault="00A37110" w:rsidP="0075488E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The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 xml:space="preserve"> name of </w:t>
            </w:r>
            <w:r w:rsidR="00687C6A">
              <w:rPr>
                <w:rFonts w:ascii="Times New Roman" w:hAnsi="Times New Roman"/>
                <w:szCs w:val="20"/>
                <w:lang w:eastAsia="en-GB"/>
              </w:rPr>
              <w:t>each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687C6A" w:rsidRPr="007F5684">
              <w:rPr>
                <w:rFonts w:ascii="Times New Roman" w:hAnsi="Times New Roman"/>
                <w:szCs w:val="20"/>
                <w:lang w:eastAsia="en-GB"/>
              </w:rPr>
              <w:t>counterpart</w:t>
            </w:r>
            <w:r w:rsidR="00687C6A">
              <w:rPr>
                <w:rFonts w:ascii="Times New Roman" w:hAnsi="Times New Roman"/>
                <w:szCs w:val="20"/>
                <w:lang w:eastAsia="en-GB"/>
              </w:rPr>
              <w:t>y</w:t>
            </w:r>
            <w:r w:rsidR="00687C6A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 xml:space="preserve">from </w:t>
            </w:r>
            <w:r w:rsidR="002F687B" w:rsidRPr="007F5684">
              <w:rPr>
                <w:rFonts w:ascii="Times New Roman" w:hAnsi="Times New Roman"/>
                <w:szCs w:val="20"/>
                <w:lang w:eastAsia="en-GB"/>
              </w:rPr>
              <w:t>which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 xml:space="preserve"> funding obtained exceeds 1% of total liabilities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="0035239A" w:rsidRPr="007F5684">
              <w:rPr>
                <w:rFonts w:ascii="Times New Roman" w:hAnsi="Times New Roman"/>
                <w:szCs w:val="20"/>
                <w:lang w:eastAsia="en-GB"/>
              </w:rPr>
              <w:t xml:space="preserve"> be recorded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="0035239A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 xml:space="preserve">in </w:t>
            </w:r>
            <w:r w:rsidR="00687C6A">
              <w:rPr>
                <w:rFonts w:ascii="Times New Roman" w:hAnsi="Times New Roman"/>
                <w:szCs w:val="20"/>
                <w:lang w:eastAsia="en-GB"/>
              </w:rPr>
              <w:t xml:space="preserve">descending order, that is, in </w:t>
            </w:r>
            <w:r w:rsidR="00AF270F" w:rsidRPr="007F5684">
              <w:rPr>
                <w:rFonts w:ascii="Times New Roman" w:hAnsi="Times New Roman"/>
                <w:szCs w:val="20"/>
                <w:lang w:eastAsia="en-GB"/>
              </w:rPr>
              <w:t>order of size of funding obtained.</w:t>
            </w:r>
          </w:p>
          <w:p w:rsidR="00AF270F" w:rsidRPr="007F5684" w:rsidRDefault="00AF270F" w:rsidP="0075488E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:rsidR="0035239A" w:rsidRPr="007F5684" w:rsidRDefault="0035239A" w:rsidP="0075488E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2F687B" w:rsidRPr="007F5684">
              <w:rPr>
                <w:rFonts w:ascii="Times New Roman" w:hAnsi="Times New Roman"/>
                <w:szCs w:val="20"/>
                <w:lang w:eastAsia="en-GB"/>
              </w:rPr>
              <w:t>counterparty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name </w:t>
            </w:r>
            <w:r w:rsidR="002F687B" w:rsidRPr="007F5684">
              <w:rPr>
                <w:rFonts w:ascii="Times New Roman" w:hAnsi="Times New Roman"/>
                <w:szCs w:val="20"/>
                <w:lang w:eastAsia="en-GB"/>
              </w:rPr>
              <w:t xml:space="preserve">recorded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the legal entity title of the company from </w:t>
            </w:r>
            <w:r w:rsidR="002F687B" w:rsidRPr="007F5684">
              <w:rPr>
                <w:rFonts w:ascii="Times New Roman" w:hAnsi="Times New Roman"/>
                <w:szCs w:val="20"/>
                <w:lang w:eastAsia="en-GB"/>
              </w:rPr>
              <w:t>which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the funding is derived including any company type references </w:t>
            </w:r>
            <w:r w:rsidR="005816E8" w:rsidRPr="007F5684">
              <w:rPr>
                <w:rFonts w:ascii="Times New Roman" w:hAnsi="Times New Roman"/>
                <w:szCs w:val="20"/>
                <w:lang w:eastAsia="en-GB"/>
              </w:rPr>
              <w:t>such as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>SA (</w:t>
            </w:r>
            <w:proofErr w:type="spellStart"/>
            <w:r w:rsidRPr="007F5684">
              <w:rPr>
                <w:rFonts w:ascii="Times New Roman" w:hAnsi="Times New Roman"/>
                <w:i/>
                <w:szCs w:val="20"/>
              </w:rPr>
              <w:t>Société</w:t>
            </w:r>
            <w:proofErr w:type="spellEnd"/>
            <w:r w:rsidRPr="007F5684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7F5684">
              <w:rPr>
                <w:rFonts w:ascii="Times New Roman" w:hAnsi="Times New Roman"/>
                <w:i/>
                <w:szCs w:val="20"/>
              </w:rPr>
              <w:t>anonyme</w:t>
            </w:r>
            <w:proofErr w:type="spellEnd"/>
            <w:r w:rsidRPr="007F5684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in France), </w:t>
            </w:r>
            <w:r w:rsidR="002F687B" w:rsidRPr="007F5684">
              <w:rPr>
                <w:rFonts w:ascii="Times New Roman" w:hAnsi="Times New Roman"/>
                <w:szCs w:val="20"/>
              </w:rPr>
              <w:t>P</w:t>
            </w:r>
            <w:r w:rsidRPr="007F5684">
              <w:rPr>
                <w:rFonts w:ascii="Times New Roman" w:hAnsi="Times New Roman"/>
                <w:szCs w:val="20"/>
              </w:rPr>
              <w:t>lc</w:t>
            </w:r>
            <w:r w:rsidR="002F687B" w:rsidRPr="007F5684">
              <w:rPr>
                <w:rFonts w:ascii="Times New Roman" w:hAnsi="Times New Roman"/>
                <w:szCs w:val="20"/>
              </w:rPr>
              <w:t>.</w:t>
            </w:r>
            <w:r w:rsidRPr="007F5684">
              <w:rPr>
                <w:rFonts w:ascii="Times New Roman" w:hAnsi="Times New Roman"/>
                <w:szCs w:val="20"/>
              </w:rPr>
              <w:t xml:space="preserve"> (public limited company in the UK), or AG (</w:t>
            </w:r>
            <w:proofErr w:type="spellStart"/>
            <w:r w:rsidRPr="007F5684">
              <w:rPr>
                <w:rFonts w:ascii="Times New Roman" w:hAnsi="Times New Roman"/>
                <w:i/>
                <w:szCs w:val="20"/>
              </w:rPr>
              <w:t>Aktiengesellschaft</w:t>
            </w:r>
            <w:proofErr w:type="spellEnd"/>
            <w:r w:rsidRPr="007F5684">
              <w:rPr>
                <w:rFonts w:ascii="Times New Roman" w:hAnsi="Times New Roman"/>
                <w:szCs w:val="20"/>
              </w:rPr>
              <w:t xml:space="preserve"> in Germany).</w:t>
            </w:r>
          </w:p>
          <w:p w:rsidR="0035239A" w:rsidRPr="007F5684" w:rsidRDefault="0035239A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3E50B7" w:rsidRPr="007F5684" w:rsidTr="003F0706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3E50B7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020</w:t>
            </w:r>
          </w:p>
        </w:tc>
        <w:tc>
          <w:tcPr>
            <w:tcW w:w="4271" w:type="pct"/>
            <w:gridSpan w:val="2"/>
            <w:shd w:val="clear" w:color="auto" w:fill="auto"/>
          </w:tcPr>
          <w:p w:rsidR="003E50B7" w:rsidRPr="007F5684" w:rsidRDefault="003E50B7" w:rsidP="003E50B7">
            <w:pPr>
              <w:pStyle w:val="InstructionsText"/>
              <w:rPr>
                <w:rStyle w:val="InstructionsTabelleberschrift"/>
                <w:rFonts w:ascii="Times New Roman" w:hAnsi="Times New Roman"/>
                <w:szCs w:val="20"/>
              </w:rPr>
            </w:pPr>
            <w:r w:rsidRPr="007F5684">
              <w:rPr>
                <w:rStyle w:val="InstructionsTabelleberschrift"/>
                <w:rFonts w:ascii="Times New Roman" w:hAnsi="Times New Roman"/>
                <w:szCs w:val="20"/>
              </w:rPr>
              <w:t>LEI Code</w:t>
            </w:r>
          </w:p>
          <w:p w:rsidR="003E50B7" w:rsidRPr="007F5684" w:rsidRDefault="003E50B7" w:rsidP="003E50B7">
            <w:pPr>
              <w:pStyle w:val="InstructionsText"/>
              <w:rPr>
                <w:rStyle w:val="InstructionsTabelleberschrift"/>
                <w:rFonts w:ascii="Times New Roman" w:hAnsi="Times New Roman"/>
                <w:szCs w:val="20"/>
              </w:rPr>
            </w:pPr>
          </w:p>
          <w:p w:rsidR="003E50B7" w:rsidRPr="007F5684" w:rsidRDefault="003E50B7" w:rsidP="003E50B7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The legal entity identifier code of the counterparty. </w:t>
            </w:r>
          </w:p>
          <w:p w:rsidR="003E50B7" w:rsidRPr="007F5684" w:rsidRDefault="003E50B7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AC59C8" w:rsidRPr="007F5684" w:rsidTr="003D0976">
        <w:trPr>
          <w:trHeight w:val="510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AC59C8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030</w:t>
            </w:r>
          </w:p>
        </w:tc>
        <w:tc>
          <w:tcPr>
            <w:tcW w:w="4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9C8" w:rsidRPr="007F5684" w:rsidRDefault="00AC59C8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Counterparty </w:t>
            </w:r>
            <w:r w:rsidR="009F10A9"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Sector</w:t>
            </w:r>
          </w:p>
          <w:p w:rsidR="000C45A2" w:rsidRPr="007F5684" w:rsidRDefault="000C45A2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9F10A9" w:rsidRPr="007F5684" w:rsidRDefault="009F10A9" w:rsidP="009F10A9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>One sector shall be allocated to every counterparty on the basis of FINREP economic sector classes:</w:t>
            </w:r>
          </w:p>
          <w:p w:rsidR="009F10A9" w:rsidRPr="007F5684" w:rsidRDefault="009F10A9" w:rsidP="009F10A9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</w:p>
          <w:p w:rsidR="008805C2" w:rsidRPr="007F5684" w:rsidRDefault="00687C6A" w:rsidP="00ED28A5">
            <w:pPr>
              <w:pStyle w:val="InstructionsText"/>
              <w:ind w:left="714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  <w:r>
              <w:rPr>
                <w:rStyle w:val="FormatvorlageInstructionsTabelleText"/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Cs w:val="20"/>
              </w:rPr>
              <w:t>i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Cs w:val="20"/>
              </w:rPr>
              <w:t xml:space="preserve">) </w:t>
            </w:r>
            <w:r w:rsidR="009F10A9"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Central Banks; (ii) General Governments; (iii) Credit institutions; (iv) Other financial corporations; (v) Non-financial corporations; (vi) households. </w:t>
            </w:r>
          </w:p>
          <w:p w:rsidR="008805C2" w:rsidRPr="007F5684" w:rsidRDefault="008805C2">
            <w:pPr>
              <w:pStyle w:val="InstructionsText"/>
              <w:ind w:left="714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</w:p>
          <w:p w:rsidR="008805C2" w:rsidRPr="007F5684" w:rsidRDefault="00162424" w:rsidP="00ED28A5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  <w:lang w:eastAsia="en-US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>For groups of connected clients, no sector shall be reported.</w:t>
            </w:r>
          </w:p>
          <w:p w:rsidR="007E35CC" w:rsidRPr="007F5684" w:rsidRDefault="007E35CC" w:rsidP="00917EBF">
            <w:pPr>
              <w:pStyle w:val="InstructionsText2"/>
              <w:numPr>
                <w:ilvl w:val="0"/>
                <w:numId w:val="0"/>
              </w:numPr>
              <w:ind w:left="714"/>
              <w:rPr>
                <w:szCs w:val="20"/>
                <w:lang w:eastAsia="en-GB"/>
              </w:rPr>
            </w:pPr>
          </w:p>
        </w:tc>
      </w:tr>
      <w:tr w:rsidR="003F0706" w:rsidRPr="007F5684" w:rsidTr="003D0976">
        <w:trPr>
          <w:trHeight w:val="510"/>
        </w:trPr>
        <w:tc>
          <w:tcPr>
            <w:tcW w:w="729" w:type="pct"/>
            <w:tcBorders>
              <w:bottom w:val="nil"/>
            </w:tcBorders>
            <w:shd w:val="clear" w:color="auto" w:fill="auto"/>
            <w:noWrap/>
          </w:tcPr>
          <w:p w:rsidR="003F0706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040</w:t>
            </w:r>
          </w:p>
        </w:tc>
        <w:tc>
          <w:tcPr>
            <w:tcW w:w="4271" w:type="pct"/>
            <w:gridSpan w:val="2"/>
            <w:tcBorders>
              <w:bottom w:val="nil"/>
            </w:tcBorders>
            <w:shd w:val="clear" w:color="auto" w:fill="auto"/>
          </w:tcPr>
          <w:p w:rsidR="006F651B" w:rsidRPr="007F5684" w:rsidRDefault="006F651B" w:rsidP="003F0706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Residence of </w:t>
            </w:r>
            <w:r w:rsidR="000109BC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C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ounterparty </w:t>
            </w:r>
          </w:p>
          <w:p w:rsidR="006F651B" w:rsidRPr="007F5684" w:rsidRDefault="006F651B" w:rsidP="006F651B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Cs w:val="20"/>
              </w:rPr>
            </w:pPr>
          </w:p>
          <w:p w:rsidR="006F651B" w:rsidRPr="00B261DB" w:rsidRDefault="006F651B" w:rsidP="006F651B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ISO code 3166-1-alpha-2 of the country of incorporation of the counterparty shall be used (including pseudo-ISO codes for international </w:t>
            </w:r>
            <w:r w:rsidRPr="00B261DB">
              <w:rPr>
                <w:rStyle w:val="FormatvorlageInstructionsTabelleText"/>
                <w:rFonts w:ascii="Times New Roman" w:hAnsi="Times New Roman"/>
                <w:szCs w:val="20"/>
              </w:rPr>
              <w:t>organisations</w:t>
            </w:r>
            <w:r w:rsidRPr="00ED28A5">
              <w:rPr>
                <w:szCs w:val="20"/>
                <w:u w:val="none"/>
              </w:rPr>
              <w:t xml:space="preserve">, available in the last edition of the Eurostat’s “Balance of Payments </w:t>
            </w:r>
            <w:proofErr w:type="spellStart"/>
            <w:r w:rsidRPr="00ED28A5">
              <w:rPr>
                <w:szCs w:val="20"/>
                <w:u w:val="none"/>
              </w:rPr>
              <w:t>Vademecum</w:t>
            </w:r>
            <w:proofErr w:type="spellEnd"/>
            <w:r w:rsidRPr="00ED28A5">
              <w:rPr>
                <w:szCs w:val="20"/>
                <w:u w:val="none"/>
              </w:rPr>
              <w:t>”</w:t>
            </w:r>
            <w:r w:rsidRPr="00B261DB">
              <w:rPr>
                <w:rStyle w:val="FormatvorlageInstructionsTabelleText"/>
                <w:rFonts w:ascii="Times New Roman" w:hAnsi="Times New Roman"/>
                <w:szCs w:val="20"/>
              </w:rPr>
              <w:t xml:space="preserve">). </w:t>
            </w:r>
          </w:p>
          <w:p w:rsidR="00162424" w:rsidRPr="007F5684" w:rsidRDefault="00162424" w:rsidP="006F651B">
            <w:pPr>
              <w:pStyle w:val="InstructionsText"/>
              <w:rPr>
                <w:rStyle w:val="FormatvorlageInstructionsTabelleText"/>
                <w:rFonts w:ascii="Times New Roman" w:hAnsi="Times New Roman"/>
                <w:szCs w:val="20"/>
              </w:rPr>
            </w:pPr>
          </w:p>
          <w:p w:rsidR="003F0706" w:rsidRPr="007F5684" w:rsidRDefault="00162424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Style w:val="FormatvorlageInstructionsTabelleText"/>
                <w:rFonts w:ascii="Times New Roman" w:hAnsi="Times New Roman"/>
                <w:szCs w:val="20"/>
              </w:rPr>
              <w:t xml:space="preserve">For groups of connected clients, no country shall be reported. </w:t>
            </w:r>
          </w:p>
        </w:tc>
      </w:tr>
      <w:tr w:rsidR="003F0706" w:rsidRPr="007F5684" w:rsidTr="003D0976">
        <w:trPr>
          <w:trHeight w:val="510"/>
        </w:trPr>
        <w:tc>
          <w:tcPr>
            <w:tcW w:w="72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3F0706" w:rsidRPr="007F5684" w:rsidRDefault="003F0706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</w:tc>
        <w:tc>
          <w:tcPr>
            <w:tcW w:w="213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F0706" w:rsidRPr="007F5684" w:rsidRDefault="003F0706" w:rsidP="00ED28A5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F0706" w:rsidRPr="007F5684" w:rsidRDefault="003F0706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F0706" w:rsidRPr="007F5684" w:rsidTr="003D0976">
        <w:trPr>
          <w:trHeight w:val="765"/>
        </w:trPr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F0706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050</w:t>
            </w:r>
          </w:p>
        </w:tc>
        <w:tc>
          <w:tcPr>
            <w:tcW w:w="42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0706" w:rsidRPr="007F5684" w:rsidRDefault="003F0706" w:rsidP="004F085D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 xml:space="preserve">Product </w:t>
            </w:r>
            <w:r w:rsidR="000109BC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T</w:t>
            </w: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ype</w:t>
            </w:r>
          </w:p>
          <w:p w:rsidR="003F0706" w:rsidRPr="007F5684" w:rsidRDefault="003F0706" w:rsidP="004F085D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Counterparties </w:t>
            </w:r>
            <w:r w:rsidR="00274077" w:rsidRPr="007F5684">
              <w:rPr>
                <w:rFonts w:ascii="Times New Roman" w:hAnsi="Times New Roman"/>
                <w:szCs w:val="20"/>
                <w:lang w:eastAsia="en-GB"/>
              </w:rPr>
              <w:t>re</w:t>
            </w:r>
            <w:r w:rsidR="00274077">
              <w:rPr>
                <w:rFonts w:ascii="Times New Roman" w:hAnsi="Times New Roman"/>
                <w:szCs w:val="20"/>
                <w:lang w:eastAsia="en-GB"/>
              </w:rPr>
              <w:t>port</w:t>
            </w:r>
            <w:r w:rsidR="00274077" w:rsidRPr="007F5684">
              <w:rPr>
                <w:rFonts w:ascii="Times New Roman" w:hAnsi="Times New Roman"/>
                <w:szCs w:val="20"/>
                <w:lang w:eastAsia="en-GB"/>
              </w:rPr>
              <w:t xml:space="preserve">ed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assigned a product type, corresponding to the product issued in which the funding was </w:t>
            </w:r>
            <w:r w:rsidR="00783120" w:rsidRPr="007F5684">
              <w:rPr>
                <w:rFonts w:ascii="Times New Roman" w:hAnsi="Times New Roman"/>
                <w:szCs w:val="20"/>
                <w:lang w:eastAsia="en-GB"/>
              </w:rPr>
              <w:t xml:space="preserve">received (or </w:t>
            </w:r>
            <w:r w:rsidR="00FB7E07" w:rsidRPr="007F5684">
              <w:rPr>
                <w:rFonts w:ascii="Times New Roman" w:hAnsi="Times New Roman"/>
                <w:szCs w:val="20"/>
                <w:lang w:eastAsia="en-GB"/>
              </w:rPr>
              <w:t xml:space="preserve">in which the </w:t>
            </w:r>
            <w:r w:rsidR="00783120" w:rsidRPr="007F5684">
              <w:rPr>
                <w:rFonts w:ascii="Times New Roman" w:hAnsi="Times New Roman"/>
                <w:szCs w:val="20"/>
                <w:lang w:eastAsia="en-GB"/>
              </w:rPr>
              <w:t xml:space="preserve">largest proportion of funding was received for mixed product types)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using the following codes indicated in bold: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UWF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(unsecured wholesale funding obtained from financial customers including interbank money)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UWNF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(unsecured wholesale funding obtained from non-financial customers)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REPO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(funding obtained from repurchase agreements as defined in Article </w:t>
            </w:r>
            <w:r w:rsidR="00007D41">
              <w:rPr>
                <w:rFonts w:ascii="Times New Roman" w:hAnsi="Times New Roman"/>
                <w:color w:val="000000"/>
                <w:szCs w:val="20"/>
                <w:lang w:eastAsia="en-GB"/>
              </w:rPr>
              <w:t>4 (1) (82)</w:t>
            </w:r>
            <w:r w:rsidR="00007D41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of CRR)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CB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(funding obtained from covered bond issuance as defined in Article </w:t>
            </w:r>
            <w:r w:rsidR="00007D41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12</w:t>
            </w:r>
            <w:r w:rsidR="00007D41">
              <w:rPr>
                <w:rFonts w:ascii="Times New Roman" w:hAnsi="Times New Roman"/>
                <w:color w:val="000000"/>
                <w:szCs w:val="20"/>
                <w:lang w:eastAsia="en-GB"/>
              </w:rPr>
              <w:t>9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(</w:t>
            </w:r>
            <w:r w:rsidR="00007D41">
              <w:rPr>
                <w:rFonts w:ascii="Times New Roman" w:hAnsi="Times New Roman"/>
                <w:color w:val="000000"/>
                <w:szCs w:val="20"/>
                <w:lang w:eastAsia="en-GB"/>
              </w:rPr>
              <w:t>4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) or (</w:t>
            </w:r>
            <w:r w:rsidR="00007D41">
              <w:rPr>
                <w:rFonts w:ascii="Times New Roman" w:hAnsi="Times New Roman"/>
                <w:color w:val="000000"/>
                <w:szCs w:val="20"/>
                <w:lang w:eastAsia="en-GB"/>
              </w:rPr>
              <w:t>5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) of CRR OR Article 52(4) of Directive 2009/65/EC)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 xml:space="preserve">ABS 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(funding obtained from asset backed security issuance</w:t>
            </w:r>
            <w:r w:rsidR="009A329A"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including asset backed commercial paper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>)</w:t>
            </w: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</w:p>
          <w:p w:rsidR="003F0706" w:rsidRPr="007F5684" w:rsidRDefault="003F0706" w:rsidP="00203985">
            <w:pPr>
              <w:spacing w:before="0" w:after="0"/>
              <w:ind w:left="108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b/>
                <w:color w:val="000000"/>
                <w:szCs w:val="20"/>
                <w:lang w:eastAsia="en-GB"/>
              </w:rPr>
              <w:t>IGCP</w:t>
            </w:r>
            <w:r w:rsidRPr="007F5684">
              <w:rPr>
                <w:rFonts w:ascii="Times New Roman" w:hAnsi="Times New Roman"/>
                <w:color w:val="000000"/>
                <w:szCs w:val="20"/>
                <w:lang w:eastAsia="en-GB"/>
              </w:rPr>
              <w:t xml:space="preserve"> (funding obtained from intragroup counterparties)</w:t>
            </w:r>
          </w:p>
          <w:p w:rsidR="003F0706" w:rsidRPr="007F5684" w:rsidRDefault="003F070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D0976" w:rsidRPr="007F5684" w:rsidTr="003D0976">
        <w:trPr>
          <w:trHeight w:val="510"/>
        </w:trPr>
        <w:tc>
          <w:tcPr>
            <w:tcW w:w="729" w:type="pct"/>
            <w:shd w:val="clear" w:color="auto" w:fill="auto"/>
            <w:noWrap/>
          </w:tcPr>
          <w:p w:rsidR="003D0976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060</w:t>
            </w:r>
          </w:p>
        </w:tc>
        <w:tc>
          <w:tcPr>
            <w:tcW w:w="42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Amount Received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3D0976" w:rsidRPr="007F5684" w:rsidRDefault="00274077" w:rsidP="004F085D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The total amount of funding received from c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ounterparties </w:t>
            </w:r>
            <w:r w:rsidR="003D0976" w:rsidRPr="007F5684">
              <w:rPr>
                <w:rFonts w:ascii="Times New Roman" w:hAnsi="Times New Roman"/>
                <w:szCs w:val="20"/>
                <w:lang w:eastAsia="en-GB"/>
              </w:rPr>
              <w:t xml:space="preserve">reported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="003D0976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="003D0976" w:rsidRPr="007F5684">
              <w:rPr>
                <w:rFonts w:ascii="Times New Roman" w:hAnsi="Times New Roman"/>
                <w:szCs w:val="20"/>
                <w:lang w:eastAsia="en-GB"/>
              </w:rPr>
              <w:t xml:space="preserve"> be </w:t>
            </w:r>
            <w:r>
              <w:rPr>
                <w:rFonts w:ascii="Times New Roman" w:hAnsi="Times New Roman"/>
                <w:szCs w:val="20"/>
                <w:lang w:eastAsia="en-GB"/>
              </w:rPr>
              <w:t>re</w:t>
            </w:r>
            <w:r w:rsidR="00385DC8">
              <w:rPr>
                <w:rFonts w:ascii="Times New Roman" w:hAnsi="Times New Roman"/>
                <w:szCs w:val="20"/>
                <w:lang w:eastAsia="en-GB"/>
              </w:rPr>
              <w:t>corde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d in column </w:t>
            </w:r>
            <w:proofErr w:type="gramStart"/>
            <w:r w:rsidR="00E47DCC">
              <w:rPr>
                <w:rFonts w:ascii="Times New Roman" w:hAnsi="Times New Roman"/>
                <w:szCs w:val="20"/>
                <w:lang w:eastAsia="en-GB"/>
              </w:rPr>
              <w:t>060</w:t>
            </w:r>
            <w:r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3D0976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  <w:proofErr w:type="gramEnd"/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3D0976" w:rsidRPr="007F5684" w:rsidTr="003F0706">
        <w:trPr>
          <w:trHeight w:val="1020"/>
        </w:trPr>
        <w:tc>
          <w:tcPr>
            <w:tcW w:w="729" w:type="pct"/>
            <w:shd w:val="clear" w:color="auto" w:fill="auto"/>
            <w:noWrap/>
          </w:tcPr>
          <w:p w:rsidR="003D0976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070</w:t>
            </w:r>
          </w:p>
        </w:tc>
        <w:tc>
          <w:tcPr>
            <w:tcW w:w="4271" w:type="pct"/>
            <w:gridSpan w:val="2"/>
            <w:shd w:val="clear" w:color="auto" w:fill="auto"/>
          </w:tcPr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initial maturity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060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counterparty reported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a weighted average initial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recorded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070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initial maturity is the average initial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of the funding received from that counterparty based on the size of different amounts of funding received to total funding received.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For example: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432D9F">
            <w:pPr>
              <w:numPr>
                <w:ilvl w:val="1"/>
                <w:numId w:val="6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€1 billion received from counterparty A with an initial maturity of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180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3D0976" w:rsidRPr="007F5684" w:rsidRDefault="003D0976" w:rsidP="00432D9F">
            <w:pPr>
              <w:numPr>
                <w:ilvl w:val="1"/>
                <w:numId w:val="6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€</w:t>
            </w:r>
            <w:r w:rsidR="00856DF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 received from counterparty A with an initial maturity of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360days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3D0976" w:rsidRPr="007F5684" w:rsidRDefault="003D0976" w:rsidP="00822CBC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822CBC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initial maturity = (€1 billion/€1.5 billion) *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180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+ (€</w:t>
            </w:r>
            <w:r w:rsidR="00856DF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billion/€1.5 billion) *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360 days</w:t>
            </w:r>
          </w:p>
          <w:p w:rsidR="003D0976" w:rsidRPr="007F5684" w:rsidRDefault="003D0976" w:rsidP="00822CBC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initial maturity =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240 days</w:t>
            </w:r>
          </w:p>
          <w:p w:rsidR="003D0976" w:rsidRPr="007F5684" w:rsidRDefault="003D0976" w:rsidP="000B288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3D0976" w:rsidRPr="007F5684" w:rsidTr="00856DF7">
        <w:trPr>
          <w:trHeight w:val="1020"/>
        </w:trPr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3D0976" w:rsidRPr="007F5684" w:rsidRDefault="00E47DCC" w:rsidP="000B288B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080</w:t>
            </w:r>
          </w:p>
        </w:tc>
        <w:tc>
          <w:tcPr>
            <w:tcW w:w="4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residual maturity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060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counterparty reported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a weighted average residual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recorded in column </w:t>
            </w:r>
            <w:r w:rsidR="00E47DCC">
              <w:rPr>
                <w:rFonts w:ascii="Times New Roman" w:hAnsi="Times New Roman"/>
                <w:szCs w:val="20"/>
                <w:lang w:eastAsia="en-GB"/>
              </w:rPr>
              <w:t>080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residual maturity is the average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of the funding received from that counterparty left based on the size of different amounts of funding received to total funding received.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For example: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A211F3">
            <w:pPr>
              <w:numPr>
                <w:ilvl w:val="1"/>
                <w:numId w:val="13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€1 billion received from counterparty A with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60 days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residual maturity left.</w:t>
            </w:r>
          </w:p>
          <w:p w:rsidR="003D0976" w:rsidRPr="007F5684" w:rsidRDefault="003D0976" w:rsidP="00E82B0B">
            <w:pPr>
              <w:numPr>
                <w:ilvl w:val="1"/>
                <w:numId w:val="13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€</w:t>
            </w:r>
            <w:r w:rsidR="00856DF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 received from counterparty A with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180 days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residual maturity left.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residual maturity = (€1 billion/€1.5 billion) *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60 days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+ (€</w:t>
            </w:r>
            <w:r w:rsidR="00856DF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billion/€1.5 billion) *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180 days</w:t>
            </w: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3D0976" w:rsidRPr="007F5684" w:rsidRDefault="003D0976" w:rsidP="00E82B0B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residual maturity =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>100 days</w:t>
            </w:r>
          </w:p>
        </w:tc>
      </w:tr>
    </w:tbl>
    <w:p w:rsidR="00174208" w:rsidRPr="007F5684" w:rsidRDefault="00174208" w:rsidP="00174208">
      <w:pPr>
        <w:pStyle w:val="Instructionsberschrift2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szCs w:val="20"/>
          <w:u w:val="none"/>
        </w:rPr>
      </w:pPr>
    </w:p>
    <w:p w:rsidR="00E122AF" w:rsidRPr="007F5684" w:rsidRDefault="00E122AF" w:rsidP="00E122AF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Concentration of funding by product type</w:t>
      </w:r>
      <w:r w:rsidR="00084050">
        <w:rPr>
          <w:rFonts w:ascii="Times New Roman" w:hAnsi="Times New Roman" w:cs="Times New Roman"/>
          <w:szCs w:val="20"/>
        </w:rPr>
        <w:t xml:space="preserve"> (C 68.00)</w:t>
      </w:r>
    </w:p>
    <w:p w:rsidR="00E122AF" w:rsidRPr="007F5684" w:rsidRDefault="00E122AF" w:rsidP="00E122AF">
      <w:pPr>
        <w:pStyle w:val="InstructionsText2"/>
        <w:numPr>
          <w:ilvl w:val="0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>This template seeks to collect information about the reporting institutions’ concentration of funding by product type, broken down into the following funding types:</w:t>
      </w:r>
    </w:p>
    <w:p w:rsidR="00E122AF" w:rsidRPr="007F5684" w:rsidRDefault="00E122AF" w:rsidP="00E122AF">
      <w:pPr>
        <w:pStyle w:val="InstructionsText2"/>
        <w:numPr>
          <w:ilvl w:val="1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>Retail funding;</w:t>
      </w:r>
    </w:p>
    <w:p w:rsidR="00E122AF" w:rsidRDefault="00E122AF" w:rsidP="00ED28A5">
      <w:pPr>
        <w:pStyle w:val="InstructionsText2"/>
        <w:numPr>
          <w:ilvl w:val="0"/>
          <w:numId w:val="37"/>
        </w:numPr>
        <w:rPr>
          <w:szCs w:val="20"/>
          <w:u w:val="none"/>
        </w:rPr>
      </w:pPr>
      <w:r w:rsidRPr="007F5684">
        <w:rPr>
          <w:szCs w:val="20"/>
          <w:u w:val="none"/>
        </w:rPr>
        <w:t>Sight deposits;</w:t>
      </w:r>
    </w:p>
    <w:p w:rsidR="00084050" w:rsidRPr="007F5684" w:rsidRDefault="00084050" w:rsidP="00ED28A5">
      <w:pPr>
        <w:pStyle w:val="InstructionsText2"/>
        <w:numPr>
          <w:ilvl w:val="0"/>
          <w:numId w:val="37"/>
        </w:numPr>
        <w:rPr>
          <w:szCs w:val="20"/>
          <w:u w:val="none"/>
        </w:rPr>
      </w:pPr>
      <w:r>
        <w:rPr>
          <w:szCs w:val="20"/>
          <w:u w:val="none"/>
        </w:rPr>
        <w:t xml:space="preserve">Fixed term deposits less </w:t>
      </w:r>
      <w:r w:rsidR="00903920">
        <w:rPr>
          <w:szCs w:val="20"/>
          <w:u w:val="none"/>
        </w:rPr>
        <w:t xml:space="preserve">or equal </w:t>
      </w:r>
      <w:r>
        <w:rPr>
          <w:szCs w:val="20"/>
          <w:u w:val="none"/>
        </w:rPr>
        <w:t>than 30 days</w:t>
      </w:r>
    </w:p>
    <w:p w:rsidR="00E122AF" w:rsidRPr="007F5684" w:rsidRDefault="00E122AF" w:rsidP="00ED28A5">
      <w:pPr>
        <w:pStyle w:val="InstructionsText2"/>
        <w:numPr>
          <w:ilvl w:val="0"/>
          <w:numId w:val="37"/>
        </w:numPr>
        <w:rPr>
          <w:szCs w:val="20"/>
          <w:u w:val="none"/>
        </w:rPr>
      </w:pPr>
      <w:r w:rsidRPr="007F5684">
        <w:rPr>
          <w:szCs w:val="20"/>
          <w:u w:val="none"/>
        </w:rPr>
        <w:t>Fixed term deposits greater than 30 days;</w:t>
      </w:r>
    </w:p>
    <w:p w:rsidR="00E122AF" w:rsidRPr="007F5684" w:rsidRDefault="0094416B" w:rsidP="00E122AF">
      <w:pPr>
        <w:pStyle w:val="InstructionsText2"/>
        <w:numPr>
          <w:ilvl w:val="0"/>
          <w:numId w:val="0"/>
        </w:numPr>
        <w:ind w:left="1077" w:firstLine="363"/>
        <w:rPr>
          <w:szCs w:val="20"/>
          <w:u w:val="none"/>
        </w:rPr>
      </w:pPr>
      <w:r w:rsidRPr="007F5684">
        <w:rPr>
          <w:szCs w:val="20"/>
          <w:u w:val="none"/>
        </w:rPr>
        <w:t>(</w:t>
      </w:r>
      <w:proofErr w:type="spellStart"/>
      <w:r w:rsidRPr="007F5684">
        <w:rPr>
          <w:szCs w:val="20"/>
          <w:u w:val="none"/>
        </w:rPr>
        <w:t>i</w:t>
      </w:r>
      <w:proofErr w:type="spellEnd"/>
      <w:r w:rsidRPr="007F5684">
        <w:rPr>
          <w:szCs w:val="20"/>
          <w:u w:val="none"/>
        </w:rPr>
        <w:t>)</w:t>
      </w:r>
      <w:r w:rsidR="00E122AF" w:rsidRPr="007F5684">
        <w:rPr>
          <w:szCs w:val="20"/>
          <w:u w:val="none"/>
        </w:rPr>
        <w:t xml:space="preserve"> With a penalty for early withdrawal significantly greater than the loss of interest;</w:t>
      </w:r>
    </w:p>
    <w:p w:rsidR="00E122AF" w:rsidRPr="007F5684" w:rsidRDefault="0094416B" w:rsidP="00ED28A5">
      <w:pPr>
        <w:pStyle w:val="InstructionsText2"/>
        <w:numPr>
          <w:ilvl w:val="0"/>
          <w:numId w:val="0"/>
        </w:numPr>
        <w:ind w:left="1077" w:firstLine="363"/>
        <w:rPr>
          <w:szCs w:val="20"/>
          <w:u w:val="none"/>
        </w:rPr>
      </w:pPr>
      <w:r w:rsidRPr="007F5684">
        <w:rPr>
          <w:szCs w:val="20"/>
          <w:u w:val="none"/>
        </w:rPr>
        <w:t>(ii)</w:t>
      </w:r>
      <w:r w:rsidR="00E122AF" w:rsidRPr="007F5684">
        <w:rPr>
          <w:szCs w:val="20"/>
          <w:u w:val="none"/>
        </w:rPr>
        <w:t xml:space="preserve"> Without a penalty for early withdrawal which is significantly greater than the loss of interest;</w:t>
      </w:r>
    </w:p>
    <w:p w:rsidR="00E122AF" w:rsidRPr="007F5684" w:rsidRDefault="00E122AF" w:rsidP="00ED28A5">
      <w:pPr>
        <w:pStyle w:val="InstructionsText2"/>
        <w:numPr>
          <w:ilvl w:val="0"/>
          <w:numId w:val="37"/>
        </w:numPr>
        <w:rPr>
          <w:szCs w:val="20"/>
          <w:u w:val="none"/>
        </w:rPr>
      </w:pPr>
      <w:r w:rsidRPr="007F5684">
        <w:rPr>
          <w:szCs w:val="20"/>
          <w:u w:val="none"/>
        </w:rPr>
        <w:t>Savings accounts;</w:t>
      </w:r>
    </w:p>
    <w:p w:rsidR="00E122AF" w:rsidRPr="007F5684" w:rsidRDefault="0094416B" w:rsidP="00E122AF">
      <w:pPr>
        <w:pStyle w:val="InstructionsText2"/>
        <w:numPr>
          <w:ilvl w:val="0"/>
          <w:numId w:val="0"/>
        </w:numPr>
        <w:ind w:left="1077" w:firstLine="363"/>
        <w:rPr>
          <w:szCs w:val="20"/>
          <w:u w:val="none"/>
        </w:rPr>
      </w:pPr>
      <w:r w:rsidRPr="007F5684">
        <w:rPr>
          <w:szCs w:val="20"/>
          <w:u w:val="none"/>
        </w:rPr>
        <w:t>(</w:t>
      </w:r>
      <w:proofErr w:type="spellStart"/>
      <w:r w:rsidRPr="007F5684">
        <w:rPr>
          <w:szCs w:val="20"/>
          <w:u w:val="none"/>
        </w:rPr>
        <w:t>i</w:t>
      </w:r>
      <w:proofErr w:type="spellEnd"/>
      <w:r w:rsidRPr="007F5684">
        <w:rPr>
          <w:szCs w:val="20"/>
          <w:u w:val="none"/>
        </w:rPr>
        <w:t>)</w:t>
      </w:r>
      <w:r w:rsidR="00E122AF" w:rsidRPr="007F5684">
        <w:rPr>
          <w:szCs w:val="20"/>
          <w:u w:val="none"/>
        </w:rPr>
        <w:t xml:space="preserve"> </w:t>
      </w:r>
      <w:r w:rsidR="00E122AF" w:rsidRPr="007F5684">
        <w:rPr>
          <w:szCs w:val="20"/>
          <w:u w:val="none"/>
        </w:rPr>
        <w:tab/>
        <w:t>With a notice period for withdrawal greater than 30 days;</w:t>
      </w:r>
    </w:p>
    <w:p w:rsidR="00E122AF" w:rsidRPr="007F5684" w:rsidRDefault="0094416B" w:rsidP="00E122AF">
      <w:pPr>
        <w:pStyle w:val="InstructionsText2"/>
        <w:numPr>
          <w:ilvl w:val="0"/>
          <w:numId w:val="0"/>
        </w:numPr>
        <w:ind w:left="1077" w:firstLine="363"/>
        <w:rPr>
          <w:szCs w:val="20"/>
          <w:u w:val="none"/>
        </w:rPr>
      </w:pPr>
      <w:r w:rsidRPr="007F5684">
        <w:rPr>
          <w:szCs w:val="20"/>
          <w:u w:val="none"/>
        </w:rPr>
        <w:t>(ii)</w:t>
      </w:r>
      <w:r w:rsidR="00E122AF" w:rsidRPr="007F5684">
        <w:rPr>
          <w:szCs w:val="20"/>
          <w:u w:val="none"/>
        </w:rPr>
        <w:t xml:space="preserve"> </w:t>
      </w:r>
      <w:r w:rsidR="00E122AF" w:rsidRPr="007F5684">
        <w:rPr>
          <w:szCs w:val="20"/>
          <w:u w:val="none"/>
        </w:rPr>
        <w:tab/>
        <w:t>Without a notice period for withdrawal which is greater than 30 days;</w:t>
      </w:r>
    </w:p>
    <w:p w:rsidR="00E122AF" w:rsidRPr="007F5684" w:rsidRDefault="00E122AF" w:rsidP="00E122AF">
      <w:pPr>
        <w:pStyle w:val="InstructionsText2"/>
        <w:numPr>
          <w:ilvl w:val="0"/>
          <w:numId w:val="0"/>
        </w:numPr>
        <w:ind w:left="357"/>
        <w:rPr>
          <w:szCs w:val="20"/>
          <w:u w:val="none"/>
        </w:rPr>
      </w:pPr>
      <w:r w:rsidRPr="007F5684">
        <w:rPr>
          <w:szCs w:val="20"/>
          <w:u w:val="none"/>
        </w:rPr>
        <w:t>2. Wholesale funding;</w:t>
      </w:r>
    </w:p>
    <w:p w:rsidR="00E122AF" w:rsidRPr="007F5684" w:rsidRDefault="00E122AF" w:rsidP="0094416B">
      <w:pPr>
        <w:pStyle w:val="InstructionsText2"/>
        <w:numPr>
          <w:ilvl w:val="1"/>
          <w:numId w:val="17"/>
        </w:numPr>
        <w:ind w:firstLine="3"/>
        <w:rPr>
          <w:szCs w:val="20"/>
          <w:u w:val="none"/>
        </w:rPr>
      </w:pPr>
      <w:r w:rsidRPr="007F5684">
        <w:rPr>
          <w:szCs w:val="20"/>
          <w:u w:val="none"/>
        </w:rPr>
        <w:t>Unsecured wholesale funding;</w:t>
      </w:r>
    </w:p>
    <w:p w:rsidR="00E122AF" w:rsidRPr="007F5684" w:rsidRDefault="00E122AF" w:rsidP="0094416B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 w:rsidRPr="007F5684">
        <w:rPr>
          <w:szCs w:val="20"/>
          <w:u w:val="none"/>
        </w:rPr>
        <w:t>of which financial customers</w:t>
      </w:r>
    </w:p>
    <w:p w:rsidR="00E122AF" w:rsidRDefault="00E122AF" w:rsidP="00E122AF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 w:rsidRPr="007F5684">
        <w:rPr>
          <w:szCs w:val="20"/>
          <w:u w:val="none"/>
        </w:rPr>
        <w:t>of which non-financial customers</w:t>
      </w:r>
    </w:p>
    <w:p w:rsidR="00941293" w:rsidRPr="007F5684" w:rsidRDefault="00941293" w:rsidP="00E122AF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>
        <w:rPr>
          <w:szCs w:val="20"/>
          <w:u w:val="none"/>
        </w:rPr>
        <w:t>of which from intra-group entities</w:t>
      </w:r>
    </w:p>
    <w:p w:rsidR="00E122AF" w:rsidRPr="007F5684" w:rsidRDefault="00E122AF" w:rsidP="00E122AF">
      <w:pPr>
        <w:pStyle w:val="InstructionsText2"/>
        <w:numPr>
          <w:ilvl w:val="1"/>
          <w:numId w:val="17"/>
        </w:numPr>
        <w:ind w:firstLine="3"/>
        <w:rPr>
          <w:szCs w:val="20"/>
          <w:u w:val="none"/>
        </w:rPr>
      </w:pPr>
      <w:r w:rsidRPr="007F5684">
        <w:rPr>
          <w:szCs w:val="20"/>
          <w:u w:val="none"/>
        </w:rPr>
        <w:t>Secured wholesale funding;</w:t>
      </w:r>
    </w:p>
    <w:p w:rsidR="00E122AF" w:rsidRPr="007F5684" w:rsidRDefault="00E122AF" w:rsidP="00E122AF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 w:rsidRPr="007F5684">
        <w:rPr>
          <w:szCs w:val="20"/>
          <w:u w:val="none"/>
        </w:rPr>
        <w:t>of which repurchase agreements</w:t>
      </w:r>
    </w:p>
    <w:p w:rsidR="00E122AF" w:rsidRPr="007F5684" w:rsidRDefault="00E122AF" w:rsidP="00E122AF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 w:rsidRPr="007F5684">
        <w:rPr>
          <w:szCs w:val="20"/>
          <w:u w:val="none"/>
        </w:rPr>
        <w:t>of which covered bond issuance</w:t>
      </w:r>
    </w:p>
    <w:p w:rsidR="00E122AF" w:rsidRDefault="00E122AF" w:rsidP="00E122AF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 w:rsidRPr="007F5684">
        <w:rPr>
          <w:szCs w:val="20"/>
          <w:u w:val="none"/>
        </w:rPr>
        <w:t>of which asset backed security issuance</w:t>
      </w:r>
    </w:p>
    <w:p w:rsidR="00941293" w:rsidRPr="00941293" w:rsidRDefault="00941293" w:rsidP="00941293">
      <w:pPr>
        <w:pStyle w:val="InstructionsText2"/>
        <w:numPr>
          <w:ilvl w:val="2"/>
          <w:numId w:val="17"/>
        </w:numPr>
        <w:ind w:firstLine="6"/>
        <w:rPr>
          <w:szCs w:val="20"/>
          <w:u w:val="none"/>
        </w:rPr>
      </w:pPr>
      <w:r>
        <w:rPr>
          <w:szCs w:val="20"/>
          <w:u w:val="none"/>
        </w:rPr>
        <w:t>of which from intra-group entities</w:t>
      </w:r>
    </w:p>
    <w:p w:rsidR="00E122AF" w:rsidRPr="007F5684" w:rsidRDefault="00E122AF" w:rsidP="00775F73">
      <w:pPr>
        <w:pStyle w:val="InstructionsText2"/>
        <w:numPr>
          <w:ilvl w:val="0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>For the purpose of completing this template</w:t>
      </w:r>
      <w:r w:rsidR="00775F73" w:rsidRPr="007F5684">
        <w:rPr>
          <w:szCs w:val="20"/>
          <w:u w:val="none"/>
        </w:rPr>
        <w:t xml:space="preserve"> i</w:t>
      </w:r>
      <w:r w:rsidRPr="007F5684">
        <w:rPr>
          <w:szCs w:val="20"/>
          <w:u w:val="none"/>
        </w:rPr>
        <w:t xml:space="preserve">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report the </w:t>
      </w:r>
      <w:r w:rsidR="00775F73" w:rsidRPr="007F5684">
        <w:rPr>
          <w:szCs w:val="20"/>
          <w:u w:val="none"/>
        </w:rPr>
        <w:t>total amount of funding received from each product category, which exceeds</w:t>
      </w:r>
      <w:r w:rsidRPr="007F5684">
        <w:rPr>
          <w:szCs w:val="20"/>
          <w:u w:val="none"/>
        </w:rPr>
        <w:t xml:space="preserve"> a threshold of 1% of total liabilities.</w:t>
      </w:r>
    </w:p>
    <w:p w:rsidR="00E122AF" w:rsidRPr="007F5684" w:rsidRDefault="00E122AF" w:rsidP="00E122AF">
      <w:pPr>
        <w:pStyle w:val="InstructionsText2"/>
        <w:numPr>
          <w:ilvl w:val="0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each </w:t>
      </w:r>
      <w:r w:rsidR="00775F73" w:rsidRPr="007F5684">
        <w:rPr>
          <w:szCs w:val="20"/>
          <w:u w:val="none"/>
        </w:rPr>
        <w:t>product type</w:t>
      </w:r>
      <w:r w:rsidRPr="007F5684">
        <w:rPr>
          <w:szCs w:val="20"/>
          <w:u w:val="none"/>
        </w:rPr>
        <w:t xml:space="preserve">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record the following components:</w:t>
      </w:r>
    </w:p>
    <w:p w:rsidR="00E122AF" w:rsidRPr="007F5684" w:rsidRDefault="00775F73" w:rsidP="0094416B">
      <w:pPr>
        <w:pStyle w:val="InstructionsText2"/>
        <w:numPr>
          <w:ilvl w:val="1"/>
          <w:numId w:val="22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total amount received</w:t>
      </w:r>
      <w:r w:rsidR="00E122AF" w:rsidRPr="007F5684">
        <w:rPr>
          <w:szCs w:val="20"/>
          <w:u w:val="none"/>
        </w:rPr>
        <w:t>;</w:t>
      </w:r>
    </w:p>
    <w:p w:rsidR="00E122AF" w:rsidRPr="007F5684" w:rsidRDefault="00775F73" w:rsidP="00E122AF">
      <w:pPr>
        <w:pStyle w:val="InstructionsText2"/>
        <w:numPr>
          <w:ilvl w:val="1"/>
          <w:numId w:val="22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amount covered by a Deposit Guarantee Scheme according to Directive 94/19/EC or an equivalent deposit guarantee scheme in a third country</w:t>
      </w:r>
      <w:r w:rsidR="00E122AF" w:rsidRPr="007F5684">
        <w:rPr>
          <w:szCs w:val="20"/>
          <w:u w:val="none"/>
        </w:rPr>
        <w:t>;</w:t>
      </w:r>
    </w:p>
    <w:p w:rsidR="00E122AF" w:rsidRPr="007F5684" w:rsidRDefault="00775F73" w:rsidP="00E122AF">
      <w:pPr>
        <w:pStyle w:val="InstructionsText2"/>
        <w:numPr>
          <w:ilvl w:val="1"/>
          <w:numId w:val="22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t>amount not covered by a Deposit Guarantee Scheme according to Directive 94/19/EC or an equivalent deposit guarantee scheme in a third country;</w:t>
      </w:r>
    </w:p>
    <w:p w:rsidR="00E122AF" w:rsidRPr="007F5684" w:rsidRDefault="00E122AF" w:rsidP="00E122AF">
      <w:pPr>
        <w:pStyle w:val="InstructionsText2"/>
        <w:numPr>
          <w:ilvl w:val="1"/>
          <w:numId w:val="22"/>
        </w:numPr>
        <w:ind w:left="993" w:hanging="273"/>
        <w:rPr>
          <w:szCs w:val="20"/>
          <w:u w:val="none"/>
        </w:rPr>
      </w:pPr>
      <w:r w:rsidRPr="007F5684">
        <w:rPr>
          <w:szCs w:val="20"/>
          <w:u w:val="none"/>
        </w:rPr>
        <w:lastRenderedPageBreak/>
        <w:t>weighted average initial maturity; and</w:t>
      </w:r>
    </w:p>
    <w:p w:rsidR="00E122AF" w:rsidRPr="007F5684" w:rsidRDefault="00E122AF" w:rsidP="00E122AF">
      <w:pPr>
        <w:pStyle w:val="InstructionsText2"/>
        <w:numPr>
          <w:ilvl w:val="1"/>
          <w:numId w:val="22"/>
        </w:numPr>
        <w:ind w:left="993" w:hanging="273"/>
        <w:rPr>
          <w:szCs w:val="20"/>
          <w:u w:val="none"/>
        </w:rPr>
      </w:pPr>
      <w:proofErr w:type="gramStart"/>
      <w:r w:rsidRPr="007F5684">
        <w:rPr>
          <w:szCs w:val="20"/>
          <w:u w:val="none"/>
        </w:rPr>
        <w:t>weighted</w:t>
      </w:r>
      <w:proofErr w:type="gramEnd"/>
      <w:r w:rsidRPr="007F5684">
        <w:rPr>
          <w:szCs w:val="20"/>
          <w:u w:val="none"/>
        </w:rPr>
        <w:t xml:space="preserve"> average residual maturity.</w:t>
      </w:r>
    </w:p>
    <w:p w:rsidR="00E122AF" w:rsidRPr="007F5684" w:rsidRDefault="00E122AF" w:rsidP="00E122AF">
      <w:pPr>
        <w:pStyle w:val="InstructionsText2"/>
        <w:numPr>
          <w:ilvl w:val="0"/>
          <w:numId w:val="0"/>
        </w:numPr>
        <w:ind w:left="720"/>
        <w:rPr>
          <w:szCs w:val="20"/>
          <w:u w:val="none"/>
        </w:rPr>
      </w:pPr>
      <w:r w:rsidRPr="007F5684">
        <w:rPr>
          <w:szCs w:val="20"/>
          <w:u w:val="none"/>
        </w:rPr>
        <w:t>These components are explained in more detail in the table below.</w:t>
      </w:r>
    </w:p>
    <w:p w:rsidR="00E122AF" w:rsidRPr="007F5684" w:rsidRDefault="00E122AF" w:rsidP="00E122AF">
      <w:pPr>
        <w:pStyle w:val="InstructionsText2"/>
        <w:numPr>
          <w:ilvl w:val="0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the purpose of determining those </w:t>
      </w:r>
      <w:r w:rsidR="00775F73" w:rsidRPr="007F5684">
        <w:rPr>
          <w:szCs w:val="20"/>
          <w:u w:val="none"/>
        </w:rPr>
        <w:t>product types</w:t>
      </w:r>
      <w:r w:rsidRPr="007F5684">
        <w:rPr>
          <w:szCs w:val="20"/>
          <w:u w:val="none"/>
        </w:rPr>
        <w:t xml:space="preserve"> from which funding obtained is greater than 1% of total liabilities threshold, the currency is irrelevant. </w:t>
      </w:r>
    </w:p>
    <w:p w:rsidR="00E122AF" w:rsidRPr="007F5684" w:rsidRDefault="00E122AF" w:rsidP="00E122AF">
      <w:pPr>
        <w:pStyle w:val="InstructionsText2"/>
        <w:numPr>
          <w:ilvl w:val="0"/>
          <w:numId w:val="1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Instructions concerning specific </w:t>
      </w:r>
      <w:r w:rsidR="00016B30">
        <w:rPr>
          <w:szCs w:val="20"/>
          <w:u w:val="none"/>
        </w:rPr>
        <w:t>columns</w:t>
      </w:r>
      <w:r w:rsidRPr="007F5684">
        <w:rPr>
          <w:szCs w:val="20"/>
          <w:u w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279"/>
      </w:tblGrid>
      <w:tr w:rsidR="00775F73" w:rsidRPr="007F5684" w:rsidTr="00775F73">
        <w:trPr>
          <w:trHeight w:val="42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</w:tcPr>
          <w:p w:rsidR="00775F73" w:rsidRPr="007F5684" w:rsidRDefault="00775F73" w:rsidP="00ED2EE2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5F73" w:rsidRPr="007F5684" w:rsidRDefault="00775F73" w:rsidP="00ED2EE2">
            <w:pPr>
              <w:spacing w:before="0" w:after="0"/>
              <w:jc w:val="left"/>
              <w:rPr>
                <w:rStyle w:val="InstructionsTabelleText"/>
                <w:rFonts w:ascii="Times New Roman" w:hAnsi="Times New Roman"/>
                <w:szCs w:val="20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775F73" w:rsidRPr="007F5684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F73" w:rsidRPr="007F5684" w:rsidRDefault="00084050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Total amount received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Total amount of funding received for each of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</w:t>
            </w:r>
            <w:r w:rsidR="00084050">
              <w:rPr>
                <w:rFonts w:ascii="Times New Roman" w:hAnsi="Times New Roman"/>
                <w:szCs w:val="20"/>
                <w:lang w:eastAsia="en-GB"/>
              </w:rPr>
              <w:t xml:space="preserve">“Product name”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reported in column </w:t>
            </w:r>
            <w:r w:rsidR="0008405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of the template in one combined reporting currency.</w:t>
            </w:r>
          </w:p>
          <w:p w:rsidR="00775F73" w:rsidRPr="007F5684" w:rsidRDefault="00775F73" w:rsidP="00775F73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775F73" w:rsidRPr="007F5684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F73" w:rsidRPr="007F5684" w:rsidRDefault="00084050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020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Amount covered by a Deposit Guarantee Scheme according to Directive 94/19/EC or an equivalent deposit guarantee scheme in a third country</w:t>
            </w: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the total amount of funding received for each of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”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the amount which is covered by a Deposit Guarantee Scheme according to Directive 94/19/EC or an equivalent deposit guarantee scheme in a third country. </w:t>
            </w: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Note: the amounts reported in co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020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 and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030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, for each of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” 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column,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94416B" w:rsidRPr="007F5684">
              <w:rPr>
                <w:rFonts w:ascii="Times New Roman" w:hAnsi="Times New Roman"/>
                <w:szCs w:val="20"/>
                <w:lang w:eastAsia="en-GB"/>
              </w:rPr>
              <w:t xml:space="preserve">be 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equal to the total amount received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D479FD" w:rsidRPr="007F5684" w:rsidRDefault="00D479FD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775F73" w:rsidRPr="007F5684" w:rsidTr="00775F73">
        <w:trPr>
          <w:trHeight w:val="10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F73" w:rsidRPr="007F5684" w:rsidRDefault="00084050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030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FD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Amount not covered by a Deposit Guarantee Scheme according to Directive 94/19/EC or an equivalent deposit guarantee scheme in a third country</w:t>
            </w:r>
          </w:p>
          <w:p w:rsidR="00D479FD" w:rsidRPr="007F5684" w:rsidRDefault="00D479FD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D479FD" w:rsidRPr="007F5684" w:rsidRDefault="00D479FD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the total amount of funding received for each of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”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the amount which is </w:t>
            </w:r>
            <w:r w:rsidRPr="007F5684">
              <w:rPr>
                <w:rFonts w:ascii="Times New Roman" w:hAnsi="Times New Roman"/>
                <w:szCs w:val="20"/>
                <w:u w:val="single"/>
                <w:lang w:eastAsia="en-GB"/>
              </w:rPr>
              <w:t>not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covered by a Deposit Guarantee Scheme according to Directive 94/19/EC or an equivalent deposit guarantee scheme in a third country. </w:t>
            </w:r>
          </w:p>
          <w:p w:rsidR="00D479FD" w:rsidRPr="007F5684" w:rsidRDefault="00D479FD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:rsidR="00D479FD" w:rsidRPr="007F5684" w:rsidRDefault="00D479FD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Note: the amounts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020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and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030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for each of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”</w:t>
            </w:r>
            <w:r w:rsidR="00735EFC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column,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94416B" w:rsidRPr="007F5684">
              <w:rPr>
                <w:rFonts w:ascii="Times New Roman" w:hAnsi="Times New Roman"/>
                <w:szCs w:val="20"/>
                <w:lang w:eastAsia="en-GB"/>
              </w:rPr>
              <w:t xml:space="preserve">be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equal to the total amount received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D479FD" w:rsidRPr="007F5684" w:rsidRDefault="00D479FD" w:rsidP="00D479FD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  <w:tr w:rsidR="00775F73" w:rsidRPr="007F5684" w:rsidTr="00ED2EE2">
        <w:trPr>
          <w:trHeight w:val="1020"/>
        </w:trPr>
        <w:tc>
          <w:tcPr>
            <w:tcW w:w="729" w:type="pct"/>
            <w:shd w:val="clear" w:color="auto" w:fill="auto"/>
            <w:noWrap/>
          </w:tcPr>
          <w:p w:rsidR="00775F73" w:rsidRPr="007F5684" w:rsidRDefault="00084050" w:rsidP="00ED2EE2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040</w:t>
            </w:r>
          </w:p>
        </w:tc>
        <w:tc>
          <w:tcPr>
            <w:tcW w:w="4271" w:type="pct"/>
            <w:shd w:val="clear" w:color="auto" w:fill="auto"/>
          </w:tcPr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initial maturity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 xml:space="preserve">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” </w:t>
            </w:r>
            <w:r w:rsidR="00D479FD" w:rsidRPr="007F5684">
              <w:rPr>
                <w:rFonts w:ascii="Times New Roman" w:hAnsi="Times New Roman"/>
                <w:szCs w:val="20"/>
                <w:lang w:eastAsia="en-GB"/>
              </w:rPr>
              <w:t>column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a weighted average initial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be recorded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040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initial maturity is the average initial maturity </w:t>
            </w:r>
            <w:r w:rsidR="00B261DB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of the funding received from 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 xml:space="preserve">each and every counterparty as a result of the issuance of a specified product,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to total funding received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 xml:space="preserve"> from the issuance of that product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For example: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94416B">
            <w:pPr>
              <w:pStyle w:val="ListParagraph"/>
              <w:numPr>
                <w:ilvl w:val="1"/>
                <w:numId w:val="18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€1 billion received from 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>counterparty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A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 xml:space="preserve"> as a result of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 xml:space="preserve">issuing 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>product X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with an initial maturity of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180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775F73" w:rsidRPr="007F5684" w:rsidRDefault="00775F73" w:rsidP="0094416B">
            <w:pPr>
              <w:numPr>
                <w:ilvl w:val="1"/>
                <w:numId w:val="18"/>
              </w:num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€</w:t>
            </w:r>
            <w:r w:rsidR="0017272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 received from 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 xml:space="preserve">counterparty B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>as a result of issuing product X</w:t>
            </w:r>
            <w:r w:rsidR="00A05C63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with an initial maturity of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360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lastRenderedPageBreak/>
              <w:t xml:space="preserve">Weighted average initial maturity = (€1 billion/€1.5 billion) *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180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+ (€</w:t>
            </w:r>
            <w:r w:rsidR="0017272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billion/€1.5 billion) *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360 days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initial maturity =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240 days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  <w:tr w:rsidR="00775F73" w:rsidRPr="007F5684" w:rsidTr="00ED2EE2">
        <w:trPr>
          <w:trHeight w:val="1020"/>
        </w:trPr>
        <w:tc>
          <w:tcPr>
            <w:tcW w:w="729" w:type="pct"/>
            <w:shd w:val="clear" w:color="auto" w:fill="auto"/>
            <w:noWrap/>
          </w:tcPr>
          <w:p w:rsidR="00775F73" w:rsidRPr="007F5684" w:rsidRDefault="00084050" w:rsidP="00ED2EE2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050</w:t>
            </w:r>
          </w:p>
        </w:tc>
        <w:tc>
          <w:tcPr>
            <w:tcW w:w="4271" w:type="pct"/>
            <w:shd w:val="clear" w:color="auto" w:fill="auto"/>
          </w:tcPr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  <w:t>Weighted average residual maturity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  <w:p w:rsidR="00775F73" w:rsidRPr="007F5684" w:rsidRDefault="00D479FD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For the amount of funding received reported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010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, from the product categories listed in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the “Product </w:t>
            </w:r>
            <w:r w:rsidR="00941293">
              <w:rPr>
                <w:rFonts w:ascii="Times New Roman" w:hAnsi="Times New Roman"/>
                <w:szCs w:val="20"/>
                <w:lang w:eastAsia="en-GB"/>
              </w:rPr>
              <w:t>name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 xml:space="preserve">” 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>column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, a weighted average residual maturity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 xml:space="preserve">(in days)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for that funding </w:t>
            </w:r>
            <w:r w:rsidR="006A7234" w:rsidRPr="007F5684">
              <w:rPr>
                <w:rFonts w:ascii="Times New Roman" w:hAnsi="Times New Roman"/>
                <w:szCs w:val="20"/>
                <w:lang w:eastAsia="en-GB"/>
              </w:rPr>
              <w:t>shall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 be recorded in column </w:t>
            </w:r>
            <w:r w:rsidR="00016B30">
              <w:rPr>
                <w:rFonts w:ascii="Times New Roman" w:hAnsi="Times New Roman"/>
                <w:szCs w:val="20"/>
                <w:lang w:eastAsia="en-GB"/>
              </w:rPr>
              <w:t>050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>.</w:t>
            </w:r>
          </w:p>
          <w:p w:rsidR="00775F73" w:rsidRPr="007F5684" w:rsidRDefault="00775F7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</w:p>
          <w:p w:rsidR="00A05C63" w:rsidRPr="007F5684" w:rsidRDefault="00A05C63" w:rsidP="00A05C63">
            <w:pPr>
              <w:spacing w:before="0" w:after="0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Weighted average residual maturity is the average maturity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 xml:space="preserve"> (in days)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left on the funding received from each and every counterparty as a result of the issuance of a specified product, to total funding received from the issuance of that product.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>For example: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94416B" w:rsidP="0094416B">
            <w:pPr>
              <w:spacing w:before="0" w:after="0"/>
              <w:ind w:left="714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1.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€1 billion received from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>counterparty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 A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 xml:space="preserve">as a result of issuing product X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with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 xml:space="preserve">60 days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>residual maturity left.</w:t>
            </w:r>
          </w:p>
          <w:p w:rsidR="00775F73" w:rsidRPr="007F5684" w:rsidRDefault="0094416B" w:rsidP="0094416B">
            <w:pPr>
              <w:spacing w:before="0" w:after="0"/>
              <w:ind w:left="714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2.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>€</w:t>
            </w:r>
            <w:r w:rsidR="0017272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 received from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>counterparty B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 </w:t>
            </w:r>
            <w:r w:rsidR="00CC4622" w:rsidRPr="007F5684">
              <w:rPr>
                <w:rFonts w:ascii="Times New Roman" w:hAnsi="Times New Roman"/>
                <w:szCs w:val="20"/>
                <w:lang w:eastAsia="en-GB"/>
              </w:rPr>
              <w:t xml:space="preserve">as a result of issuing product X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 xml:space="preserve">with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 xml:space="preserve">180 days </w:t>
            </w:r>
            <w:r w:rsidR="00775F73" w:rsidRPr="007F5684">
              <w:rPr>
                <w:rFonts w:ascii="Times New Roman" w:hAnsi="Times New Roman"/>
                <w:szCs w:val="20"/>
                <w:lang w:eastAsia="en-GB"/>
              </w:rPr>
              <w:t>residual maturity left.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residual maturity = (€1 billion/€1.5 billion) *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60 days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 + (€</w:t>
            </w:r>
            <w:r w:rsidR="00172727" w:rsidRPr="007F5684">
              <w:rPr>
                <w:rFonts w:ascii="Times New Roman" w:hAnsi="Times New Roman"/>
                <w:szCs w:val="20"/>
                <w:lang w:eastAsia="en-GB"/>
              </w:rPr>
              <w:t>0</w:t>
            </w: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.5 billion/€1.5 billion) *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180 days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Fonts w:ascii="Times New Roman" w:hAnsi="Times New Roman"/>
                <w:szCs w:val="20"/>
                <w:lang w:eastAsia="en-GB"/>
              </w:rPr>
              <w:t xml:space="preserve">Weighted average residual maturity = </w:t>
            </w:r>
            <w:r w:rsidR="006A5806">
              <w:rPr>
                <w:rFonts w:ascii="Times New Roman" w:hAnsi="Times New Roman"/>
                <w:szCs w:val="20"/>
                <w:lang w:eastAsia="en-GB"/>
              </w:rPr>
              <w:t>100 days</w:t>
            </w:r>
          </w:p>
          <w:p w:rsidR="00775F73" w:rsidRPr="007F5684" w:rsidRDefault="00775F73" w:rsidP="00ED2EE2">
            <w:pPr>
              <w:spacing w:before="0" w:after="0"/>
              <w:jc w:val="left"/>
              <w:rPr>
                <w:rFonts w:ascii="Times New Roman" w:hAnsi="Times New Roman"/>
                <w:b/>
                <w:szCs w:val="20"/>
                <w:u w:val="single"/>
                <w:lang w:eastAsia="en-GB"/>
              </w:rPr>
            </w:pPr>
          </w:p>
        </w:tc>
      </w:tr>
    </w:tbl>
    <w:p w:rsidR="00775F73" w:rsidRPr="007F5684" w:rsidRDefault="00775F73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:rsidR="00775F73" w:rsidRPr="007F5684" w:rsidRDefault="00775F73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:rsidR="00D02FE4" w:rsidRPr="007F5684" w:rsidRDefault="00181260" w:rsidP="00DD5897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Prices for Various Lengths of Funding</w:t>
      </w:r>
      <w:r w:rsidR="00AC3BFE">
        <w:rPr>
          <w:rFonts w:ascii="Times New Roman" w:hAnsi="Times New Roman" w:cs="Times New Roman"/>
          <w:szCs w:val="20"/>
        </w:rPr>
        <w:t xml:space="preserve"> (C 69.00)</w:t>
      </w:r>
    </w:p>
    <w:p w:rsidR="00DD5897" w:rsidRPr="007F5684" w:rsidRDefault="00DD5897" w:rsidP="00DD5897">
      <w:pPr>
        <w:pStyle w:val="InstructionsText2"/>
        <w:numPr>
          <w:ilvl w:val="0"/>
          <w:numId w:val="0"/>
        </w:numPr>
        <w:spacing w:after="0"/>
        <w:rPr>
          <w:szCs w:val="20"/>
          <w:u w:val="none"/>
        </w:rPr>
      </w:pPr>
    </w:p>
    <w:p w:rsidR="002C154A" w:rsidRPr="007F5684" w:rsidRDefault="0019013A" w:rsidP="0019013A">
      <w:pPr>
        <w:pStyle w:val="InstructionsText2"/>
        <w:numPr>
          <w:ilvl w:val="0"/>
          <w:numId w:val="7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This template seeks to collect information about the average transaction volume and prices paid by institutions for funding with the following maturities: </w:t>
      </w:r>
    </w:p>
    <w:p w:rsidR="0019013A" w:rsidRPr="007F5684" w:rsidRDefault="0019013A" w:rsidP="0094416B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Overnight (columns </w:t>
      </w:r>
      <w:r w:rsidR="00AF1439">
        <w:rPr>
          <w:szCs w:val="20"/>
          <w:u w:val="none"/>
        </w:rPr>
        <w:t>010 and 020</w:t>
      </w:r>
      <w:r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1 week (columns </w:t>
      </w:r>
      <w:r w:rsidR="00AF1439">
        <w:rPr>
          <w:szCs w:val="20"/>
          <w:u w:val="none"/>
        </w:rPr>
        <w:t>030 and 040</w:t>
      </w:r>
      <w:r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1 month (columns </w:t>
      </w:r>
      <w:r w:rsidR="00AF1439">
        <w:rPr>
          <w:szCs w:val="20"/>
          <w:u w:val="none"/>
        </w:rPr>
        <w:t>050 and 060</w:t>
      </w:r>
      <w:r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3 months (columns </w:t>
      </w:r>
      <w:r w:rsidR="00AF1439">
        <w:rPr>
          <w:szCs w:val="20"/>
          <w:u w:val="none"/>
        </w:rPr>
        <w:t>070 and 080</w:t>
      </w:r>
      <w:r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6 months (columns </w:t>
      </w:r>
      <w:r w:rsidR="00AF1439">
        <w:rPr>
          <w:szCs w:val="20"/>
          <w:u w:val="none"/>
        </w:rPr>
        <w:t>090 and 100</w:t>
      </w:r>
      <w:r w:rsidRPr="007F5684">
        <w:rPr>
          <w:szCs w:val="20"/>
          <w:u w:val="none"/>
        </w:rPr>
        <w:t>)</w:t>
      </w:r>
    </w:p>
    <w:p w:rsidR="00172727" w:rsidRPr="007F5684" w:rsidRDefault="00172727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1 year (columns </w:t>
      </w:r>
      <w:r w:rsidR="00AF1439">
        <w:rPr>
          <w:szCs w:val="20"/>
          <w:u w:val="none"/>
        </w:rPr>
        <w:t>110 and 120</w:t>
      </w:r>
      <w:r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>2 years</w:t>
      </w:r>
      <w:r w:rsidR="00172727" w:rsidRPr="007F5684">
        <w:rPr>
          <w:szCs w:val="20"/>
          <w:u w:val="none"/>
        </w:rPr>
        <w:t xml:space="preserve"> (columns </w:t>
      </w:r>
      <w:r w:rsidR="00AF1439">
        <w:rPr>
          <w:szCs w:val="20"/>
          <w:u w:val="none"/>
        </w:rPr>
        <w:t>130 and 140</w:t>
      </w:r>
      <w:r w:rsidR="00172727"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5 years </w:t>
      </w:r>
      <w:r w:rsidR="00172727" w:rsidRPr="007F5684">
        <w:rPr>
          <w:szCs w:val="20"/>
          <w:u w:val="none"/>
        </w:rPr>
        <w:t xml:space="preserve">(columns </w:t>
      </w:r>
      <w:r w:rsidR="00AF1439">
        <w:rPr>
          <w:szCs w:val="20"/>
          <w:u w:val="none"/>
        </w:rPr>
        <w:t>150 and 160</w:t>
      </w:r>
      <w:r w:rsidR="00172727" w:rsidRPr="007F5684">
        <w:rPr>
          <w:szCs w:val="20"/>
          <w:u w:val="none"/>
        </w:rPr>
        <w:t>)</w:t>
      </w:r>
    </w:p>
    <w:p w:rsidR="0019013A" w:rsidRPr="007F5684" w:rsidRDefault="0019013A" w:rsidP="00235A84">
      <w:pPr>
        <w:pStyle w:val="InstructionsText2"/>
        <w:numPr>
          <w:ilvl w:val="1"/>
          <w:numId w:val="15"/>
        </w:numPr>
        <w:ind w:left="993" w:hanging="284"/>
        <w:rPr>
          <w:szCs w:val="20"/>
          <w:u w:val="none"/>
        </w:rPr>
      </w:pPr>
      <w:r w:rsidRPr="007F5684">
        <w:rPr>
          <w:szCs w:val="20"/>
          <w:u w:val="none"/>
        </w:rPr>
        <w:t xml:space="preserve">10 years (columns </w:t>
      </w:r>
      <w:r w:rsidR="00AF1439">
        <w:rPr>
          <w:szCs w:val="20"/>
          <w:u w:val="none"/>
        </w:rPr>
        <w:t>170 and 180</w:t>
      </w:r>
      <w:r w:rsidRPr="007F5684">
        <w:rPr>
          <w:szCs w:val="20"/>
          <w:u w:val="none"/>
        </w:rPr>
        <w:t>)</w:t>
      </w:r>
    </w:p>
    <w:p w:rsidR="0019013A" w:rsidRPr="007F5684" w:rsidRDefault="0019013A" w:rsidP="0019013A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the purpose of determining the maturity of funding obtained,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ignore the period between trade date and settlement date, e.g. a three month liability se</w:t>
      </w:r>
      <w:r w:rsidR="0050708F" w:rsidRPr="007F5684">
        <w:rPr>
          <w:szCs w:val="20"/>
          <w:u w:val="none"/>
        </w:rPr>
        <w:t>ttling in two weeks</w:t>
      </w:r>
      <w:r w:rsidR="00B8464D">
        <w:rPr>
          <w:szCs w:val="20"/>
          <w:u w:val="none"/>
        </w:rPr>
        <w:t>’</w:t>
      </w:r>
      <w:r w:rsidR="0050708F" w:rsidRPr="007F5684">
        <w:rPr>
          <w:szCs w:val="20"/>
          <w:u w:val="none"/>
        </w:rPr>
        <w:t xml:space="preserve"> time </w:t>
      </w:r>
      <w:r w:rsidR="006A7234" w:rsidRPr="007F5684">
        <w:rPr>
          <w:szCs w:val="20"/>
          <w:u w:val="none"/>
        </w:rPr>
        <w:t>shall</w:t>
      </w:r>
      <w:r w:rsidR="0050708F" w:rsidRPr="007F5684">
        <w:rPr>
          <w:szCs w:val="20"/>
          <w:u w:val="none"/>
        </w:rPr>
        <w:t xml:space="preserve"> be reported in the 3 months </w:t>
      </w:r>
      <w:r w:rsidRPr="007F5684">
        <w:rPr>
          <w:szCs w:val="20"/>
          <w:u w:val="none"/>
        </w:rPr>
        <w:t>maturity</w:t>
      </w:r>
      <w:r w:rsidR="0050708F" w:rsidRPr="007F5684">
        <w:rPr>
          <w:szCs w:val="20"/>
          <w:u w:val="none"/>
        </w:rPr>
        <w:t xml:space="preserve"> (columns </w:t>
      </w:r>
      <w:r w:rsidR="00AF1439">
        <w:rPr>
          <w:szCs w:val="20"/>
          <w:u w:val="none"/>
        </w:rPr>
        <w:t>070 and 080</w:t>
      </w:r>
      <w:r w:rsidR="0050708F" w:rsidRPr="007F5684">
        <w:rPr>
          <w:szCs w:val="20"/>
          <w:u w:val="none"/>
        </w:rPr>
        <w:t>).</w:t>
      </w:r>
    </w:p>
    <w:p w:rsidR="00A211F3" w:rsidRPr="007F5684" w:rsidRDefault="002C154A" w:rsidP="00DD5897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</w:t>
      </w:r>
      <w:r w:rsidR="0019013A" w:rsidRPr="007F5684">
        <w:rPr>
          <w:szCs w:val="20"/>
          <w:u w:val="none"/>
        </w:rPr>
        <w:t xml:space="preserve">spread </w:t>
      </w:r>
      <w:r w:rsidR="0050708F" w:rsidRPr="007F5684">
        <w:rPr>
          <w:szCs w:val="20"/>
          <w:u w:val="none"/>
        </w:rPr>
        <w:t>reported</w:t>
      </w:r>
      <w:r w:rsidRPr="007F5684">
        <w:rPr>
          <w:szCs w:val="20"/>
          <w:u w:val="none"/>
        </w:rPr>
        <w:t xml:space="preserve"> in </w:t>
      </w:r>
      <w:r w:rsidR="009A329A" w:rsidRPr="007F5684">
        <w:rPr>
          <w:szCs w:val="20"/>
          <w:u w:val="none"/>
        </w:rPr>
        <w:t>the left hand column of each time bucket</w:t>
      </w:r>
      <w:r w:rsidR="0050708F"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="0050708F" w:rsidRPr="007F5684">
        <w:rPr>
          <w:szCs w:val="20"/>
          <w:u w:val="none"/>
        </w:rPr>
        <w:t xml:space="preserve"> be</w:t>
      </w:r>
      <w:r w:rsidR="0094416B" w:rsidRPr="007F5684">
        <w:rPr>
          <w:szCs w:val="20"/>
          <w:u w:val="none"/>
        </w:rPr>
        <w:t xml:space="preserve"> one of the following</w:t>
      </w:r>
      <w:r w:rsidR="0050708F" w:rsidRPr="007F5684">
        <w:rPr>
          <w:szCs w:val="20"/>
          <w:u w:val="none"/>
        </w:rPr>
        <w:t>:</w:t>
      </w:r>
    </w:p>
    <w:p w:rsidR="0050708F" w:rsidRPr="007F5684" w:rsidRDefault="0050708F" w:rsidP="00235A84">
      <w:pPr>
        <w:pStyle w:val="InstructionsText2"/>
        <w:numPr>
          <w:ilvl w:val="1"/>
          <w:numId w:val="7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lastRenderedPageBreak/>
        <w:t xml:space="preserve">the spread payable by the firm for liabilities less than or equal to one year, if </w:t>
      </w:r>
      <w:r w:rsidR="0013252E">
        <w:rPr>
          <w:szCs w:val="20"/>
          <w:u w:val="none"/>
        </w:rPr>
        <w:t>they</w:t>
      </w:r>
      <w:r w:rsidR="0013252E" w:rsidRPr="007F5684">
        <w:rPr>
          <w:szCs w:val="20"/>
          <w:u w:val="none"/>
        </w:rPr>
        <w:t xml:space="preserve"> </w:t>
      </w:r>
      <w:r w:rsidRPr="007F5684">
        <w:rPr>
          <w:szCs w:val="20"/>
          <w:u w:val="none"/>
        </w:rPr>
        <w:t>were to have been swapped to the benchmark overnight index for the appropriate currency no later than close of busines</w:t>
      </w:r>
      <w:r w:rsidR="009A329A" w:rsidRPr="007F5684">
        <w:rPr>
          <w:szCs w:val="20"/>
          <w:u w:val="none"/>
        </w:rPr>
        <w:t xml:space="preserve">s on the day of the transaction; </w:t>
      </w:r>
    </w:p>
    <w:p w:rsidR="0050708F" w:rsidRPr="007F5684" w:rsidRDefault="0050708F" w:rsidP="00235A84">
      <w:pPr>
        <w:pStyle w:val="InstructionsText2"/>
        <w:numPr>
          <w:ilvl w:val="1"/>
          <w:numId w:val="7"/>
        </w:numPr>
        <w:ind w:left="1080" w:hanging="360"/>
        <w:rPr>
          <w:szCs w:val="20"/>
          <w:u w:val="none"/>
        </w:rPr>
      </w:pPr>
      <w:proofErr w:type="gramStart"/>
      <w:r w:rsidRPr="007F5684">
        <w:rPr>
          <w:szCs w:val="20"/>
          <w:u w:val="none"/>
        </w:rPr>
        <w:t>the</w:t>
      </w:r>
      <w:proofErr w:type="gramEnd"/>
      <w:r w:rsidRPr="007F5684">
        <w:rPr>
          <w:szCs w:val="20"/>
          <w:u w:val="none"/>
        </w:rPr>
        <w:t xml:space="preserve"> spread payable by the firm at issuance for liabilities greater than on</w:t>
      </w:r>
      <w:r w:rsidR="00172727" w:rsidRPr="007F5684">
        <w:rPr>
          <w:szCs w:val="20"/>
          <w:u w:val="none"/>
        </w:rPr>
        <w:t>e</w:t>
      </w:r>
      <w:r w:rsidRPr="007F5684">
        <w:rPr>
          <w:szCs w:val="20"/>
          <w:u w:val="none"/>
        </w:rPr>
        <w:t xml:space="preserve"> year, were </w:t>
      </w:r>
      <w:r w:rsidR="0013252E">
        <w:rPr>
          <w:szCs w:val="20"/>
          <w:u w:val="none"/>
        </w:rPr>
        <w:t xml:space="preserve">they </w:t>
      </w:r>
      <w:r w:rsidRPr="007F5684">
        <w:rPr>
          <w:szCs w:val="20"/>
          <w:u w:val="none"/>
        </w:rPr>
        <w:t xml:space="preserve">to be swapped to the relevant benchmark </w:t>
      </w:r>
      <w:r w:rsidR="00D60F58">
        <w:rPr>
          <w:szCs w:val="20"/>
          <w:u w:val="none"/>
        </w:rPr>
        <w:t xml:space="preserve">overnight index for the appropriate currency which is </w:t>
      </w:r>
      <w:r w:rsidRPr="007F5684">
        <w:rPr>
          <w:szCs w:val="20"/>
          <w:u w:val="none"/>
        </w:rPr>
        <w:t>three month EURIBOR for EUR or LIBOR for GBP and USD, no later than close of business on the day of the transaction.</w:t>
      </w:r>
    </w:p>
    <w:p w:rsidR="00A211F3" w:rsidRPr="007F5684" w:rsidRDefault="0019013A" w:rsidP="00A211F3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>S</w:t>
      </w:r>
      <w:r w:rsidR="0050708F" w:rsidRPr="007F5684">
        <w:rPr>
          <w:szCs w:val="20"/>
          <w:u w:val="none"/>
        </w:rPr>
        <w:t>pread</w:t>
      </w:r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="00DD5897" w:rsidRPr="007F5684">
        <w:rPr>
          <w:szCs w:val="20"/>
          <w:u w:val="none"/>
        </w:rPr>
        <w:t xml:space="preserve"> be</w:t>
      </w:r>
      <w:r w:rsidR="0050708F" w:rsidRPr="007F5684">
        <w:rPr>
          <w:szCs w:val="20"/>
          <w:u w:val="none"/>
        </w:rPr>
        <w:t xml:space="preserve"> reported in basis points (</w:t>
      </w:r>
      <w:proofErr w:type="spellStart"/>
      <w:r w:rsidR="0050708F" w:rsidRPr="007F5684">
        <w:rPr>
          <w:szCs w:val="20"/>
          <w:u w:val="none"/>
        </w:rPr>
        <w:t>bp</w:t>
      </w:r>
      <w:proofErr w:type="spellEnd"/>
      <w:r w:rsidR="0050708F" w:rsidRPr="007F5684">
        <w:rPr>
          <w:szCs w:val="20"/>
          <w:u w:val="none"/>
        </w:rPr>
        <w:t xml:space="preserve">) and </w:t>
      </w:r>
      <w:r w:rsidR="00DD5897" w:rsidRPr="007F5684">
        <w:rPr>
          <w:szCs w:val="20"/>
          <w:u w:val="none"/>
        </w:rPr>
        <w:t>calculat</w:t>
      </w:r>
      <w:r w:rsidR="00A211F3" w:rsidRPr="007F5684">
        <w:rPr>
          <w:szCs w:val="20"/>
          <w:u w:val="none"/>
        </w:rPr>
        <w:t>ed on a weighted average basis. For example:</w:t>
      </w:r>
    </w:p>
    <w:p w:rsidR="00A211F3" w:rsidRPr="007F5684" w:rsidRDefault="00A211F3" w:rsidP="00235A84">
      <w:pPr>
        <w:pStyle w:val="InstructionsText2"/>
        <w:numPr>
          <w:ilvl w:val="1"/>
          <w:numId w:val="16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t>€1 billion</w:t>
      </w:r>
      <w:r w:rsidR="00A34A28" w:rsidRPr="007F5684">
        <w:rPr>
          <w:szCs w:val="20"/>
          <w:u w:val="none"/>
        </w:rPr>
        <w:t xml:space="preserve"> of funding</w:t>
      </w:r>
      <w:r w:rsidRPr="007F5684">
        <w:rPr>
          <w:szCs w:val="20"/>
          <w:u w:val="none"/>
        </w:rPr>
        <w:t xml:space="preserve"> received </w:t>
      </w:r>
      <w:r w:rsidR="00A34A28" w:rsidRPr="007F5684">
        <w:rPr>
          <w:szCs w:val="20"/>
          <w:u w:val="none"/>
        </w:rPr>
        <w:t xml:space="preserve">or offered by </w:t>
      </w:r>
      <w:r w:rsidRPr="007F5684">
        <w:rPr>
          <w:szCs w:val="20"/>
          <w:u w:val="none"/>
        </w:rPr>
        <w:t xml:space="preserve">counterparty A </w:t>
      </w:r>
      <w:r w:rsidR="00A34A28" w:rsidRPr="007F5684">
        <w:rPr>
          <w:szCs w:val="20"/>
          <w:u w:val="none"/>
        </w:rPr>
        <w:t>with a spread 200</w:t>
      </w:r>
      <w:r w:rsidR="00B8464D">
        <w:rPr>
          <w:szCs w:val="20"/>
          <w:u w:val="none"/>
        </w:rPr>
        <w:t xml:space="preserve"> </w:t>
      </w:r>
      <w:proofErr w:type="spellStart"/>
      <w:r w:rsidR="00A34A28" w:rsidRPr="007F5684">
        <w:rPr>
          <w:szCs w:val="20"/>
          <w:u w:val="none"/>
        </w:rPr>
        <w:t>bp</w:t>
      </w:r>
      <w:proofErr w:type="spellEnd"/>
      <w:r w:rsidR="00A34A28" w:rsidRPr="007F5684">
        <w:rPr>
          <w:szCs w:val="20"/>
          <w:u w:val="none"/>
        </w:rPr>
        <w:t xml:space="preserve"> above the prevailing </w:t>
      </w:r>
      <w:r w:rsidR="0050708F" w:rsidRPr="007F5684">
        <w:rPr>
          <w:szCs w:val="20"/>
          <w:u w:val="none"/>
        </w:rPr>
        <w:t>EURIBOR</w:t>
      </w:r>
      <w:r w:rsidR="00A34A28" w:rsidRPr="007F5684">
        <w:rPr>
          <w:szCs w:val="20"/>
          <w:u w:val="none"/>
        </w:rPr>
        <w:t xml:space="preserve"> rate</w:t>
      </w:r>
      <w:r w:rsidRPr="007F5684">
        <w:rPr>
          <w:szCs w:val="20"/>
          <w:u w:val="none"/>
        </w:rPr>
        <w:t>.</w:t>
      </w:r>
    </w:p>
    <w:p w:rsidR="00A211F3" w:rsidRPr="007F5684" w:rsidRDefault="00A211F3" w:rsidP="00235A84">
      <w:pPr>
        <w:pStyle w:val="InstructionsText2"/>
        <w:numPr>
          <w:ilvl w:val="1"/>
          <w:numId w:val="16"/>
        </w:numPr>
        <w:ind w:left="1080" w:hanging="360"/>
        <w:rPr>
          <w:szCs w:val="20"/>
          <w:u w:val="none"/>
        </w:rPr>
      </w:pPr>
      <w:r w:rsidRPr="007F5684">
        <w:rPr>
          <w:szCs w:val="20"/>
          <w:u w:val="none"/>
        </w:rPr>
        <w:t>€</w:t>
      </w:r>
      <w:r w:rsidR="00735EFC">
        <w:rPr>
          <w:szCs w:val="20"/>
          <w:u w:val="none"/>
        </w:rPr>
        <w:t>0</w:t>
      </w:r>
      <w:r w:rsidRPr="007F5684">
        <w:rPr>
          <w:szCs w:val="20"/>
          <w:u w:val="none"/>
        </w:rPr>
        <w:t xml:space="preserve">.5 billion </w:t>
      </w:r>
      <w:r w:rsidR="00A34A28" w:rsidRPr="007F5684">
        <w:rPr>
          <w:szCs w:val="20"/>
          <w:u w:val="none"/>
        </w:rPr>
        <w:t>of funding received or offered by counterparty B with a spread 150</w:t>
      </w:r>
      <w:r w:rsidR="00B8464D">
        <w:rPr>
          <w:szCs w:val="20"/>
          <w:u w:val="none"/>
        </w:rPr>
        <w:t xml:space="preserve"> </w:t>
      </w:r>
      <w:proofErr w:type="spellStart"/>
      <w:r w:rsidR="00A34A28" w:rsidRPr="007F5684">
        <w:rPr>
          <w:szCs w:val="20"/>
          <w:u w:val="none"/>
        </w:rPr>
        <w:t>bp</w:t>
      </w:r>
      <w:proofErr w:type="spellEnd"/>
      <w:r w:rsidR="00A34A28" w:rsidRPr="007F5684">
        <w:rPr>
          <w:szCs w:val="20"/>
          <w:u w:val="none"/>
        </w:rPr>
        <w:t xml:space="preserve"> above the prevailing </w:t>
      </w:r>
      <w:r w:rsidR="0050708F" w:rsidRPr="007F5684">
        <w:rPr>
          <w:szCs w:val="20"/>
          <w:u w:val="none"/>
        </w:rPr>
        <w:t>EURIBOR rate</w:t>
      </w:r>
      <w:r w:rsidRPr="007F5684">
        <w:rPr>
          <w:szCs w:val="20"/>
          <w:u w:val="none"/>
        </w:rPr>
        <w:t>.</w:t>
      </w:r>
    </w:p>
    <w:p w:rsidR="00A211F3" w:rsidRPr="007F5684" w:rsidRDefault="00A211F3" w:rsidP="00A34A28">
      <w:pPr>
        <w:pStyle w:val="InstructionsText2"/>
        <w:numPr>
          <w:ilvl w:val="0"/>
          <w:numId w:val="0"/>
        </w:numPr>
        <w:ind w:left="1080"/>
        <w:rPr>
          <w:szCs w:val="20"/>
          <w:u w:val="none"/>
        </w:rPr>
      </w:pPr>
      <w:r w:rsidRPr="007F5684">
        <w:rPr>
          <w:szCs w:val="20"/>
          <w:u w:val="none"/>
        </w:rPr>
        <w:t xml:space="preserve">Weighted average </w:t>
      </w:r>
      <w:r w:rsidR="00A34A28" w:rsidRPr="007F5684">
        <w:rPr>
          <w:szCs w:val="20"/>
          <w:u w:val="none"/>
        </w:rPr>
        <w:t>spread</w:t>
      </w:r>
      <w:r w:rsidRPr="007F5684">
        <w:rPr>
          <w:szCs w:val="20"/>
          <w:u w:val="none"/>
        </w:rPr>
        <w:t xml:space="preserve"> = (€1 billion/€1.5 billion) * </w:t>
      </w:r>
      <w:r w:rsidR="00A34A28" w:rsidRPr="007F5684">
        <w:rPr>
          <w:szCs w:val="20"/>
          <w:u w:val="none"/>
        </w:rPr>
        <w:t>200</w:t>
      </w:r>
      <w:r w:rsidR="00B8464D">
        <w:rPr>
          <w:szCs w:val="20"/>
          <w:u w:val="none"/>
        </w:rPr>
        <w:t xml:space="preserve"> </w:t>
      </w:r>
      <w:proofErr w:type="spellStart"/>
      <w:r w:rsidR="00A34A28" w:rsidRPr="007F5684">
        <w:rPr>
          <w:szCs w:val="20"/>
          <w:u w:val="none"/>
        </w:rPr>
        <w:t>bp</w:t>
      </w:r>
      <w:proofErr w:type="spellEnd"/>
      <w:r w:rsidRPr="007F5684">
        <w:rPr>
          <w:szCs w:val="20"/>
          <w:u w:val="none"/>
        </w:rPr>
        <w:t xml:space="preserve"> + (€</w:t>
      </w:r>
      <w:r w:rsidR="00D60F58">
        <w:rPr>
          <w:szCs w:val="20"/>
          <w:u w:val="none"/>
        </w:rPr>
        <w:t>0</w:t>
      </w:r>
      <w:r w:rsidRPr="007F5684">
        <w:rPr>
          <w:szCs w:val="20"/>
          <w:u w:val="none"/>
        </w:rPr>
        <w:t xml:space="preserve">.5 billion/€1.5 billion) * </w:t>
      </w:r>
      <w:r w:rsidR="00A34A28" w:rsidRPr="007F5684">
        <w:rPr>
          <w:szCs w:val="20"/>
          <w:u w:val="none"/>
        </w:rPr>
        <w:t>150</w:t>
      </w:r>
      <w:r w:rsidR="00B8464D">
        <w:rPr>
          <w:szCs w:val="20"/>
          <w:u w:val="none"/>
        </w:rPr>
        <w:t xml:space="preserve"> </w:t>
      </w:r>
      <w:proofErr w:type="spellStart"/>
      <w:r w:rsidR="00A34A28" w:rsidRPr="007F5684">
        <w:rPr>
          <w:szCs w:val="20"/>
          <w:u w:val="none"/>
        </w:rPr>
        <w:t>bp</w:t>
      </w:r>
      <w:proofErr w:type="spellEnd"/>
    </w:p>
    <w:p w:rsidR="00A211F3" w:rsidRPr="007F5684" w:rsidRDefault="00A211F3" w:rsidP="00A34A28">
      <w:pPr>
        <w:pStyle w:val="InstructionsText2"/>
        <w:numPr>
          <w:ilvl w:val="0"/>
          <w:numId w:val="0"/>
        </w:numPr>
        <w:ind w:left="1080"/>
        <w:rPr>
          <w:szCs w:val="20"/>
          <w:u w:val="none"/>
        </w:rPr>
      </w:pPr>
      <w:r w:rsidRPr="007F5684">
        <w:rPr>
          <w:szCs w:val="20"/>
          <w:u w:val="none"/>
          <w:lang w:eastAsia="en-GB"/>
        </w:rPr>
        <w:t xml:space="preserve">Weighted average </w:t>
      </w:r>
      <w:r w:rsidR="00A34A28" w:rsidRPr="007F5684">
        <w:rPr>
          <w:szCs w:val="20"/>
          <w:u w:val="none"/>
          <w:lang w:eastAsia="en-GB"/>
        </w:rPr>
        <w:t>spread</w:t>
      </w:r>
      <w:r w:rsidRPr="007F5684">
        <w:rPr>
          <w:szCs w:val="20"/>
          <w:u w:val="none"/>
          <w:lang w:eastAsia="en-GB"/>
        </w:rPr>
        <w:t xml:space="preserve"> = </w:t>
      </w:r>
      <w:r w:rsidR="00A34A28" w:rsidRPr="007F5684">
        <w:rPr>
          <w:szCs w:val="20"/>
          <w:u w:val="none"/>
          <w:lang w:eastAsia="en-GB"/>
        </w:rPr>
        <w:t>183</w:t>
      </w:r>
      <w:r w:rsidR="00270986" w:rsidRPr="007F5684">
        <w:rPr>
          <w:szCs w:val="20"/>
          <w:u w:val="none"/>
          <w:lang w:eastAsia="en-GB"/>
        </w:rPr>
        <w:t xml:space="preserve"> </w:t>
      </w:r>
      <w:proofErr w:type="spellStart"/>
      <w:r w:rsidR="00A34A28" w:rsidRPr="007F5684">
        <w:rPr>
          <w:szCs w:val="20"/>
          <w:u w:val="none"/>
          <w:lang w:eastAsia="en-GB"/>
        </w:rPr>
        <w:t>bp</w:t>
      </w:r>
      <w:proofErr w:type="spellEnd"/>
    </w:p>
    <w:p w:rsidR="0050708F" w:rsidRPr="007F5684" w:rsidRDefault="0050708F" w:rsidP="0050708F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For the purposes of calculating the average spread payable, 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calculate the total cost in the currency of issue ignoring any FX swap, but includ</w:t>
      </w:r>
      <w:r w:rsidR="009A329A" w:rsidRPr="007F5684">
        <w:rPr>
          <w:szCs w:val="20"/>
          <w:u w:val="none"/>
        </w:rPr>
        <w:t>e</w:t>
      </w:r>
      <w:r w:rsidRPr="007F5684">
        <w:rPr>
          <w:szCs w:val="20"/>
          <w:u w:val="none"/>
        </w:rPr>
        <w:t xml:space="preserve"> any premium or discount and fees payable or receivable, </w:t>
      </w:r>
      <w:r w:rsidR="00D60F58">
        <w:rPr>
          <w:szCs w:val="20"/>
          <w:u w:val="none"/>
        </w:rPr>
        <w:t>taking as basis the term of any theoretical or actual interest rate swap matching the term of the liability</w:t>
      </w:r>
      <w:r w:rsidRPr="007F5684">
        <w:rPr>
          <w:szCs w:val="20"/>
          <w:u w:val="none"/>
        </w:rPr>
        <w:t>. The spread is the liability rate minus the swap rate.</w:t>
      </w:r>
    </w:p>
    <w:p w:rsidR="00DD5897" w:rsidRPr="007F5684" w:rsidRDefault="0019013A" w:rsidP="00DD5897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net amount of funding obtained for the funding categories listed in </w:t>
      </w:r>
      <w:r w:rsidR="00B86EF3">
        <w:rPr>
          <w:szCs w:val="20"/>
          <w:u w:val="none"/>
        </w:rPr>
        <w:t xml:space="preserve">the “Item” </w:t>
      </w:r>
      <w:r w:rsidRPr="007F5684">
        <w:rPr>
          <w:szCs w:val="20"/>
          <w:u w:val="none"/>
        </w:rPr>
        <w:t xml:space="preserve">column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‘volume’ column of the applicable time bucket</w:t>
      </w:r>
      <w:r w:rsidR="00B8464D">
        <w:rPr>
          <w:szCs w:val="20"/>
          <w:u w:val="none"/>
        </w:rPr>
        <w:t>.</w:t>
      </w:r>
      <w:r w:rsidR="00834FEF" w:rsidRPr="007F5684">
        <w:rPr>
          <w:szCs w:val="20"/>
          <w:u w:val="none"/>
        </w:rPr>
        <w:t xml:space="preserve"> </w:t>
      </w:r>
      <w:r w:rsidR="0029485D" w:rsidRPr="007F5684">
        <w:rPr>
          <w:szCs w:val="20"/>
          <w:u w:val="none"/>
        </w:rPr>
        <w:t xml:space="preserve">For example, for the funding in </w:t>
      </w:r>
      <w:r w:rsidR="00834FEF" w:rsidRPr="007F5684">
        <w:rPr>
          <w:szCs w:val="20"/>
          <w:u w:val="none"/>
        </w:rPr>
        <w:t xml:space="preserve">point </w:t>
      </w:r>
      <w:r w:rsidR="008E246F" w:rsidRPr="007F5684">
        <w:rPr>
          <w:szCs w:val="20"/>
          <w:u w:val="none"/>
        </w:rPr>
        <w:t>4</w:t>
      </w:r>
      <w:r w:rsidR="00834FEF" w:rsidRPr="007F5684">
        <w:rPr>
          <w:szCs w:val="20"/>
          <w:u w:val="none"/>
        </w:rPr>
        <w:t xml:space="preserve"> above, this would be €1,</w:t>
      </w:r>
      <w:r w:rsidR="0029485D" w:rsidRPr="007F5684">
        <w:rPr>
          <w:szCs w:val="20"/>
          <w:u w:val="none"/>
        </w:rPr>
        <w:t>5</w:t>
      </w:r>
      <w:r w:rsidR="00834FEF" w:rsidRPr="007F5684">
        <w:rPr>
          <w:szCs w:val="20"/>
          <w:u w:val="none"/>
        </w:rPr>
        <w:t>00,000</w:t>
      </w:r>
      <w:r w:rsidR="0029485D" w:rsidRPr="007F5684">
        <w:rPr>
          <w:szCs w:val="20"/>
          <w:u w:val="none"/>
        </w:rPr>
        <w:t>.</w:t>
      </w:r>
    </w:p>
    <w:p w:rsidR="00270986" w:rsidRPr="007F5684" w:rsidRDefault="00270986" w:rsidP="00DD5897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Where there is nothing to report, spreads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</w:t>
      </w:r>
      <w:r w:rsidR="00735EFC">
        <w:rPr>
          <w:szCs w:val="20"/>
          <w:u w:val="none"/>
        </w:rPr>
        <w:t>left empty</w:t>
      </w:r>
      <w:r w:rsidRPr="007F5684">
        <w:rPr>
          <w:szCs w:val="20"/>
          <w:u w:val="none"/>
        </w:rPr>
        <w:t>.</w:t>
      </w:r>
    </w:p>
    <w:p w:rsidR="002C154A" w:rsidRPr="007F5684" w:rsidRDefault="002C154A" w:rsidP="00DD5897">
      <w:pPr>
        <w:pStyle w:val="InstructionsText2"/>
        <w:numPr>
          <w:ilvl w:val="0"/>
          <w:numId w:val="15"/>
        </w:numPr>
        <w:rPr>
          <w:szCs w:val="20"/>
          <w:u w:val="none"/>
        </w:rPr>
      </w:pPr>
      <w:r w:rsidRPr="007F5684">
        <w:rPr>
          <w:szCs w:val="20"/>
          <w:u w:val="none"/>
        </w:rPr>
        <w:t>Instructions concerning specific rows</w:t>
      </w:r>
      <w:r w:rsidR="002237BD" w:rsidRPr="007F5684">
        <w:rPr>
          <w:szCs w:val="20"/>
          <w:u w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05"/>
      </w:tblGrid>
      <w:tr w:rsidR="00E332B3" w:rsidRPr="007F5684" w:rsidTr="00ED41A4">
        <w:trPr>
          <w:trHeight w:val="567"/>
        </w:trPr>
        <w:tc>
          <w:tcPr>
            <w:tcW w:w="817" w:type="dxa"/>
            <w:shd w:val="clear" w:color="auto" w:fill="E0E0E0"/>
            <w:noWrap/>
            <w:vAlign w:val="center"/>
          </w:tcPr>
          <w:p w:rsidR="002C154A" w:rsidRPr="007F5684" w:rsidRDefault="002C154A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Row</w:t>
            </w:r>
          </w:p>
        </w:tc>
        <w:tc>
          <w:tcPr>
            <w:tcW w:w="7705" w:type="dxa"/>
            <w:shd w:val="clear" w:color="auto" w:fill="E0E0E0"/>
            <w:noWrap/>
            <w:vAlign w:val="center"/>
          </w:tcPr>
          <w:p w:rsidR="002C154A" w:rsidRPr="007F5684" w:rsidRDefault="002C154A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E332B3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010</w:t>
            </w:r>
          </w:p>
        </w:tc>
        <w:tc>
          <w:tcPr>
            <w:tcW w:w="7705" w:type="dxa"/>
            <w:shd w:val="clear" w:color="auto" w:fill="auto"/>
            <w:noWrap/>
          </w:tcPr>
          <w:p w:rsidR="002C154A" w:rsidRPr="007F5684" w:rsidRDefault="002C154A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 Total Funding</w:t>
            </w:r>
          </w:p>
          <w:p w:rsidR="002C154A" w:rsidRPr="007F5684" w:rsidRDefault="00E42487" w:rsidP="00ED41A4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Pr="007F5684">
              <w:rPr>
                <w:rFonts w:ascii="Times New Roman" w:hAnsi="Times New Roman"/>
                <w:szCs w:val="20"/>
              </w:rPr>
              <w:t xml:space="preserve"> and weighted average s</w:t>
            </w:r>
            <w:r w:rsidR="002A7582" w:rsidRPr="007F5684">
              <w:rPr>
                <w:rFonts w:ascii="Times New Roman" w:hAnsi="Times New Roman"/>
                <w:szCs w:val="20"/>
              </w:rPr>
              <w:t>pread of all funding obtained</w:t>
            </w:r>
            <w:r w:rsidR="00CE333E" w:rsidRPr="007F5684">
              <w:rPr>
                <w:rFonts w:ascii="Times New Roman" w:hAnsi="Times New Roman"/>
                <w:szCs w:val="20"/>
              </w:rPr>
              <w:t xml:space="preserve"> for the following lengths:</w:t>
            </w:r>
          </w:p>
          <w:p w:rsidR="007778A0" w:rsidRPr="007F5684" w:rsidRDefault="007778A0" w:rsidP="0094416B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Overnight (columns </w:t>
            </w:r>
            <w:r w:rsidR="00AF1439">
              <w:rPr>
                <w:szCs w:val="20"/>
                <w:u w:val="none"/>
                <w:lang w:eastAsia="en-US"/>
              </w:rPr>
              <w:t>010 and 020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1 week (columns </w:t>
            </w:r>
            <w:r w:rsidR="00AF1439">
              <w:rPr>
                <w:szCs w:val="20"/>
                <w:u w:val="none"/>
                <w:lang w:eastAsia="en-US"/>
              </w:rPr>
              <w:t>030 ad 040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1 month (columns </w:t>
            </w:r>
            <w:r w:rsidR="00AF1439">
              <w:rPr>
                <w:szCs w:val="20"/>
                <w:u w:val="none"/>
                <w:lang w:eastAsia="en-US"/>
              </w:rPr>
              <w:t>050 and 060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3 months (columns </w:t>
            </w:r>
            <w:r w:rsidR="00AF1439">
              <w:rPr>
                <w:szCs w:val="20"/>
                <w:u w:val="none"/>
                <w:lang w:eastAsia="en-US"/>
              </w:rPr>
              <w:t>070 and 080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6 months (columns </w:t>
            </w:r>
            <w:r w:rsidR="00AF1439">
              <w:rPr>
                <w:szCs w:val="20"/>
                <w:u w:val="none"/>
                <w:lang w:eastAsia="en-US"/>
              </w:rPr>
              <w:t>090 and 100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1 year (columns </w:t>
            </w:r>
            <w:r w:rsidR="00AF1439">
              <w:rPr>
                <w:szCs w:val="20"/>
                <w:u w:val="none"/>
                <w:lang w:eastAsia="en-US"/>
              </w:rPr>
              <w:t>110 and 120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 xml:space="preserve">2 years (columns </w:t>
            </w:r>
            <w:r w:rsidR="00AF1439">
              <w:rPr>
                <w:szCs w:val="20"/>
                <w:u w:val="none"/>
                <w:lang w:eastAsia="en-US"/>
              </w:rPr>
              <w:t>130 and 140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7778A0" w:rsidRPr="007F5684" w:rsidRDefault="007778A0" w:rsidP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  <w:lang w:eastAsia="en-US"/>
              </w:rPr>
            </w:pPr>
            <w:r w:rsidRPr="007F5684">
              <w:rPr>
                <w:szCs w:val="20"/>
                <w:u w:val="none"/>
                <w:lang w:eastAsia="en-US"/>
              </w:rPr>
              <w:t>5 years</w:t>
            </w:r>
            <w:r w:rsidR="00860F92">
              <w:rPr>
                <w:szCs w:val="20"/>
                <w:u w:val="none"/>
                <w:lang w:eastAsia="en-US"/>
              </w:rPr>
              <w:t xml:space="preserve"> </w:t>
            </w:r>
            <w:r w:rsidRPr="007F5684">
              <w:rPr>
                <w:szCs w:val="20"/>
                <w:u w:val="none"/>
                <w:lang w:eastAsia="en-US"/>
              </w:rPr>
              <w:t xml:space="preserve">(columns </w:t>
            </w:r>
            <w:r w:rsidR="00AF1439">
              <w:rPr>
                <w:szCs w:val="20"/>
                <w:u w:val="none"/>
                <w:lang w:eastAsia="en-US"/>
              </w:rPr>
              <w:t>150 and 160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  <w:p w:rsidR="00CE333E" w:rsidRPr="007F5684" w:rsidRDefault="007778A0">
            <w:pPr>
              <w:pStyle w:val="InstructionsText2"/>
              <w:numPr>
                <w:ilvl w:val="1"/>
                <w:numId w:val="14"/>
              </w:numPr>
              <w:rPr>
                <w:szCs w:val="20"/>
                <w:u w:val="none"/>
              </w:rPr>
            </w:pPr>
            <w:r w:rsidRPr="007F5684">
              <w:rPr>
                <w:szCs w:val="20"/>
                <w:u w:val="none"/>
                <w:lang w:eastAsia="en-US"/>
              </w:rPr>
              <w:lastRenderedPageBreak/>
              <w:t xml:space="preserve">10 years (columns </w:t>
            </w:r>
            <w:r w:rsidR="00AF1439">
              <w:rPr>
                <w:szCs w:val="20"/>
                <w:u w:val="none"/>
                <w:lang w:eastAsia="en-US"/>
              </w:rPr>
              <w:t>170 and 180</w:t>
            </w:r>
            <w:r w:rsidRPr="007F5684">
              <w:rPr>
                <w:szCs w:val="20"/>
                <w:u w:val="none"/>
                <w:lang w:eastAsia="en-US"/>
              </w:rPr>
              <w:t>)</w:t>
            </w:r>
          </w:p>
        </w:tc>
      </w:tr>
      <w:tr w:rsidR="00E332B3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2C154A" w:rsidRPr="007F5684" w:rsidRDefault="00AF1439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lastRenderedPageBreak/>
              <w:t>020</w:t>
            </w:r>
          </w:p>
        </w:tc>
        <w:tc>
          <w:tcPr>
            <w:tcW w:w="7705" w:type="dxa"/>
            <w:shd w:val="clear" w:color="auto" w:fill="auto"/>
            <w:noWrap/>
          </w:tcPr>
          <w:p w:rsidR="002C154A" w:rsidRPr="007F5684" w:rsidRDefault="002C154A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1.1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Retail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deposits</w:t>
            </w:r>
          </w:p>
          <w:p w:rsidR="002C154A" w:rsidRPr="007F5684" w:rsidRDefault="00CE333E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</w:t>
            </w:r>
            <w:r w:rsidR="002C154A" w:rsidRPr="007F5684">
              <w:rPr>
                <w:rFonts w:ascii="Times New Roman" w:hAnsi="Times New Roman"/>
                <w:szCs w:val="20"/>
              </w:rPr>
              <w:t xml:space="preserve">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E42487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>spread</w:t>
            </w:r>
            <w:r w:rsidR="002C154A" w:rsidRPr="007F5684">
              <w:rPr>
                <w:rFonts w:ascii="Times New Roman" w:hAnsi="Times New Roman"/>
                <w:szCs w:val="20"/>
              </w:rPr>
              <w:t xml:space="preserve"> of </w:t>
            </w:r>
            <w:r w:rsidR="00AF1439">
              <w:rPr>
                <w:rFonts w:ascii="Times New Roman" w:hAnsi="Times New Roman"/>
                <w:szCs w:val="20"/>
              </w:rPr>
              <w:t xml:space="preserve">retail </w:t>
            </w:r>
            <w:r w:rsidR="002C154A" w:rsidRPr="007F5684">
              <w:rPr>
                <w:rFonts w:ascii="Times New Roman" w:hAnsi="Times New Roman"/>
                <w:szCs w:val="20"/>
              </w:rPr>
              <w:t>deposits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obtained</w:t>
            </w:r>
            <w:r w:rsidR="002C154A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AF1439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AF1439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030</w:t>
            </w:r>
          </w:p>
        </w:tc>
        <w:tc>
          <w:tcPr>
            <w:tcW w:w="7705" w:type="dxa"/>
            <w:shd w:val="clear" w:color="auto" w:fill="auto"/>
            <w:noWrap/>
          </w:tcPr>
          <w:p w:rsidR="00AF1439" w:rsidRDefault="00AF1439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 xml:space="preserve">1.2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="000B2BA0">
              <w:rPr>
                <w:rFonts w:ascii="Times New Roman" w:hAnsi="Times New Roman"/>
                <w:b/>
                <w:szCs w:val="20"/>
                <w:u w:val="single"/>
              </w:rPr>
              <w:t>Unsecured wholesale deposits</w:t>
            </w:r>
          </w:p>
          <w:p w:rsidR="00AF1439" w:rsidRPr="00ED28A5" w:rsidRDefault="00AF1439" w:rsidP="000B2BA0">
            <w:pPr>
              <w:jc w:val="left"/>
              <w:rPr>
                <w:rFonts w:ascii="Times New Roman" w:hAnsi="Times New Roman"/>
                <w:szCs w:val="20"/>
              </w:rPr>
            </w:pPr>
            <w:r w:rsidRPr="00ED28A5">
              <w:rPr>
                <w:rFonts w:ascii="Times New Roman" w:hAnsi="Times New Roman"/>
                <w:szCs w:val="20"/>
              </w:rPr>
              <w:t xml:space="preserve">Of the total funding in item 1, the total volume and weighted average spread of unsecured wholesale </w:t>
            </w:r>
            <w:r w:rsidR="000B2BA0" w:rsidRPr="00ED28A5">
              <w:rPr>
                <w:rFonts w:ascii="Times New Roman" w:hAnsi="Times New Roman"/>
                <w:szCs w:val="20"/>
              </w:rPr>
              <w:t>deposits</w:t>
            </w:r>
            <w:r w:rsidRPr="00ED28A5">
              <w:rPr>
                <w:rFonts w:ascii="Times New Roman" w:hAnsi="Times New Roman"/>
                <w:szCs w:val="20"/>
              </w:rPr>
              <w:t xml:space="preserve"> obtained</w:t>
            </w:r>
          </w:p>
        </w:tc>
      </w:tr>
      <w:tr w:rsidR="00DD5897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DD5897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040</w:t>
            </w:r>
          </w:p>
        </w:tc>
        <w:tc>
          <w:tcPr>
            <w:tcW w:w="7705" w:type="dxa"/>
            <w:shd w:val="clear" w:color="auto" w:fill="auto"/>
            <w:noWrap/>
          </w:tcPr>
          <w:p w:rsidR="00DD5897" w:rsidRPr="007F5684" w:rsidRDefault="00DD5897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3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Secured funding</w:t>
            </w:r>
          </w:p>
          <w:p w:rsidR="00DD5897" w:rsidRPr="007F5684" w:rsidRDefault="00CE333E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Of the total funding reported in item 1, the total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DD5897" w:rsidRPr="007F5684">
              <w:rPr>
                <w:rFonts w:ascii="Times New Roman" w:hAnsi="Times New Roman"/>
                <w:szCs w:val="20"/>
              </w:rPr>
              <w:t>spread of secured funding obtained.</w:t>
            </w:r>
          </w:p>
        </w:tc>
      </w:tr>
      <w:tr w:rsidR="00E332B3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2C154A" w:rsidRPr="007F5684" w:rsidRDefault="00AF1439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050</w:t>
            </w:r>
          </w:p>
        </w:tc>
        <w:tc>
          <w:tcPr>
            <w:tcW w:w="7705" w:type="dxa"/>
            <w:shd w:val="clear" w:color="auto" w:fill="auto"/>
            <w:noWrap/>
          </w:tcPr>
          <w:p w:rsidR="002C154A" w:rsidRPr="007F5684" w:rsidRDefault="002C154A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4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Senior unsecured securities</w:t>
            </w:r>
          </w:p>
          <w:p w:rsidR="00E332B3" w:rsidRPr="007F5684" w:rsidRDefault="00CE333E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>spread of senior unsecured securities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obtained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332B3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060</w:t>
            </w:r>
          </w:p>
        </w:tc>
        <w:tc>
          <w:tcPr>
            <w:tcW w:w="7705" w:type="dxa"/>
            <w:shd w:val="clear" w:color="auto" w:fill="auto"/>
            <w:noWrap/>
          </w:tcPr>
          <w:p w:rsidR="002C154A" w:rsidRPr="007F5684" w:rsidRDefault="002C154A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5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Covered bonds</w:t>
            </w:r>
          </w:p>
          <w:p w:rsidR="00E332B3" w:rsidRPr="007F5684" w:rsidRDefault="00CE333E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 xml:space="preserve">weighted average 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spread of 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all </w:t>
            </w:r>
            <w:r w:rsidR="00E332B3" w:rsidRPr="007F5684">
              <w:rPr>
                <w:rFonts w:ascii="Times New Roman" w:hAnsi="Times New Roman"/>
                <w:szCs w:val="20"/>
              </w:rPr>
              <w:t>covered bond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 issuance</w:t>
            </w:r>
            <w:r w:rsidR="00DD5897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19013A" w:rsidRPr="007F5684">
              <w:rPr>
                <w:rFonts w:ascii="Times New Roman" w:hAnsi="Times New Roman"/>
                <w:szCs w:val="20"/>
              </w:rPr>
              <w:t>encumbering the institutions own assets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332B3" w:rsidRPr="007F5684" w:rsidTr="00ED41A4">
        <w:trPr>
          <w:trHeight w:val="255"/>
        </w:trPr>
        <w:tc>
          <w:tcPr>
            <w:tcW w:w="817" w:type="dxa"/>
            <w:shd w:val="clear" w:color="auto" w:fill="auto"/>
            <w:noWrap/>
          </w:tcPr>
          <w:p w:rsidR="002C154A" w:rsidRPr="007F5684" w:rsidRDefault="00AF1439" w:rsidP="00ED41A4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>
              <w:rPr>
                <w:rFonts w:ascii="Times New Roman" w:hAnsi="Times New Roman"/>
                <w:szCs w:val="20"/>
                <w:lang w:eastAsia="en-GB"/>
              </w:rPr>
              <w:t>070</w:t>
            </w:r>
          </w:p>
        </w:tc>
        <w:tc>
          <w:tcPr>
            <w:tcW w:w="7705" w:type="dxa"/>
            <w:shd w:val="clear" w:color="auto" w:fill="auto"/>
            <w:noWrap/>
          </w:tcPr>
          <w:p w:rsidR="002C154A" w:rsidRPr="007F5684" w:rsidRDefault="002C154A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1.</w:t>
            </w:r>
            <w:r w:rsidR="00AF1439">
              <w:rPr>
                <w:rFonts w:ascii="Times New Roman" w:hAnsi="Times New Roman"/>
                <w:b/>
                <w:szCs w:val="20"/>
                <w:u w:val="single"/>
              </w:rPr>
              <w:t>6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="00795808">
              <w:rPr>
                <w:rFonts w:ascii="Times New Roman" w:hAnsi="Times New Roman"/>
                <w:b/>
                <w:szCs w:val="20"/>
                <w:u w:val="single"/>
              </w:rPr>
              <w:t xml:space="preserve">of which: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Asset backed securities including ABCP</w:t>
            </w:r>
          </w:p>
          <w:p w:rsidR="00E332B3" w:rsidRPr="007F5684" w:rsidRDefault="00CE333E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Of the total funding reported in item 1, the total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EA295B" w:rsidRPr="007F5684">
              <w:rPr>
                <w:rFonts w:ascii="Times New Roman" w:hAnsi="Times New Roman"/>
                <w:szCs w:val="20"/>
              </w:rPr>
              <w:t>volume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 and </w:t>
            </w:r>
            <w:r w:rsidR="002A7582" w:rsidRPr="007F5684">
              <w:rPr>
                <w:rFonts w:ascii="Times New Roman" w:hAnsi="Times New Roman"/>
                <w:szCs w:val="20"/>
              </w:rPr>
              <w:t>weighted average spread of a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sset backed securities </w:t>
            </w:r>
            <w:r w:rsidR="0019013A" w:rsidRPr="007F5684">
              <w:rPr>
                <w:rFonts w:ascii="Times New Roman" w:hAnsi="Times New Roman"/>
                <w:szCs w:val="20"/>
              </w:rPr>
              <w:t xml:space="preserve">issued </w:t>
            </w:r>
            <w:r w:rsidR="00E332B3" w:rsidRPr="007F5684">
              <w:rPr>
                <w:rFonts w:ascii="Times New Roman" w:hAnsi="Times New Roman"/>
                <w:szCs w:val="20"/>
              </w:rPr>
              <w:t xml:space="preserve">including </w:t>
            </w:r>
            <w:r w:rsidR="009A329A" w:rsidRPr="007F5684">
              <w:rPr>
                <w:rFonts w:ascii="Times New Roman" w:hAnsi="Times New Roman"/>
                <w:szCs w:val="20"/>
              </w:rPr>
              <w:t>asset backed commercial paper</w:t>
            </w:r>
            <w:r w:rsidR="00E332B3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2C154A" w:rsidRPr="007F5684" w:rsidRDefault="002C154A" w:rsidP="007F1A5A">
      <w:pPr>
        <w:pStyle w:val="Instructionsberschrift2"/>
        <w:numPr>
          <w:ilvl w:val="0"/>
          <w:numId w:val="0"/>
        </w:numPr>
        <w:rPr>
          <w:rFonts w:ascii="Times New Roman" w:hAnsi="Times New Roman" w:cs="Times New Roman"/>
          <w:szCs w:val="20"/>
        </w:rPr>
      </w:pPr>
    </w:p>
    <w:p w:rsidR="00181260" w:rsidRPr="007F5684" w:rsidRDefault="006000DF" w:rsidP="00DD5897">
      <w:pPr>
        <w:pStyle w:val="Instructionsberschrift2"/>
        <w:numPr>
          <w:ilvl w:val="1"/>
          <w:numId w:val="2"/>
        </w:numPr>
        <w:spacing w:before="0"/>
        <w:rPr>
          <w:rFonts w:ascii="Times New Roman" w:hAnsi="Times New Roman" w:cs="Times New Roman"/>
          <w:szCs w:val="20"/>
        </w:rPr>
      </w:pPr>
      <w:r w:rsidRPr="007F5684">
        <w:rPr>
          <w:rFonts w:ascii="Times New Roman" w:hAnsi="Times New Roman" w:cs="Times New Roman"/>
          <w:szCs w:val="20"/>
        </w:rPr>
        <w:t>Roll-over of funding</w:t>
      </w:r>
      <w:r w:rsidR="00AC3BFE">
        <w:rPr>
          <w:rFonts w:ascii="Times New Roman" w:hAnsi="Times New Roman" w:cs="Times New Roman"/>
          <w:szCs w:val="20"/>
        </w:rPr>
        <w:t xml:space="preserve"> (C 70.00)</w:t>
      </w:r>
    </w:p>
    <w:p w:rsidR="00DD5897" w:rsidRPr="007F5684" w:rsidRDefault="00DD5897" w:rsidP="00DD589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bookmarkStart w:id="3" w:name="_Toc308175821"/>
      <w:bookmarkStart w:id="4" w:name="_Toc310414968"/>
      <w:r w:rsidRPr="007F5684">
        <w:rPr>
          <w:szCs w:val="20"/>
          <w:u w:val="none"/>
        </w:rPr>
        <w:t>This template seeks to collect information about the</w:t>
      </w:r>
      <w:r w:rsidR="00DB3C37" w:rsidRPr="007F5684">
        <w:rPr>
          <w:szCs w:val="20"/>
          <w:u w:val="none"/>
        </w:rPr>
        <w:t xml:space="preserve"> volume of funds maturing and new funding obtained i.e. ‘roll-over of funding’ on a daily basis over a monthly time horizon.</w:t>
      </w:r>
    </w:p>
    <w:p w:rsidR="00DB3C37" w:rsidRPr="007F5684" w:rsidRDefault="00DB3C37" w:rsidP="00DD589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Institutions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report the funding they have maturing in the following time buckets:</w:t>
      </w:r>
    </w:p>
    <w:p w:rsidR="00DB3C37" w:rsidRPr="007F5684" w:rsidRDefault="00032055" w:rsidP="0094416B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>
        <w:rPr>
          <w:szCs w:val="20"/>
          <w:u w:val="none"/>
        </w:rPr>
        <w:t>Overnight</w:t>
      </w:r>
      <w:r w:rsidR="00DB3C37" w:rsidRPr="007F5684">
        <w:rPr>
          <w:szCs w:val="20"/>
          <w:u w:val="none"/>
        </w:rPr>
        <w:t xml:space="preserve"> (columns </w:t>
      </w:r>
      <w:r w:rsidR="00BD24C1">
        <w:rPr>
          <w:szCs w:val="20"/>
          <w:u w:val="none"/>
        </w:rPr>
        <w:t>010 to 040</w:t>
      </w:r>
      <w:r w:rsidR="00DB3C37" w:rsidRPr="007F5684">
        <w:rPr>
          <w:szCs w:val="20"/>
          <w:u w:val="none"/>
        </w:rPr>
        <w:t>)</w:t>
      </w:r>
    </w:p>
    <w:p w:rsidR="00DB3C37" w:rsidRPr="007F5684" w:rsidRDefault="00DB3C37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 xml:space="preserve">Between 1 day and </w:t>
      </w:r>
      <w:r w:rsidR="003E371A">
        <w:rPr>
          <w:szCs w:val="20"/>
          <w:u w:val="none"/>
        </w:rPr>
        <w:t>7</w:t>
      </w:r>
      <w:r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Pr="007F5684">
        <w:rPr>
          <w:szCs w:val="20"/>
          <w:u w:val="none"/>
        </w:rPr>
        <w:t xml:space="preserve"> (columns </w:t>
      </w:r>
      <w:r w:rsidR="00BD24C1">
        <w:rPr>
          <w:szCs w:val="20"/>
          <w:u w:val="none"/>
        </w:rPr>
        <w:t>050 to 080</w:t>
      </w:r>
      <w:r w:rsidRPr="007F5684">
        <w:rPr>
          <w:szCs w:val="20"/>
          <w:u w:val="none"/>
        </w:rPr>
        <w:t>)</w:t>
      </w:r>
    </w:p>
    <w:p w:rsidR="00DB3C37" w:rsidRPr="007F5684" w:rsidRDefault="00DB3C37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 xml:space="preserve">Between </w:t>
      </w:r>
      <w:r w:rsidR="003E371A">
        <w:rPr>
          <w:szCs w:val="20"/>
          <w:u w:val="none"/>
        </w:rPr>
        <w:t>7</w:t>
      </w:r>
      <w:r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Pr="007F5684">
        <w:rPr>
          <w:szCs w:val="20"/>
          <w:u w:val="none"/>
        </w:rPr>
        <w:t xml:space="preserve"> and </w:t>
      </w:r>
      <w:r w:rsidR="003E371A">
        <w:rPr>
          <w:szCs w:val="20"/>
          <w:u w:val="none"/>
        </w:rPr>
        <w:t>14</w:t>
      </w:r>
      <w:r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Pr="007F5684">
        <w:rPr>
          <w:szCs w:val="20"/>
          <w:u w:val="none"/>
        </w:rPr>
        <w:t xml:space="preserve"> (columns </w:t>
      </w:r>
      <w:r w:rsidR="00BD24C1">
        <w:rPr>
          <w:szCs w:val="20"/>
          <w:u w:val="none"/>
        </w:rPr>
        <w:t>090 to 120</w:t>
      </w:r>
      <w:r w:rsidRPr="007F5684">
        <w:rPr>
          <w:szCs w:val="20"/>
          <w:u w:val="none"/>
        </w:rPr>
        <w:t>)</w:t>
      </w:r>
    </w:p>
    <w:p w:rsidR="00DB3C37" w:rsidRPr="007F5684" w:rsidRDefault="00DB3C37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 xml:space="preserve">Between </w:t>
      </w:r>
      <w:r w:rsidR="003E371A">
        <w:rPr>
          <w:szCs w:val="20"/>
          <w:u w:val="none"/>
        </w:rPr>
        <w:t>14</w:t>
      </w:r>
      <w:r w:rsidRPr="007F5684">
        <w:rPr>
          <w:szCs w:val="20"/>
          <w:u w:val="none"/>
        </w:rPr>
        <w:t xml:space="preserve"> </w:t>
      </w:r>
      <w:r w:rsidR="003E371A">
        <w:rPr>
          <w:szCs w:val="20"/>
          <w:u w:val="none"/>
        </w:rPr>
        <w:t>days</w:t>
      </w:r>
      <w:r w:rsidRPr="007F5684">
        <w:rPr>
          <w:szCs w:val="20"/>
          <w:u w:val="none"/>
        </w:rPr>
        <w:t xml:space="preserve"> and 1 month (columns </w:t>
      </w:r>
      <w:r w:rsidR="00BD24C1">
        <w:rPr>
          <w:szCs w:val="20"/>
          <w:u w:val="none"/>
        </w:rPr>
        <w:t>130 to 160</w:t>
      </w:r>
      <w:r w:rsidRPr="007F5684">
        <w:rPr>
          <w:szCs w:val="20"/>
          <w:u w:val="none"/>
        </w:rPr>
        <w:t>)</w:t>
      </w:r>
    </w:p>
    <w:p w:rsidR="00DB3C37" w:rsidRPr="007F5684" w:rsidRDefault="00DB3C37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 xml:space="preserve">Between 1 month and 3 months (columns </w:t>
      </w:r>
      <w:r w:rsidR="00BD24C1">
        <w:rPr>
          <w:szCs w:val="20"/>
          <w:u w:val="none"/>
        </w:rPr>
        <w:t>170 to 200</w:t>
      </w:r>
      <w:r w:rsidRPr="007F5684">
        <w:rPr>
          <w:szCs w:val="20"/>
          <w:u w:val="none"/>
        </w:rPr>
        <w:t>)</w:t>
      </w:r>
    </w:p>
    <w:p w:rsidR="00DB3C37" w:rsidRPr="007F5684" w:rsidRDefault="009A329A" w:rsidP="00DB3C37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>Between 3 months and 6</w:t>
      </w:r>
      <w:r w:rsidR="00DB3C37" w:rsidRPr="007F5684">
        <w:rPr>
          <w:szCs w:val="20"/>
          <w:u w:val="none"/>
        </w:rPr>
        <w:t xml:space="preserve"> months (columns </w:t>
      </w:r>
      <w:r w:rsidR="00BD24C1">
        <w:rPr>
          <w:szCs w:val="20"/>
          <w:u w:val="none"/>
        </w:rPr>
        <w:t>210 to 240</w:t>
      </w:r>
      <w:r w:rsidR="00DB3C37" w:rsidRPr="007F5684">
        <w:rPr>
          <w:szCs w:val="20"/>
          <w:u w:val="none"/>
        </w:rPr>
        <w:t>)</w:t>
      </w:r>
    </w:p>
    <w:p w:rsidR="009A329A" w:rsidRPr="007F5684" w:rsidRDefault="00E851E7" w:rsidP="009A329A">
      <w:pPr>
        <w:pStyle w:val="InstructionsText2"/>
        <w:numPr>
          <w:ilvl w:val="1"/>
          <w:numId w:val="5"/>
        </w:numPr>
        <w:ind w:left="1276" w:hanging="283"/>
        <w:rPr>
          <w:szCs w:val="20"/>
          <w:u w:val="none"/>
        </w:rPr>
      </w:pPr>
      <w:r w:rsidRPr="007F5684">
        <w:rPr>
          <w:szCs w:val="20"/>
          <w:u w:val="none"/>
        </w:rPr>
        <w:t>M</w:t>
      </w:r>
      <w:r w:rsidR="009A329A" w:rsidRPr="007F5684">
        <w:rPr>
          <w:szCs w:val="20"/>
          <w:u w:val="none"/>
        </w:rPr>
        <w:t xml:space="preserve">aturing greater than 6 months (columns </w:t>
      </w:r>
      <w:r w:rsidR="00BD24C1">
        <w:rPr>
          <w:szCs w:val="20"/>
          <w:u w:val="none"/>
        </w:rPr>
        <w:t>250 to 280</w:t>
      </w:r>
      <w:r w:rsidR="009A329A" w:rsidRPr="007F5684">
        <w:rPr>
          <w:szCs w:val="20"/>
          <w:u w:val="none"/>
        </w:rPr>
        <w:t>)</w:t>
      </w:r>
    </w:p>
    <w:p w:rsidR="00DB3C37" w:rsidRPr="007F5684" w:rsidRDefault="00DB3C37" w:rsidP="00ED41A4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For each time bucket as descri</w:t>
      </w:r>
      <w:r w:rsidR="00BF7037" w:rsidRPr="007F5684">
        <w:rPr>
          <w:szCs w:val="20"/>
          <w:u w:val="none"/>
        </w:rPr>
        <w:t>b</w:t>
      </w:r>
      <w:r w:rsidRPr="007F5684">
        <w:rPr>
          <w:szCs w:val="20"/>
          <w:u w:val="none"/>
        </w:rPr>
        <w:t xml:space="preserve">ed in point </w:t>
      </w:r>
      <w:r w:rsidR="008E246F" w:rsidRPr="007F5684">
        <w:rPr>
          <w:szCs w:val="20"/>
          <w:u w:val="none"/>
        </w:rPr>
        <w:t>2</w:t>
      </w:r>
      <w:r w:rsidRPr="007F5684">
        <w:rPr>
          <w:szCs w:val="20"/>
          <w:u w:val="none"/>
        </w:rPr>
        <w:t xml:space="preserve"> above, the amount </w:t>
      </w:r>
      <w:r w:rsidR="00BF7037" w:rsidRPr="007F5684">
        <w:rPr>
          <w:szCs w:val="20"/>
          <w:u w:val="none"/>
        </w:rPr>
        <w:t>maturing</w:t>
      </w:r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left-hand column, </w:t>
      </w:r>
      <w:r w:rsidR="003E371A">
        <w:rPr>
          <w:szCs w:val="20"/>
          <w:u w:val="none"/>
        </w:rPr>
        <w:t xml:space="preserve">the amount funds rolled over shall be reported in the “Roll over” column, </w:t>
      </w:r>
      <w:r w:rsidRPr="007F5684">
        <w:rPr>
          <w:szCs w:val="20"/>
          <w:u w:val="none"/>
        </w:rPr>
        <w:t xml:space="preserve">new funds obtained </w:t>
      </w:r>
      <w:r w:rsidR="006A7234" w:rsidRPr="007F5684">
        <w:rPr>
          <w:szCs w:val="20"/>
          <w:u w:val="none"/>
        </w:rPr>
        <w:t>shall</w:t>
      </w:r>
      <w:r w:rsidR="00ED41A4" w:rsidRPr="007F5684">
        <w:rPr>
          <w:szCs w:val="20"/>
          <w:u w:val="none"/>
        </w:rPr>
        <w:t xml:space="preserve"> be reported in the </w:t>
      </w:r>
      <w:r w:rsidR="00397ABE">
        <w:rPr>
          <w:szCs w:val="20"/>
          <w:u w:val="none"/>
        </w:rPr>
        <w:t>“New Funds”</w:t>
      </w:r>
      <w:r w:rsidRPr="007F5684">
        <w:rPr>
          <w:szCs w:val="20"/>
          <w:u w:val="none"/>
        </w:rPr>
        <w:t xml:space="preserve"> column and the net difference (i.e. new funds</w:t>
      </w:r>
      <w:r w:rsidR="00224CAE">
        <w:rPr>
          <w:szCs w:val="20"/>
          <w:u w:val="none"/>
        </w:rPr>
        <w:t xml:space="preserve"> + roll over - maturing</w:t>
      </w:r>
      <w:r w:rsidRPr="007F5684">
        <w:rPr>
          <w:szCs w:val="20"/>
          <w:u w:val="none"/>
        </w:rPr>
        <w:t xml:space="preserve">)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the right-hand column.</w:t>
      </w:r>
    </w:p>
    <w:p w:rsidR="00DB3C37" w:rsidRPr="007F5684" w:rsidRDefault="00DB3C37" w:rsidP="00DB3C37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lastRenderedPageBreak/>
        <w:t xml:space="preserve">Total net </w:t>
      </w:r>
      <w:proofErr w:type="spellStart"/>
      <w:r w:rsidRPr="007F5684">
        <w:rPr>
          <w:szCs w:val="20"/>
          <w:u w:val="none"/>
        </w:rPr>
        <w:t>cash</w:t>
      </w:r>
      <w:r w:rsidR="00784AE2" w:rsidRPr="007F5684">
        <w:rPr>
          <w:szCs w:val="20"/>
          <w:u w:val="none"/>
        </w:rPr>
        <w:t>f</w:t>
      </w:r>
      <w:r w:rsidRPr="007F5684">
        <w:rPr>
          <w:szCs w:val="20"/>
          <w:u w:val="none"/>
        </w:rPr>
        <w:t>lows</w:t>
      </w:r>
      <w:proofErr w:type="spellEnd"/>
      <w:r w:rsidRPr="007F5684">
        <w:rPr>
          <w:szCs w:val="20"/>
          <w:u w:val="none"/>
        </w:rPr>
        <w:t xml:space="preserve">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290</w:t>
      </w:r>
      <w:r w:rsidRPr="007F5684">
        <w:rPr>
          <w:szCs w:val="20"/>
          <w:u w:val="none"/>
        </w:rPr>
        <w:t xml:space="preserve"> and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equal the sum of all ‘Net’ columns (i.e. </w:t>
      </w:r>
      <w:r w:rsidR="00BD24C1">
        <w:rPr>
          <w:szCs w:val="20"/>
          <w:u w:val="none"/>
        </w:rPr>
        <w:t>040 + 080+120+160+200+240+280</w:t>
      </w:r>
      <w:r w:rsidRPr="007F5684">
        <w:rPr>
          <w:szCs w:val="20"/>
          <w:u w:val="none"/>
        </w:rPr>
        <w:t>)</w:t>
      </w:r>
      <w:r w:rsidR="00CF44ED" w:rsidRPr="007F5684">
        <w:rPr>
          <w:szCs w:val="20"/>
          <w:u w:val="none"/>
        </w:rPr>
        <w:t>.</w:t>
      </w:r>
    </w:p>
    <w:p w:rsidR="00BD24C1" w:rsidRDefault="00DB3C37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The average term of funding (in days) for maturing term funds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300</w:t>
      </w:r>
      <w:r w:rsidRPr="007F5684">
        <w:rPr>
          <w:szCs w:val="20"/>
          <w:u w:val="none"/>
        </w:rPr>
        <w:t>.</w:t>
      </w:r>
    </w:p>
    <w:p w:rsidR="003E371A" w:rsidRPr="00397ABE" w:rsidRDefault="003E371A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>
        <w:rPr>
          <w:szCs w:val="20"/>
          <w:u w:val="none"/>
        </w:rPr>
        <w:t>The average term of funding (in days) of funds rolled over shall be reported in column 310</w:t>
      </w:r>
    </w:p>
    <w:p w:rsidR="00BD24C1" w:rsidRDefault="00DB3C37" w:rsidP="00397ABE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 xml:space="preserve"> The average term of funding (in days) for new term funds </w:t>
      </w:r>
      <w:r w:rsidR="006A7234" w:rsidRPr="007F5684">
        <w:rPr>
          <w:szCs w:val="20"/>
          <w:u w:val="none"/>
        </w:rPr>
        <w:t>shall</w:t>
      </w:r>
      <w:r w:rsidRPr="007F5684">
        <w:rPr>
          <w:szCs w:val="20"/>
          <w:u w:val="none"/>
        </w:rPr>
        <w:t xml:space="preserve"> be reported in column </w:t>
      </w:r>
      <w:r w:rsidR="00BD24C1">
        <w:rPr>
          <w:szCs w:val="20"/>
          <w:u w:val="none"/>
        </w:rPr>
        <w:t>320</w:t>
      </w:r>
      <w:r w:rsidRPr="007F5684">
        <w:rPr>
          <w:szCs w:val="20"/>
          <w:u w:val="none"/>
        </w:rPr>
        <w:t>.</w:t>
      </w:r>
    </w:p>
    <w:p w:rsidR="003E371A" w:rsidRPr="003E371A" w:rsidRDefault="003E371A" w:rsidP="003E371A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>
        <w:rPr>
          <w:szCs w:val="20"/>
          <w:u w:val="none"/>
        </w:rPr>
        <w:t>The average term of funding (in days) for the total funding profile shall be reported in column 330.</w:t>
      </w:r>
    </w:p>
    <w:bookmarkEnd w:id="3"/>
    <w:bookmarkEnd w:id="4"/>
    <w:p w:rsidR="00ED41A4" w:rsidRPr="007F5684" w:rsidRDefault="00ED41A4" w:rsidP="00ED41A4">
      <w:pPr>
        <w:pStyle w:val="InstructionsText2"/>
        <w:numPr>
          <w:ilvl w:val="0"/>
          <w:numId w:val="8"/>
        </w:numPr>
        <w:rPr>
          <w:szCs w:val="20"/>
          <w:u w:val="none"/>
        </w:rPr>
      </w:pPr>
      <w:r w:rsidRPr="007F5684">
        <w:rPr>
          <w:szCs w:val="20"/>
          <w:u w:val="none"/>
        </w:rPr>
        <w:t>Instructions concerning specific rows: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279"/>
      </w:tblGrid>
      <w:tr w:rsidR="00ED41A4" w:rsidRPr="007F5684" w:rsidTr="005F4FE0">
        <w:trPr>
          <w:trHeight w:val="548"/>
        </w:trPr>
        <w:tc>
          <w:tcPr>
            <w:tcW w:w="729" w:type="pct"/>
            <w:shd w:val="clear" w:color="auto" w:fill="D9D9D9"/>
            <w:noWrap/>
            <w:vAlign w:val="center"/>
          </w:tcPr>
          <w:p w:rsidR="00ED41A4" w:rsidRPr="007F5684" w:rsidRDefault="00ED41A4" w:rsidP="005F4FE0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color w:val="000000"/>
                <w:szCs w:val="20"/>
                <w:lang w:eastAsia="en-GB"/>
              </w:rPr>
              <w:t>Column</w:t>
            </w:r>
          </w:p>
        </w:tc>
        <w:tc>
          <w:tcPr>
            <w:tcW w:w="4271" w:type="pct"/>
            <w:shd w:val="clear" w:color="auto" w:fill="D9D9D9"/>
            <w:vAlign w:val="center"/>
          </w:tcPr>
          <w:p w:rsidR="00ED41A4" w:rsidRPr="007F5684" w:rsidRDefault="00ED41A4" w:rsidP="005F4FE0">
            <w:pPr>
              <w:spacing w:before="0" w:after="0"/>
              <w:jc w:val="left"/>
              <w:rPr>
                <w:rFonts w:ascii="Times New Roman" w:hAnsi="Times New Roman"/>
                <w:szCs w:val="20"/>
                <w:lang w:eastAsia="en-GB"/>
              </w:rPr>
            </w:pPr>
            <w:r w:rsidRPr="007F5684">
              <w:rPr>
                <w:rStyle w:val="InstructionsTabelleText"/>
                <w:rFonts w:ascii="Times New Roman" w:hAnsi="Times New Roman"/>
                <w:szCs w:val="20"/>
                <w:lang w:eastAsia="en-GB"/>
              </w:rPr>
              <w:t>Legal references and instructions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010 to 040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BD24C1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>Overnight</w:t>
            </w:r>
          </w:p>
          <w:p w:rsidR="00B83BF9" w:rsidRDefault="00ED41A4" w:rsidP="00ED41A4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on a daily basis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010</w:t>
            </w:r>
            <w:r w:rsidRPr="007F5684">
              <w:rPr>
                <w:rFonts w:ascii="Times New Roman" w:hAnsi="Times New Roman"/>
                <w:szCs w:val="20"/>
              </w:rPr>
              <w:t xml:space="preserve">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7F5684">
              <w:rPr>
                <w:rFonts w:ascii="Times New Roman" w:hAnsi="Times New Roman"/>
                <w:szCs w:val="20"/>
              </w:rPr>
              <w:t>be</w:t>
            </w:r>
            <w:r w:rsidR="009C1A02">
              <w:rPr>
                <w:rFonts w:ascii="Times New Roman" w:hAnsi="Times New Roman"/>
                <w:szCs w:val="20"/>
              </w:rPr>
              <w:t>left</w:t>
            </w:r>
            <w:proofErr w:type="spellEnd"/>
            <w:r w:rsidR="009C1A02">
              <w:rPr>
                <w:rFonts w:ascii="Times New Roman" w:hAnsi="Times New Roman"/>
                <w:szCs w:val="20"/>
              </w:rPr>
              <w:t xml:space="preserve">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ED41A4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020 of line item 1.1-1.31.</w:t>
            </w:r>
          </w:p>
          <w:p w:rsidR="00ED41A4" w:rsidRPr="007F5684" w:rsidRDefault="00ED41A4" w:rsidP="00ED41A4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on a daily basis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ED41A4" w:rsidP="00224CAE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daily funding and new daily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proofErr w:type="gramStart"/>
            <w:r w:rsidR="00B83BF9">
              <w:rPr>
                <w:rFonts w:ascii="Times New Roman" w:hAnsi="Times New Roman"/>
                <w:szCs w:val="20"/>
              </w:rPr>
              <w:t xml:space="preserve">040 </w:t>
            </w:r>
            <w:r w:rsidRPr="007F5684">
              <w:rPr>
                <w:rFonts w:ascii="Times New Roman" w:hAnsi="Times New Roman"/>
                <w:szCs w:val="20"/>
              </w:rPr>
              <w:t xml:space="preserve"> of</w:t>
            </w:r>
            <w:proofErr w:type="gramEnd"/>
            <w:r w:rsidRPr="007F5684">
              <w:rPr>
                <w:rFonts w:ascii="Times New Roman" w:hAnsi="Times New Roman"/>
                <w:szCs w:val="20"/>
              </w:rPr>
              <w:t xml:space="preserve">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050 to 080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 1 day ≤ 7 days</w:t>
            </w:r>
          </w:p>
          <w:p w:rsidR="00ED41A4" w:rsidRDefault="00ED41A4" w:rsidP="00ED41A4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7C6B89" w:rsidRPr="007F5684">
              <w:rPr>
                <w:rFonts w:ascii="Times New Roman" w:hAnsi="Times New Roman"/>
                <w:szCs w:val="20"/>
              </w:rPr>
              <w:t>between one day and one week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ED41A4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060 of line item 1.1-1.31.</w:t>
            </w:r>
          </w:p>
          <w:p w:rsidR="00ED41A4" w:rsidRPr="007F5684" w:rsidRDefault="00ED41A4" w:rsidP="00ED41A4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7C6B89" w:rsidRPr="007F5684">
              <w:rPr>
                <w:rFonts w:ascii="Times New Roman" w:hAnsi="Times New Roman"/>
                <w:szCs w:val="20"/>
              </w:rPr>
              <w:t>for a duration between one day and one week</w:t>
            </w:r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ED41A4" w:rsidP="00D60F58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080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090 to 120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&gt;7days ≤ 14 days</w:t>
            </w:r>
          </w:p>
          <w:p w:rsidR="007C6B89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between one week and two weeks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090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7C6B89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100 of line item 1.1-1.31.</w:t>
            </w:r>
          </w:p>
          <w:p w:rsidR="007C6B89" w:rsidRPr="007F5684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for a duration between one week and two weeks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110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7C6B89" w:rsidP="00D60F58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120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</w:t>
            </w:r>
            <w:r w:rsidR="00ED41A4"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130 to 160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&gt;14 days ≤ 1 month</w:t>
            </w:r>
          </w:p>
          <w:p w:rsidR="007C6B89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between two weeks and one month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</w:t>
            </w:r>
            <w:r w:rsidRPr="007F5684">
              <w:rPr>
                <w:rFonts w:ascii="Times New Roman" w:hAnsi="Times New Roman"/>
                <w:szCs w:val="20"/>
              </w:rPr>
              <w:lastRenderedPageBreak/>
              <w:t xml:space="preserve">reported in column </w:t>
            </w:r>
            <w:r w:rsidR="00B83BF9">
              <w:rPr>
                <w:rFonts w:ascii="Times New Roman" w:hAnsi="Times New Roman"/>
                <w:szCs w:val="20"/>
              </w:rPr>
              <w:t>130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7C6B89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140 of line item 1.1-1.31.</w:t>
            </w:r>
          </w:p>
          <w:p w:rsidR="007C6B89" w:rsidRPr="007F5684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for a duration between two weeks and one month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7C6B89" w:rsidP="00D60F58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D60F58">
              <w:rPr>
                <w:rFonts w:ascii="Times New Roman" w:hAnsi="Times New Roman"/>
                <w:szCs w:val="20"/>
              </w:rPr>
              <w:t>obtained</w:t>
            </w:r>
            <w:r w:rsidR="00D60F58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160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lastRenderedPageBreak/>
              <w:t>170 to 200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&gt;1 Month ≤ 3 Months</w:t>
            </w:r>
          </w:p>
          <w:p w:rsidR="007C6B89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between one month and three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7C6B89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180 of line item 1.1-1.31.</w:t>
            </w:r>
          </w:p>
          <w:p w:rsidR="007C6B89" w:rsidRPr="007F5684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for a duration between one month and three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190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7C6B89" w:rsidP="00224CAE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200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210 to 240</w:t>
            </w:r>
          </w:p>
        </w:tc>
        <w:tc>
          <w:tcPr>
            <w:tcW w:w="4271" w:type="pct"/>
            <w:shd w:val="clear" w:color="auto" w:fill="auto"/>
          </w:tcPr>
          <w:p w:rsidR="005A40BE" w:rsidRPr="007F5684" w:rsidRDefault="005A40BE" w:rsidP="005A40BE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&gt;3 Months ≤ 6 Months</w:t>
            </w:r>
          </w:p>
          <w:p w:rsidR="003E371A" w:rsidRPr="00331993" w:rsidRDefault="005A40BE" w:rsidP="005A40BE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between three months and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210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</w:t>
            </w:r>
            <w:r w:rsidR="00FC0D7C">
              <w:rPr>
                <w:rFonts w:ascii="Times New Roman" w:hAnsi="Times New Roman"/>
                <w:szCs w:val="20"/>
              </w:rPr>
              <w:t xml:space="preserve">left </w:t>
            </w:r>
            <w:proofErr w:type="spellStart"/>
            <w:r w:rsidR="009C1A02">
              <w:rPr>
                <w:rFonts w:ascii="Times New Roman" w:hAnsi="Times New Roman"/>
                <w:szCs w:val="20"/>
              </w:rPr>
              <w:t>empty</w:t>
            </w:r>
            <w:r w:rsidRPr="00331993">
              <w:rPr>
                <w:rFonts w:ascii="Times New Roman" w:hAnsi="Times New Roman"/>
                <w:szCs w:val="20"/>
              </w:rPr>
              <w:t>.</w:t>
            </w:r>
            <w:r w:rsidR="003E371A">
              <w:rPr>
                <w:rFonts w:ascii="Times New Roman" w:hAnsi="Times New Roman"/>
                <w:szCs w:val="20"/>
              </w:rPr>
              <w:t>The</w:t>
            </w:r>
            <w:proofErr w:type="spellEnd"/>
            <w:r w:rsidR="003E371A">
              <w:rPr>
                <w:rFonts w:ascii="Times New Roman" w:hAnsi="Times New Roman"/>
                <w:szCs w:val="20"/>
              </w:rPr>
              <w:t xml:space="preserve"> total amount of funding rolled-over on a daily basis shall be reported in column 220 of line item 1.1-1.31.</w:t>
            </w:r>
          </w:p>
          <w:p w:rsidR="005A40BE" w:rsidRPr="007F5684" w:rsidRDefault="005A40BE" w:rsidP="005A40BE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for </w:t>
            </w:r>
            <w:proofErr w:type="gramStart"/>
            <w:r w:rsidRPr="007F5684">
              <w:rPr>
                <w:rFonts w:ascii="Times New Roman" w:hAnsi="Times New Roman"/>
                <w:szCs w:val="20"/>
              </w:rPr>
              <w:t>a duration</w:t>
            </w:r>
            <w:proofErr w:type="gramEnd"/>
            <w:r w:rsidRPr="007F5684">
              <w:rPr>
                <w:rFonts w:ascii="Times New Roman" w:hAnsi="Times New Roman"/>
                <w:szCs w:val="20"/>
              </w:rPr>
              <w:t xml:space="preserve"> between three months and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230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5A40BE" w:rsidP="00224CAE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83BF9">
              <w:rPr>
                <w:rFonts w:ascii="Times New Roman" w:hAnsi="Times New Roman"/>
                <w:szCs w:val="20"/>
              </w:rPr>
              <w:t>240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250 to 280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5A40BE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&gt;</w:t>
            </w:r>
            <w:r w:rsidR="00ED41A4" w:rsidRPr="007F5684">
              <w:rPr>
                <w:rFonts w:ascii="Times New Roman" w:hAnsi="Times New Roman"/>
                <w:b/>
                <w:szCs w:val="20"/>
                <w:u w:val="single"/>
              </w:rPr>
              <w:t>6 Months</w:t>
            </w:r>
          </w:p>
          <w:p w:rsidR="007C6B89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funding maturing </w:t>
            </w:r>
            <w:r w:rsidR="005A40BE" w:rsidRPr="007F5684">
              <w:rPr>
                <w:rFonts w:ascii="Times New Roman" w:hAnsi="Times New Roman"/>
                <w:szCs w:val="20"/>
              </w:rPr>
              <w:t>beyond</w:t>
            </w:r>
            <w:r w:rsidRPr="007F5684">
              <w:rPr>
                <w:rFonts w:ascii="Times New Roman" w:hAnsi="Times New Roman"/>
                <w:szCs w:val="20"/>
              </w:rPr>
              <w:t xml:space="preserve">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250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 For months with less than 31 days, irrelevant lines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</w:t>
            </w:r>
            <w:r w:rsidR="009C1A02">
              <w:rPr>
                <w:rFonts w:ascii="Times New Roman" w:hAnsi="Times New Roman"/>
                <w:szCs w:val="20"/>
              </w:rPr>
              <w:t xml:space="preserve"> left empty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  <w:p w:rsidR="003E371A" w:rsidRPr="007F5684" w:rsidRDefault="003E371A" w:rsidP="007C6B89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The total amount of funding rolled-over on a daily basis shall be reported in column 260 of line item 1.1-1.31.</w:t>
            </w:r>
          </w:p>
          <w:p w:rsidR="007C6B89" w:rsidRPr="007F5684" w:rsidRDefault="007C6B89" w:rsidP="007C6B89">
            <w:pPr>
              <w:jc w:val="left"/>
              <w:rPr>
                <w:rFonts w:ascii="Times New Roman" w:hAnsi="Times New Roman"/>
                <w:szCs w:val="20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 xml:space="preserve">otal amount of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for </w:t>
            </w:r>
            <w:proofErr w:type="gramStart"/>
            <w:r w:rsidRPr="007F5684">
              <w:rPr>
                <w:rFonts w:ascii="Times New Roman" w:hAnsi="Times New Roman"/>
                <w:szCs w:val="20"/>
              </w:rPr>
              <w:t>a duration</w:t>
            </w:r>
            <w:proofErr w:type="gramEnd"/>
            <w:r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5A40BE" w:rsidRPr="007F5684">
              <w:rPr>
                <w:rFonts w:ascii="Times New Roman" w:hAnsi="Times New Roman"/>
                <w:szCs w:val="20"/>
              </w:rPr>
              <w:t>beyond</w:t>
            </w:r>
            <w:r w:rsidRPr="007F5684">
              <w:rPr>
                <w:rFonts w:ascii="Times New Roman" w:hAnsi="Times New Roman"/>
                <w:szCs w:val="20"/>
              </w:rPr>
              <w:t xml:space="preserve"> six months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270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  <w:p w:rsidR="00ED41A4" w:rsidRPr="007F5684" w:rsidRDefault="007C6B89" w:rsidP="00224CAE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net difference between maturing funding and new funding </w:t>
            </w:r>
            <w:r w:rsidR="00224CAE">
              <w:rPr>
                <w:rFonts w:ascii="Times New Roman" w:hAnsi="Times New Roman"/>
                <w:szCs w:val="20"/>
              </w:rPr>
              <w:t>obtained</w:t>
            </w:r>
            <w:r w:rsidR="00224CAE" w:rsidRPr="007F5684">
              <w:rPr>
                <w:rFonts w:ascii="Times New Roman" w:hAnsi="Times New Roman"/>
                <w:szCs w:val="20"/>
              </w:rPr>
              <w:t xml:space="preserve">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280</w:t>
            </w:r>
            <w:r w:rsidRPr="007F5684">
              <w:rPr>
                <w:rFonts w:ascii="Times New Roman" w:hAnsi="Times New Roman"/>
                <w:szCs w:val="20"/>
              </w:rPr>
              <w:t xml:space="preserve"> of line item 1.1-1.31.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290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Total net cash</w:t>
            </w:r>
            <w:r w:rsidR="00007D41">
              <w:rPr>
                <w:rFonts w:ascii="Times New Roman" w:hAnsi="Times New Roman"/>
                <w:b/>
                <w:szCs w:val="20"/>
                <w:u w:val="single"/>
              </w:rPr>
              <w:t xml:space="preserve"> </w:t>
            </w: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flows</w:t>
            </w:r>
          </w:p>
          <w:p w:rsidR="007C6B89" w:rsidRPr="007F5684" w:rsidRDefault="007C6B89" w:rsidP="00AC3BFE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>T</w:t>
            </w:r>
            <w:r w:rsidR="008C5FE9" w:rsidRPr="007F5684">
              <w:rPr>
                <w:rFonts w:ascii="Times New Roman" w:hAnsi="Times New Roman"/>
                <w:szCs w:val="20"/>
              </w:rPr>
              <w:t>he t</w:t>
            </w:r>
            <w:r w:rsidRPr="007F5684">
              <w:rPr>
                <w:rFonts w:ascii="Times New Roman" w:hAnsi="Times New Roman"/>
                <w:szCs w:val="20"/>
              </w:rPr>
              <w:t>otal net cash</w:t>
            </w:r>
            <w:r w:rsidR="00007D41">
              <w:rPr>
                <w:rFonts w:ascii="Times New Roman" w:hAnsi="Times New Roman"/>
                <w:szCs w:val="20"/>
              </w:rPr>
              <w:t xml:space="preserve"> </w:t>
            </w:r>
            <w:r w:rsidRPr="007F5684">
              <w:rPr>
                <w:rFonts w:ascii="Times New Roman" w:hAnsi="Times New Roman"/>
                <w:szCs w:val="20"/>
              </w:rPr>
              <w:t xml:space="preserve">flows equal to the sum of all ‘Net’ columns (i.e. </w:t>
            </w:r>
            <w:r w:rsidR="00AC3BFE">
              <w:rPr>
                <w:rFonts w:ascii="Times New Roman" w:hAnsi="Times New Roman"/>
                <w:szCs w:val="20"/>
              </w:rPr>
              <w:t>040+080+120+160+200+240+280</w:t>
            </w:r>
            <w:r w:rsidRPr="007F5684">
              <w:rPr>
                <w:rFonts w:ascii="Times New Roman" w:hAnsi="Times New Roman"/>
                <w:szCs w:val="20"/>
              </w:rPr>
              <w:t xml:space="preserve">)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AC3BFE">
              <w:rPr>
                <w:rFonts w:ascii="Times New Roman" w:hAnsi="Times New Roman"/>
                <w:szCs w:val="20"/>
              </w:rPr>
              <w:t>290</w:t>
            </w:r>
            <w:r w:rsidRPr="007F568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D41A4" w:rsidRPr="007F5684" w:rsidTr="00ED41A4">
        <w:trPr>
          <w:trHeight w:val="765"/>
        </w:trPr>
        <w:tc>
          <w:tcPr>
            <w:tcW w:w="729" w:type="pct"/>
            <w:shd w:val="clear" w:color="auto" w:fill="auto"/>
            <w:noWrap/>
          </w:tcPr>
          <w:p w:rsidR="00ED41A4" w:rsidRPr="007F5684" w:rsidRDefault="00BD24C1" w:rsidP="00BD24C1">
            <w:pPr>
              <w:spacing w:before="0" w:after="0"/>
              <w:jc w:val="left"/>
              <w:rPr>
                <w:rFonts w:ascii="Times New Roman" w:hAnsi="Times New Roman"/>
                <w:color w:val="000000"/>
                <w:szCs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en-GB"/>
              </w:rPr>
              <w:t>300 to 330</w:t>
            </w:r>
          </w:p>
        </w:tc>
        <w:tc>
          <w:tcPr>
            <w:tcW w:w="4271" w:type="pct"/>
            <w:shd w:val="clear" w:color="auto" w:fill="auto"/>
          </w:tcPr>
          <w:p w:rsidR="00ED41A4" w:rsidRPr="007F5684" w:rsidRDefault="00ED41A4" w:rsidP="00ED41A4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b/>
                <w:szCs w:val="20"/>
                <w:u w:val="single"/>
              </w:rPr>
              <w:t>Average Term (days)</w:t>
            </w:r>
          </w:p>
          <w:p w:rsidR="007C6B89" w:rsidRPr="007F5684" w:rsidRDefault="007C6B89" w:rsidP="00BD24C1">
            <w:pPr>
              <w:jc w:val="left"/>
              <w:rPr>
                <w:rFonts w:ascii="Times New Roman" w:hAnsi="Times New Roman"/>
                <w:b/>
                <w:szCs w:val="20"/>
                <w:u w:val="single"/>
              </w:rPr>
            </w:pPr>
            <w:r w:rsidRPr="007F5684">
              <w:rPr>
                <w:rFonts w:ascii="Times New Roman" w:hAnsi="Times New Roman"/>
                <w:szCs w:val="20"/>
              </w:rPr>
              <w:t xml:space="preserve">The weighted average term (in days) of all funds maturing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D24C1">
              <w:rPr>
                <w:rFonts w:ascii="Times New Roman" w:hAnsi="Times New Roman"/>
                <w:szCs w:val="20"/>
              </w:rPr>
              <w:t>300</w:t>
            </w:r>
            <w:r w:rsidRPr="007F5684">
              <w:rPr>
                <w:rFonts w:ascii="Times New Roman" w:hAnsi="Times New Roman"/>
                <w:szCs w:val="20"/>
              </w:rPr>
              <w:t xml:space="preserve">. </w:t>
            </w:r>
            <w:r w:rsidR="003E371A">
              <w:rPr>
                <w:rFonts w:ascii="Times New Roman" w:hAnsi="Times New Roman"/>
                <w:szCs w:val="20"/>
              </w:rPr>
              <w:t xml:space="preserve">The weighted average term (in days) of all funds rolled over shall be reported in column 310, </w:t>
            </w:r>
            <w:r w:rsidRPr="007F5684">
              <w:rPr>
                <w:rFonts w:ascii="Times New Roman" w:hAnsi="Times New Roman"/>
                <w:szCs w:val="20"/>
              </w:rPr>
              <w:t xml:space="preserve">the weighted average term (in days) of all new funds </w:t>
            </w:r>
            <w:r w:rsidR="006A7234" w:rsidRPr="007F5684">
              <w:rPr>
                <w:rFonts w:ascii="Times New Roman" w:hAnsi="Times New Roman"/>
                <w:szCs w:val="20"/>
              </w:rPr>
              <w:t>shall</w:t>
            </w:r>
            <w:r w:rsidRPr="007F5684">
              <w:rPr>
                <w:rFonts w:ascii="Times New Roman" w:hAnsi="Times New Roman"/>
                <w:szCs w:val="20"/>
              </w:rPr>
              <w:t xml:space="preserve"> be reported in column </w:t>
            </w:r>
            <w:r w:rsidR="00BD24C1">
              <w:rPr>
                <w:rFonts w:ascii="Times New Roman" w:hAnsi="Times New Roman"/>
                <w:szCs w:val="20"/>
              </w:rPr>
              <w:t>320</w:t>
            </w:r>
            <w:r w:rsidR="003E371A">
              <w:rPr>
                <w:rFonts w:ascii="Times New Roman" w:hAnsi="Times New Roman"/>
                <w:szCs w:val="20"/>
              </w:rPr>
              <w:t xml:space="preserve"> and the weighted average term (in days) for the total funding profile shall be reported in column 330.</w:t>
            </w:r>
          </w:p>
        </w:tc>
      </w:tr>
    </w:tbl>
    <w:p w:rsidR="00ED41A4" w:rsidRPr="00ED41A4" w:rsidRDefault="00ED41A4" w:rsidP="00ED41A4">
      <w:pPr>
        <w:pStyle w:val="InstructionsText2"/>
        <w:numPr>
          <w:ilvl w:val="0"/>
          <w:numId w:val="0"/>
        </w:numPr>
        <w:rPr>
          <w:u w:val="none"/>
        </w:rPr>
      </w:pPr>
    </w:p>
    <w:sectPr w:rsidR="00ED41A4" w:rsidRPr="00ED41A4" w:rsidSect="00FD1CD2">
      <w:pgSz w:w="11906" w:h="16838"/>
      <w:pgMar w:top="1440" w:right="1800" w:bottom="1440" w:left="1800" w:header="130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9D" w:rsidRDefault="00E0539D">
      <w:r>
        <w:separator/>
      </w:r>
    </w:p>
  </w:endnote>
  <w:endnote w:type="continuationSeparator" w:id="0">
    <w:p w:rsidR="00E0539D" w:rsidRDefault="00E0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9D" w:rsidRDefault="00E0539D">
      <w:r>
        <w:separator/>
      </w:r>
    </w:p>
  </w:footnote>
  <w:footnote w:type="continuationSeparator" w:id="0">
    <w:p w:rsidR="00E0539D" w:rsidRDefault="00E0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208F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">
    <w:nsid w:val="043D5720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">
    <w:nsid w:val="058D2501"/>
    <w:multiLevelType w:val="multilevel"/>
    <w:tmpl w:val="ABB242F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3">
    <w:nsid w:val="0BE619A9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4">
    <w:nsid w:val="179E3A92"/>
    <w:multiLevelType w:val="multilevel"/>
    <w:tmpl w:val="574C786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5">
    <w:nsid w:val="1B084130"/>
    <w:multiLevelType w:val="multilevel"/>
    <w:tmpl w:val="6B088E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6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F81BD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3674DE4"/>
    <w:multiLevelType w:val="multilevel"/>
    <w:tmpl w:val="3E1C1DAC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8">
    <w:nsid w:val="24A74FA7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9">
    <w:nsid w:val="26387793"/>
    <w:multiLevelType w:val="multilevel"/>
    <w:tmpl w:val="574C786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0">
    <w:nsid w:val="2C29681E"/>
    <w:multiLevelType w:val="multilevel"/>
    <w:tmpl w:val="1C52F916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1">
    <w:nsid w:val="33057CB8"/>
    <w:multiLevelType w:val="hybridMultilevel"/>
    <w:tmpl w:val="1BD64C78"/>
    <w:lvl w:ilvl="0" w:tplc="236EA62C">
      <w:start w:val="1"/>
      <w:numFmt w:val="decimal"/>
      <w:pStyle w:val="InstructionsText2"/>
      <w:lvlText w:val="%1."/>
      <w:lvlJc w:val="left"/>
      <w:pPr>
        <w:ind w:left="720" w:hanging="360"/>
      </w:pPr>
    </w:lvl>
    <w:lvl w:ilvl="1" w:tplc="DABE385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8287F7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81F9C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3">
    <w:nsid w:val="4EE02518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4">
    <w:nsid w:val="528A4FD9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5">
    <w:nsid w:val="55AB371B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16">
    <w:nsid w:val="62D85371"/>
    <w:multiLevelType w:val="hybridMultilevel"/>
    <w:tmpl w:val="B0E0EE44"/>
    <w:lvl w:ilvl="0" w:tplc="CD3AC596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64BE1E33"/>
    <w:multiLevelType w:val="multilevel"/>
    <w:tmpl w:val="D29C4E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8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</w:lvl>
    <w:lvl w:ilvl="3" w:tplc="21C6EF3C" w:tentative="1">
      <w:start w:val="1"/>
      <w:numFmt w:val="decimal"/>
      <w:lvlText w:val="%4."/>
      <w:lvlJc w:val="left"/>
      <w:pPr>
        <w:ind w:left="2880" w:hanging="360"/>
      </w:p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</w:lvl>
    <w:lvl w:ilvl="6" w:tplc="84CCF45A" w:tentative="1">
      <w:start w:val="1"/>
      <w:numFmt w:val="decimal"/>
      <w:lvlText w:val="%7."/>
      <w:lvlJc w:val="left"/>
      <w:pPr>
        <w:ind w:left="5040" w:hanging="360"/>
      </w:p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61726"/>
    <w:multiLevelType w:val="multilevel"/>
    <w:tmpl w:val="5D4CC1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1434"/>
        </w:tabs>
        <w:ind w:left="143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20">
    <w:nsid w:val="69C97FF4"/>
    <w:multiLevelType w:val="multilevel"/>
    <w:tmpl w:val="1C28AC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1">
    <w:nsid w:val="76DC309E"/>
    <w:multiLevelType w:val="multilevel"/>
    <w:tmpl w:val="9542A63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abstractNum w:abstractNumId="22">
    <w:nsid w:val="7F8E441D"/>
    <w:multiLevelType w:val="multilevel"/>
    <w:tmpl w:val="D7BE54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" w:hanging="357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22"/>
  </w:num>
  <w:num w:numId="5">
    <w:abstractNumId w:val="21"/>
  </w:num>
  <w:num w:numId="6">
    <w:abstractNumId w:val="13"/>
  </w:num>
  <w:num w:numId="7">
    <w:abstractNumId w:val="3"/>
  </w:num>
  <w:num w:numId="8">
    <w:abstractNumId w:val="12"/>
  </w:num>
  <w:num w:numId="9">
    <w:abstractNumId w:val="9"/>
  </w:num>
  <w:num w:numId="10">
    <w:abstractNumId w:val="20"/>
  </w:num>
  <w:num w:numId="11">
    <w:abstractNumId w:val="1"/>
  </w:num>
  <w:num w:numId="12">
    <w:abstractNumId w:val="0"/>
  </w:num>
  <w:num w:numId="13">
    <w:abstractNumId w:val="14"/>
  </w:num>
  <w:num w:numId="14">
    <w:abstractNumId w:val="7"/>
  </w:num>
  <w:num w:numId="15">
    <w:abstractNumId w:val="10"/>
  </w:num>
  <w:num w:numId="16">
    <w:abstractNumId w:val="15"/>
  </w:num>
  <w:num w:numId="17">
    <w:abstractNumId w:val="19"/>
  </w:num>
  <w:num w:numId="18">
    <w:abstractNumId w:val="8"/>
  </w:num>
  <w:num w:numId="19">
    <w:abstractNumId w:val="11"/>
  </w:num>
  <w:num w:numId="20">
    <w:abstractNumId w:val="11"/>
  </w:num>
  <w:num w:numId="21">
    <w:abstractNumId w:val="5"/>
  </w:num>
  <w:num w:numId="22">
    <w:abstractNumId w:val="2"/>
  </w:num>
  <w:num w:numId="23">
    <w:abstractNumId w:val="11"/>
  </w:num>
  <w:num w:numId="24">
    <w:abstractNumId w:val="11"/>
  </w:num>
  <w:num w:numId="25">
    <w:abstractNumId w:val="6"/>
  </w:num>
  <w:num w:numId="26">
    <w:abstractNumId w:val="4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</w:num>
  <w:num w:numId="37">
    <w:abstractNumId w:val="16"/>
  </w:num>
  <w:num w:numId="38">
    <w:abstractNumId w:val="11"/>
  </w:num>
  <w:num w:numId="39">
    <w:abstractNumId w:val="11"/>
  </w:num>
  <w:num w:numId="4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E4"/>
    <w:rsid w:val="00003323"/>
    <w:rsid w:val="00007D41"/>
    <w:rsid w:val="000109BC"/>
    <w:rsid w:val="0001172F"/>
    <w:rsid w:val="00016B30"/>
    <w:rsid w:val="00017710"/>
    <w:rsid w:val="000257D9"/>
    <w:rsid w:val="000275A3"/>
    <w:rsid w:val="00032055"/>
    <w:rsid w:val="00032AC7"/>
    <w:rsid w:val="0003410D"/>
    <w:rsid w:val="00036812"/>
    <w:rsid w:val="00042E1E"/>
    <w:rsid w:val="000473FA"/>
    <w:rsid w:val="000502BD"/>
    <w:rsid w:val="0005230B"/>
    <w:rsid w:val="00060360"/>
    <w:rsid w:val="000761EA"/>
    <w:rsid w:val="00084050"/>
    <w:rsid w:val="000A22EF"/>
    <w:rsid w:val="000A676C"/>
    <w:rsid w:val="000B288B"/>
    <w:rsid w:val="000B2BA0"/>
    <w:rsid w:val="000B45B9"/>
    <w:rsid w:val="000B5A28"/>
    <w:rsid w:val="000B7DC9"/>
    <w:rsid w:val="000C3837"/>
    <w:rsid w:val="000C45A2"/>
    <w:rsid w:val="000D04E1"/>
    <w:rsid w:val="000D18F9"/>
    <w:rsid w:val="000E43D6"/>
    <w:rsid w:val="000F0DF9"/>
    <w:rsid w:val="000F32F6"/>
    <w:rsid w:val="00100F57"/>
    <w:rsid w:val="00104F31"/>
    <w:rsid w:val="0011112D"/>
    <w:rsid w:val="001126F1"/>
    <w:rsid w:val="001128AA"/>
    <w:rsid w:val="00126802"/>
    <w:rsid w:val="0013252E"/>
    <w:rsid w:val="00143B75"/>
    <w:rsid w:val="001456E6"/>
    <w:rsid w:val="00147C46"/>
    <w:rsid w:val="001507A4"/>
    <w:rsid w:val="00155567"/>
    <w:rsid w:val="0016014D"/>
    <w:rsid w:val="00162424"/>
    <w:rsid w:val="0017142A"/>
    <w:rsid w:val="00172727"/>
    <w:rsid w:val="00174208"/>
    <w:rsid w:val="00174660"/>
    <w:rsid w:val="001754E1"/>
    <w:rsid w:val="00181260"/>
    <w:rsid w:val="0019013A"/>
    <w:rsid w:val="001922E6"/>
    <w:rsid w:val="001A331C"/>
    <w:rsid w:val="001B5CC0"/>
    <w:rsid w:val="001C4004"/>
    <w:rsid w:val="001D2E2C"/>
    <w:rsid w:val="001E385E"/>
    <w:rsid w:val="001F5BAD"/>
    <w:rsid w:val="001F6807"/>
    <w:rsid w:val="001F787F"/>
    <w:rsid w:val="00203985"/>
    <w:rsid w:val="00217076"/>
    <w:rsid w:val="002237BD"/>
    <w:rsid w:val="00223C2C"/>
    <w:rsid w:val="00224CAE"/>
    <w:rsid w:val="002352E7"/>
    <w:rsid w:val="00235A84"/>
    <w:rsid w:val="002403E3"/>
    <w:rsid w:val="00242FE4"/>
    <w:rsid w:val="00245F6F"/>
    <w:rsid w:val="0026098F"/>
    <w:rsid w:val="00262B14"/>
    <w:rsid w:val="0026454F"/>
    <w:rsid w:val="00270986"/>
    <w:rsid w:val="00274077"/>
    <w:rsid w:val="0027646A"/>
    <w:rsid w:val="0029485D"/>
    <w:rsid w:val="00294CE9"/>
    <w:rsid w:val="00296254"/>
    <w:rsid w:val="002A1620"/>
    <w:rsid w:val="002A24DB"/>
    <w:rsid w:val="002A575B"/>
    <w:rsid w:val="002A71AB"/>
    <w:rsid w:val="002A7582"/>
    <w:rsid w:val="002B09BC"/>
    <w:rsid w:val="002C154A"/>
    <w:rsid w:val="002C34E6"/>
    <w:rsid w:val="002E0FBD"/>
    <w:rsid w:val="002F687B"/>
    <w:rsid w:val="00301708"/>
    <w:rsid w:val="003040AA"/>
    <w:rsid w:val="00313B00"/>
    <w:rsid w:val="00315C5E"/>
    <w:rsid w:val="00317DC4"/>
    <w:rsid w:val="00327A13"/>
    <w:rsid w:val="00331993"/>
    <w:rsid w:val="0033279C"/>
    <w:rsid w:val="00340393"/>
    <w:rsid w:val="003412B3"/>
    <w:rsid w:val="00350137"/>
    <w:rsid w:val="0035239A"/>
    <w:rsid w:val="00366EC4"/>
    <w:rsid w:val="003719B4"/>
    <w:rsid w:val="00380C76"/>
    <w:rsid w:val="00385DC8"/>
    <w:rsid w:val="0038768C"/>
    <w:rsid w:val="00392C32"/>
    <w:rsid w:val="00397ABE"/>
    <w:rsid w:val="003A0D73"/>
    <w:rsid w:val="003A4AA3"/>
    <w:rsid w:val="003B4362"/>
    <w:rsid w:val="003B54AC"/>
    <w:rsid w:val="003B5902"/>
    <w:rsid w:val="003B5E4E"/>
    <w:rsid w:val="003B5F96"/>
    <w:rsid w:val="003B7F4E"/>
    <w:rsid w:val="003C1F55"/>
    <w:rsid w:val="003C6A18"/>
    <w:rsid w:val="003D0976"/>
    <w:rsid w:val="003D2C8A"/>
    <w:rsid w:val="003D41F7"/>
    <w:rsid w:val="003D627C"/>
    <w:rsid w:val="003D6D3D"/>
    <w:rsid w:val="003E371A"/>
    <w:rsid w:val="003E50B7"/>
    <w:rsid w:val="003F0706"/>
    <w:rsid w:val="003F1434"/>
    <w:rsid w:val="003F37A5"/>
    <w:rsid w:val="00402D60"/>
    <w:rsid w:val="004127AC"/>
    <w:rsid w:val="004173CF"/>
    <w:rsid w:val="0043033C"/>
    <w:rsid w:val="00432D9F"/>
    <w:rsid w:val="00436A29"/>
    <w:rsid w:val="004379DA"/>
    <w:rsid w:val="00440C0A"/>
    <w:rsid w:val="00441A60"/>
    <w:rsid w:val="00455BBB"/>
    <w:rsid w:val="00455CE5"/>
    <w:rsid w:val="00472557"/>
    <w:rsid w:val="004748D6"/>
    <w:rsid w:val="00477625"/>
    <w:rsid w:val="00487DD3"/>
    <w:rsid w:val="00493BAC"/>
    <w:rsid w:val="004A584F"/>
    <w:rsid w:val="004A6491"/>
    <w:rsid w:val="004B0C66"/>
    <w:rsid w:val="004B5FB9"/>
    <w:rsid w:val="004B7BE6"/>
    <w:rsid w:val="004C3B19"/>
    <w:rsid w:val="004C3E5C"/>
    <w:rsid w:val="004C6B4F"/>
    <w:rsid w:val="004C7F74"/>
    <w:rsid w:val="004D0CA9"/>
    <w:rsid w:val="004D51D0"/>
    <w:rsid w:val="004E23F1"/>
    <w:rsid w:val="004F085D"/>
    <w:rsid w:val="004F50F4"/>
    <w:rsid w:val="004F6C3F"/>
    <w:rsid w:val="00500809"/>
    <w:rsid w:val="0050144D"/>
    <w:rsid w:val="005048E9"/>
    <w:rsid w:val="0050708F"/>
    <w:rsid w:val="00510487"/>
    <w:rsid w:val="00516EE0"/>
    <w:rsid w:val="005222CE"/>
    <w:rsid w:val="005277AA"/>
    <w:rsid w:val="00530802"/>
    <w:rsid w:val="00540C96"/>
    <w:rsid w:val="00544A62"/>
    <w:rsid w:val="005537CE"/>
    <w:rsid w:val="00556DCD"/>
    <w:rsid w:val="00557135"/>
    <w:rsid w:val="00561DD9"/>
    <w:rsid w:val="00564FAC"/>
    <w:rsid w:val="00565D1E"/>
    <w:rsid w:val="0057741E"/>
    <w:rsid w:val="005815BE"/>
    <w:rsid w:val="005816E8"/>
    <w:rsid w:val="00584AF0"/>
    <w:rsid w:val="00584FCE"/>
    <w:rsid w:val="005A40BE"/>
    <w:rsid w:val="005B0C3C"/>
    <w:rsid w:val="005B47BD"/>
    <w:rsid w:val="005B58D2"/>
    <w:rsid w:val="005B6F53"/>
    <w:rsid w:val="005D249C"/>
    <w:rsid w:val="005D5337"/>
    <w:rsid w:val="005D5C0B"/>
    <w:rsid w:val="005E3727"/>
    <w:rsid w:val="005E6140"/>
    <w:rsid w:val="005E6B42"/>
    <w:rsid w:val="005E7F28"/>
    <w:rsid w:val="005F3E51"/>
    <w:rsid w:val="005F4FE0"/>
    <w:rsid w:val="006000DF"/>
    <w:rsid w:val="00600B36"/>
    <w:rsid w:val="00610C25"/>
    <w:rsid w:val="0061365F"/>
    <w:rsid w:val="00613F86"/>
    <w:rsid w:val="00613FC0"/>
    <w:rsid w:val="00616BFA"/>
    <w:rsid w:val="00616D31"/>
    <w:rsid w:val="0062073A"/>
    <w:rsid w:val="006242C9"/>
    <w:rsid w:val="00635DC7"/>
    <w:rsid w:val="0064308D"/>
    <w:rsid w:val="006508B3"/>
    <w:rsid w:val="00652D30"/>
    <w:rsid w:val="00657CA9"/>
    <w:rsid w:val="00665B17"/>
    <w:rsid w:val="00667FEE"/>
    <w:rsid w:val="0067111B"/>
    <w:rsid w:val="006761DC"/>
    <w:rsid w:val="00681960"/>
    <w:rsid w:val="00687C6A"/>
    <w:rsid w:val="006935AA"/>
    <w:rsid w:val="006942B2"/>
    <w:rsid w:val="006A0084"/>
    <w:rsid w:val="006A5806"/>
    <w:rsid w:val="006A7234"/>
    <w:rsid w:val="006C4D88"/>
    <w:rsid w:val="006D1965"/>
    <w:rsid w:val="006D7758"/>
    <w:rsid w:val="006E6767"/>
    <w:rsid w:val="006F651B"/>
    <w:rsid w:val="007074DB"/>
    <w:rsid w:val="007103AD"/>
    <w:rsid w:val="00711871"/>
    <w:rsid w:val="00712B67"/>
    <w:rsid w:val="00727410"/>
    <w:rsid w:val="007359FE"/>
    <w:rsid w:val="00735EFC"/>
    <w:rsid w:val="00737FA8"/>
    <w:rsid w:val="0075488E"/>
    <w:rsid w:val="0077329F"/>
    <w:rsid w:val="00775422"/>
    <w:rsid w:val="00775828"/>
    <w:rsid w:val="00775F73"/>
    <w:rsid w:val="007764E5"/>
    <w:rsid w:val="007778A0"/>
    <w:rsid w:val="0077793E"/>
    <w:rsid w:val="007809C6"/>
    <w:rsid w:val="007823C2"/>
    <w:rsid w:val="00783120"/>
    <w:rsid w:val="00783AE6"/>
    <w:rsid w:val="00784AE2"/>
    <w:rsid w:val="00786634"/>
    <w:rsid w:val="00792387"/>
    <w:rsid w:val="00795808"/>
    <w:rsid w:val="00795B89"/>
    <w:rsid w:val="007A3F5F"/>
    <w:rsid w:val="007A5E1D"/>
    <w:rsid w:val="007A6BC6"/>
    <w:rsid w:val="007B18A5"/>
    <w:rsid w:val="007B1E78"/>
    <w:rsid w:val="007C1380"/>
    <w:rsid w:val="007C2CF7"/>
    <w:rsid w:val="007C6B89"/>
    <w:rsid w:val="007D3E81"/>
    <w:rsid w:val="007E35CC"/>
    <w:rsid w:val="007E4564"/>
    <w:rsid w:val="007E45CF"/>
    <w:rsid w:val="007F1A5A"/>
    <w:rsid w:val="007F2A5B"/>
    <w:rsid w:val="007F5684"/>
    <w:rsid w:val="0081105A"/>
    <w:rsid w:val="00822C02"/>
    <w:rsid w:val="00822CBC"/>
    <w:rsid w:val="0082643B"/>
    <w:rsid w:val="0083376D"/>
    <w:rsid w:val="00834FEF"/>
    <w:rsid w:val="0084065D"/>
    <w:rsid w:val="00845767"/>
    <w:rsid w:val="00847872"/>
    <w:rsid w:val="00853590"/>
    <w:rsid w:val="0085361D"/>
    <w:rsid w:val="00856DF7"/>
    <w:rsid w:val="00860F92"/>
    <w:rsid w:val="00861C38"/>
    <w:rsid w:val="00874AD1"/>
    <w:rsid w:val="008805C2"/>
    <w:rsid w:val="00882C3B"/>
    <w:rsid w:val="008A5A8E"/>
    <w:rsid w:val="008A6BEE"/>
    <w:rsid w:val="008A6DB0"/>
    <w:rsid w:val="008A7BBD"/>
    <w:rsid w:val="008B0FFF"/>
    <w:rsid w:val="008B6F84"/>
    <w:rsid w:val="008C2A4F"/>
    <w:rsid w:val="008C5FE9"/>
    <w:rsid w:val="008C6044"/>
    <w:rsid w:val="008C6E36"/>
    <w:rsid w:val="008C7508"/>
    <w:rsid w:val="008E246F"/>
    <w:rsid w:val="008F1100"/>
    <w:rsid w:val="008F713F"/>
    <w:rsid w:val="008F741B"/>
    <w:rsid w:val="009032C6"/>
    <w:rsid w:val="009033C4"/>
    <w:rsid w:val="00903920"/>
    <w:rsid w:val="00905BEA"/>
    <w:rsid w:val="00915FB9"/>
    <w:rsid w:val="00917EBF"/>
    <w:rsid w:val="00941293"/>
    <w:rsid w:val="009439F8"/>
    <w:rsid w:val="0094416B"/>
    <w:rsid w:val="00967FEB"/>
    <w:rsid w:val="009716FC"/>
    <w:rsid w:val="00973AB9"/>
    <w:rsid w:val="00984332"/>
    <w:rsid w:val="00984E98"/>
    <w:rsid w:val="00993639"/>
    <w:rsid w:val="009A007E"/>
    <w:rsid w:val="009A1AF1"/>
    <w:rsid w:val="009A1C01"/>
    <w:rsid w:val="009A329A"/>
    <w:rsid w:val="009A7D3C"/>
    <w:rsid w:val="009C0493"/>
    <w:rsid w:val="009C1A02"/>
    <w:rsid w:val="009C7466"/>
    <w:rsid w:val="009D10DD"/>
    <w:rsid w:val="009D253B"/>
    <w:rsid w:val="009D4C95"/>
    <w:rsid w:val="009E3431"/>
    <w:rsid w:val="009E68DD"/>
    <w:rsid w:val="009E6B2D"/>
    <w:rsid w:val="009F10A9"/>
    <w:rsid w:val="00A007A8"/>
    <w:rsid w:val="00A05C63"/>
    <w:rsid w:val="00A11BBD"/>
    <w:rsid w:val="00A16318"/>
    <w:rsid w:val="00A17921"/>
    <w:rsid w:val="00A211F3"/>
    <w:rsid w:val="00A34A28"/>
    <w:rsid w:val="00A366AF"/>
    <w:rsid w:val="00A37110"/>
    <w:rsid w:val="00A4093C"/>
    <w:rsid w:val="00A41693"/>
    <w:rsid w:val="00A439AE"/>
    <w:rsid w:val="00A45DCF"/>
    <w:rsid w:val="00A4773A"/>
    <w:rsid w:val="00A50B28"/>
    <w:rsid w:val="00A51CE6"/>
    <w:rsid w:val="00A52505"/>
    <w:rsid w:val="00A56552"/>
    <w:rsid w:val="00A70F42"/>
    <w:rsid w:val="00A85919"/>
    <w:rsid w:val="00AA444D"/>
    <w:rsid w:val="00AB511C"/>
    <w:rsid w:val="00AB5B18"/>
    <w:rsid w:val="00AC3BFE"/>
    <w:rsid w:val="00AC4973"/>
    <w:rsid w:val="00AC59C8"/>
    <w:rsid w:val="00AE1776"/>
    <w:rsid w:val="00AE4DC6"/>
    <w:rsid w:val="00AE57CE"/>
    <w:rsid w:val="00AE7A7C"/>
    <w:rsid w:val="00AF1439"/>
    <w:rsid w:val="00AF270F"/>
    <w:rsid w:val="00B00D6E"/>
    <w:rsid w:val="00B01BCD"/>
    <w:rsid w:val="00B0397B"/>
    <w:rsid w:val="00B05DAC"/>
    <w:rsid w:val="00B115F0"/>
    <w:rsid w:val="00B25A1B"/>
    <w:rsid w:val="00B25A8F"/>
    <w:rsid w:val="00B261DB"/>
    <w:rsid w:val="00B37656"/>
    <w:rsid w:val="00B44BEB"/>
    <w:rsid w:val="00B5260F"/>
    <w:rsid w:val="00B61B93"/>
    <w:rsid w:val="00B664FB"/>
    <w:rsid w:val="00B7256A"/>
    <w:rsid w:val="00B77BC1"/>
    <w:rsid w:val="00B83BF9"/>
    <w:rsid w:val="00B8464D"/>
    <w:rsid w:val="00B86EF3"/>
    <w:rsid w:val="00B8775C"/>
    <w:rsid w:val="00BA7966"/>
    <w:rsid w:val="00BD24C1"/>
    <w:rsid w:val="00BD5CAC"/>
    <w:rsid w:val="00BF2952"/>
    <w:rsid w:val="00BF7037"/>
    <w:rsid w:val="00C0050B"/>
    <w:rsid w:val="00C079B7"/>
    <w:rsid w:val="00C116F4"/>
    <w:rsid w:val="00C20ADC"/>
    <w:rsid w:val="00C21AFF"/>
    <w:rsid w:val="00C31512"/>
    <w:rsid w:val="00C32630"/>
    <w:rsid w:val="00C334A1"/>
    <w:rsid w:val="00C40DC8"/>
    <w:rsid w:val="00C4472D"/>
    <w:rsid w:val="00C549F7"/>
    <w:rsid w:val="00C56B32"/>
    <w:rsid w:val="00C633BF"/>
    <w:rsid w:val="00C649CE"/>
    <w:rsid w:val="00C65E28"/>
    <w:rsid w:val="00C70407"/>
    <w:rsid w:val="00C7615B"/>
    <w:rsid w:val="00C854E6"/>
    <w:rsid w:val="00C85FA6"/>
    <w:rsid w:val="00C93CDB"/>
    <w:rsid w:val="00CA44A9"/>
    <w:rsid w:val="00CC075F"/>
    <w:rsid w:val="00CC4622"/>
    <w:rsid w:val="00CC5F0C"/>
    <w:rsid w:val="00CC72E1"/>
    <w:rsid w:val="00CD0CF5"/>
    <w:rsid w:val="00CD37EB"/>
    <w:rsid w:val="00CD413A"/>
    <w:rsid w:val="00CD5D3A"/>
    <w:rsid w:val="00CE0E41"/>
    <w:rsid w:val="00CE333E"/>
    <w:rsid w:val="00CE34DF"/>
    <w:rsid w:val="00CE3BDB"/>
    <w:rsid w:val="00CE49E3"/>
    <w:rsid w:val="00CF04F0"/>
    <w:rsid w:val="00CF3ECE"/>
    <w:rsid w:val="00CF44ED"/>
    <w:rsid w:val="00D018AE"/>
    <w:rsid w:val="00D02D53"/>
    <w:rsid w:val="00D02FE4"/>
    <w:rsid w:val="00D079A1"/>
    <w:rsid w:val="00D12E38"/>
    <w:rsid w:val="00D465FB"/>
    <w:rsid w:val="00D468AB"/>
    <w:rsid w:val="00D479FD"/>
    <w:rsid w:val="00D60F58"/>
    <w:rsid w:val="00D71AC6"/>
    <w:rsid w:val="00D7280B"/>
    <w:rsid w:val="00DA76E3"/>
    <w:rsid w:val="00DB0D87"/>
    <w:rsid w:val="00DB3C37"/>
    <w:rsid w:val="00DC14B6"/>
    <w:rsid w:val="00DC4E51"/>
    <w:rsid w:val="00DC68D4"/>
    <w:rsid w:val="00DC7D6C"/>
    <w:rsid w:val="00DD0ADF"/>
    <w:rsid w:val="00DD1BB6"/>
    <w:rsid w:val="00DD5897"/>
    <w:rsid w:val="00DD7A78"/>
    <w:rsid w:val="00DE09C3"/>
    <w:rsid w:val="00DE0BC0"/>
    <w:rsid w:val="00DE1247"/>
    <w:rsid w:val="00DE7034"/>
    <w:rsid w:val="00DF1814"/>
    <w:rsid w:val="00DF637D"/>
    <w:rsid w:val="00E0539D"/>
    <w:rsid w:val="00E122AF"/>
    <w:rsid w:val="00E13119"/>
    <w:rsid w:val="00E147D3"/>
    <w:rsid w:val="00E179DF"/>
    <w:rsid w:val="00E17B5E"/>
    <w:rsid w:val="00E23238"/>
    <w:rsid w:val="00E251C6"/>
    <w:rsid w:val="00E263EA"/>
    <w:rsid w:val="00E332B3"/>
    <w:rsid w:val="00E40009"/>
    <w:rsid w:val="00E42487"/>
    <w:rsid w:val="00E438CE"/>
    <w:rsid w:val="00E47DCC"/>
    <w:rsid w:val="00E5380D"/>
    <w:rsid w:val="00E542C4"/>
    <w:rsid w:val="00E600BD"/>
    <w:rsid w:val="00E61B2A"/>
    <w:rsid w:val="00E7382F"/>
    <w:rsid w:val="00E82B0B"/>
    <w:rsid w:val="00E851E7"/>
    <w:rsid w:val="00E872E3"/>
    <w:rsid w:val="00EA16D9"/>
    <w:rsid w:val="00EA295B"/>
    <w:rsid w:val="00EB74E5"/>
    <w:rsid w:val="00EC7812"/>
    <w:rsid w:val="00ED04E4"/>
    <w:rsid w:val="00ED28A5"/>
    <w:rsid w:val="00ED2EE2"/>
    <w:rsid w:val="00ED41A4"/>
    <w:rsid w:val="00ED6567"/>
    <w:rsid w:val="00EF01F9"/>
    <w:rsid w:val="00EF3B32"/>
    <w:rsid w:val="00F16DD6"/>
    <w:rsid w:val="00F26C5B"/>
    <w:rsid w:val="00F35864"/>
    <w:rsid w:val="00F40DDD"/>
    <w:rsid w:val="00F60EBD"/>
    <w:rsid w:val="00F63871"/>
    <w:rsid w:val="00F641F7"/>
    <w:rsid w:val="00F726D6"/>
    <w:rsid w:val="00F73C93"/>
    <w:rsid w:val="00F8179F"/>
    <w:rsid w:val="00F90BC3"/>
    <w:rsid w:val="00F930B6"/>
    <w:rsid w:val="00F9633E"/>
    <w:rsid w:val="00F976A1"/>
    <w:rsid w:val="00FA3DF6"/>
    <w:rsid w:val="00FB19FD"/>
    <w:rsid w:val="00FB23B6"/>
    <w:rsid w:val="00FB793B"/>
    <w:rsid w:val="00FB7E07"/>
    <w:rsid w:val="00FC0D7C"/>
    <w:rsid w:val="00FD1CD2"/>
    <w:rsid w:val="00FD37BD"/>
    <w:rsid w:val="00FE0A24"/>
    <w:rsid w:val="00FE1C81"/>
    <w:rsid w:val="00FF20D9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FE4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56D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3E2E98"/>
      <w:kern w:val="36"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02FE4"/>
    <w:pPr>
      <w:keepNext/>
      <w:spacing w:before="240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uiPriority w:val="9"/>
    <w:qFormat/>
    <w:rsid w:val="00556DC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777777"/>
      <w:sz w:val="26"/>
      <w:szCs w:val="2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56DCD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444444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styleId="FootnoteText">
    <w:name w:val="footnote text"/>
    <w:aliases w:val="Fußnote, Char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paragraph" w:customStyle="1" w:styleId="InstructionsText2">
    <w:name w:val="Instructions Text 2"/>
    <w:basedOn w:val="InstructionsText"/>
    <w:qFormat/>
    <w:rsid w:val="00D02FE4"/>
    <w:pPr>
      <w:numPr>
        <w:numId w:val="3"/>
      </w:numPr>
      <w:spacing w:after="24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character" w:styleId="Hyperlink">
    <w:name w:val="Hyperlink"/>
    <w:basedOn w:val="DefaultParagraphFont"/>
    <w:uiPriority w:val="99"/>
    <w:unhideWhenUsed/>
    <w:rsid w:val="0035239A"/>
    <w:rPr>
      <w:color w:val="0000FF"/>
      <w:u w:val="single"/>
    </w:rPr>
  </w:style>
  <w:style w:type="table" w:styleId="TableGrid">
    <w:name w:val="Table Grid"/>
    <w:basedOn w:val="TableNormal"/>
    <w:rsid w:val="000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6DCD"/>
    <w:rPr>
      <w:b/>
      <w:bCs/>
      <w:color w:val="3E2E98"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6DCD"/>
    <w:rPr>
      <w:b/>
      <w:bCs/>
      <w:color w:val="777777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6DCD"/>
    <w:rPr>
      <w:b/>
      <w:bCs/>
      <w:color w:val="444444"/>
      <w:sz w:val="24"/>
      <w:szCs w:val="24"/>
    </w:rPr>
  </w:style>
  <w:style w:type="paragraph" w:customStyle="1" w:styleId="Numberedheadinglevel1">
    <w:name w:val="Numbered heading level 1"/>
    <w:basedOn w:val="Normal"/>
    <w:next w:val="Normal"/>
    <w:qFormat/>
    <w:rsid w:val="00A56552"/>
    <w:pPr>
      <w:numPr>
        <w:numId w:val="25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A56552"/>
    <w:pPr>
      <w:numPr>
        <w:ilvl w:val="1"/>
        <w:numId w:val="25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A56552"/>
    <w:pPr>
      <w:numPr>
        <w:ilvl w:val="2"/>
        <w:numId w:val="25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styleId="FollowedHyperlink">
    <w:name w:val="FollowedHyperlink"/>
    <w:basedOn w:val="DefaultParagraphFont"/>
    <w:uiPriority w:val="99"/>
    <w:rsid w:val="00FB7E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16B"/>
    <w:pPr>
      <w:ind w:left="720"/>
      <w:contextualSpacing/>
    </w:pPr>
  </w:style>
  <w:style w:type="paragraph" w:customStyle="1" w:styleId="DocTitle">
    <w:name w:val="Doc Title"/>
    <w:basedOn w:val="Normal"/>
    <w:qFormat/>
    <w:rsid w:val="00DC14B6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DC14B6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styleId="Header">
    <w:name w:val="header"/>
    <w:basedOn w:val="Normal"/>
    <w:link w:val="HeaderChar"/>
    <w:rsid w:val="00DC14B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C14B6"/>
    <w:rPr>
      <w:rFonts w:ascii="Verdana" w:hAnsi="Verdana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FE4"/>
    <w:pPr>
      <w:spacing w:before="120" w:after="120"/>
      <w:jc w:val="both"/>
    </w:pPr>
    <w:rPr>
      <w:rFonts w:ascii="Verdana" w:hAnsi="Verdana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556D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3E2E98"/>
      <w:kern w:val="36"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02FE4"/>
    <w:pPr>
      <w:keepNext/>
      <w:spacing w:before="240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uiPriority w:val="9"/>
    <w:qFormat/>
    <w:rsid w:val="00556DC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777777"/>
      <w:sz w:val="26"/>
      <w:szCs w:val="2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56DCD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444444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2FE4"/>
    <w:rPr>
      <w:rFonts w:ascii="Verdana" w:hAnsi="Verdana"/>
      <w:b/>
      <w:sz w:val="24"/>
      <w:szCs w:val="24"/>
      <w:lang w:val="en-GB" w:eastAsia="en-US" w:bidi="ar-SA"/>
    </w:rPr>
  </w:style>
  <w:style w:type="paragraph" w:styleId="FootnoteText">
    <w:name w:val="footnote text"/>
    <w:aliases w:val="Fußnote, Char"/>
    <w:basedOn w:val="Normal"/>
    <w:link w:val="FootnoteTextChar"/>
    <w:rsid w:val="00D02FE4"/>
    <w:pPr>
      <w:spacing w:line="180" w:lineRule="exact"/>
      <w:ind w:left="142" w:hanging="142"/>
    </w:pPr>
    <w:rPr>
      <w:sz w:val="16"/>
      <w:szCs w:val="16"/>
    </w:rPr>
  </w:style>
  <w:style w:type="character" w:customStyle="1" w:styleId="FootnoteTextChar">
    <w:name w:val="Footnote Text Char"/>
    <w:aliases w:val="Fußnote Char1, Char Char"/>
    <w:link w:val="FootnoteText"/>
    <w:rsid w:val="00D02FE4"/>
    <w:rPr>
      <w:rFonts w:ascii="Verdana" w:hAnsi="Verdana"/>
      <w:sz w:val="16"/>
      <w:szCs w:val="16"/>
      <w:lang w:val="en-GB" w:eastAsia="en-US" w:bidi="ar-SA"/>
    </w:rPr>
  </w:style>
  <w:style w:type="character" w:styleId="FootnoteReference">
    <w:name w:val="footnote reference"/>
    <w:rsid w:val="00D02FE4"/>
    <w:rPr>
      <w:rFonts w:ascii="Arial" w:hAnsi="Arial"/>
      <w:dstrike w:val="0"/>
      <w:kern w:val="0"/>
      <w:position w:val="4"/>
      <w:sz w:val="12"/>
      <w:szCs w:val="12"/>
      <w:vertAlign w:val="baseline"/>
    </w:rPr>
  </w:style>
  <w:style w:type="paragraph" w:customStyle="1" w:styleId="Instructionsberschrift2">
    <w:name w:val="Instructions Überschrift 2"/>
    <w:basedOn w:val="Heading2"/>
    <w:rsid w:val="00D02FE4"/>
    <w:pPr>
      <w:numPr>
        <w:numId w:val="1"/>
      </w:numPr>
      <w:spacing w:after="240"/>
    </w:pPr>
    <w:rPr>
      <w:rFonts w:cs="Arial"/>
      <w:b w:val="0"/>
      <w:sz w:val="20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1B5CC0"/>
    <w:pPr>
      <w:spacing w:before="0" w:after="0"/>
      <w:ind w:left="33"/>
    </w:pPr>
    <w:rPr>
      <w:rFonts w:ascii="Times New Roman" w:hAnsi="Times New Roman"/>
      <w:szCs w:val="17"/>
      <w:u w:val="single"/>
      <w:lang w:eastAsia="de-DE"/>
    </w:rPr>
  </w:style>
  <w:style w:type="character" w:customStyle="1" w:styleId="InstructionsTextChar">
    <w:name w:val="Instructions Text Char"/>
    <w:link w:val="InstructionsText"/>
    <w:locked/>
    <w:rsid w:val="001B5CC0"/>
    <w:rPr>
      <w:szCs w:val="17"/>
      <w:u w:val="single"/>
      <w:lang w:val="en-GB" w:eastAsia="de-DE" w:bidi="ar-SA"/>
    </w:rPr>
  </w:style>
  <w:style w:type="character" w:customStyle="1" w:styleId="InstructionsTabelleberschrift">
    <w:name w:val="Instructions Tabelle Überschrift"/>
    <w:qFormat/>
    <w:rsid w:val="00D02FE4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D02FE4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D02FE4"/>
    <w:rPr>
      <w:rFonts w:ascii="Verdana" w:hAnsi="Verdana" w:cs="Times New Roman"/>
      <w:bCs/>
      <w:sz w:val="20"/>
      <w:u w:val="none"/>
    </w:rPr>
  </w:style>
  <w:style w:type="paragraph" w:customStyle="1" w:styleId="InstructionsText2">
    <w:name w:val="Instructions Text 2"/>
    <w:basedOn w:val="InstructionsText"/>
    <w:qFormat/>
    <w:rsid w:val="00D02FE4"/>
    <w:pPr>
      <w:numPr>
        <w:numId w:val="3"/>
      </w:numPr>
      <w:spacing w:after="240"/>
    </w:pPr>
  </w:style>
  <w:style w:type="paragraph" w:customStyle="1" w:styleId="Paragraph">
    <w:name w:val="Paragraph"/>
    <w:basedOn w:val="Normal"/>
    <w:link w:val="ParagraphChar"/>
    <w:rsid w:val="009D253B"/>
    <w:pPr>
      <w:spacing w:before="0" w:after="240"/>
    </w:pPr>
    <w:rPr>
      <w:rFonts w:ascii="Arial" w:hAnsi="Arial"/>
      <w:sz w:val="22"/>
      <w:szCs w:val="20"/>
    </w:rPr>
  </w:style>
  <w:style w:type="character" w:customStyle="1" w:styleId="ParagraphChar">
    <w:name w:val="Paragraph Char"/>
    <w:link w:val="Paragraph"/>
    <w:rsid w:val="009D253B"/>
    <w:rPr>
      <w:rFonts w:ascii="Arial" w:hAnsi="Arial"/>
      <w:sz w:val="22"/>
      <w:lang w:val="en-GB" w:eastAsia="en-US" w:bidi="ar-SA"/>
    </w:rPr>
  </w:style>
  <w:style w:type="character" w:customStyle="1" w:styleId="FunoteChar">
    <w:name w:val="Fußnote Char"/>
    <w:aliases w:val=" Char Char Char"/>
    <w:semiHidden/>
    <w:rsid w:val="009D253B"/>
    <w:rPr>
      <w:rFonts w:ascii="Arial" w:hAnsi="Arial"/>
      <w:sz w:val="18"/>
      <w:lang w:val="en-GB" w:eastAsia="en-US" w:bidi="ar-SA"/>
    </w:rPr>
  </w:style>
  <w:style w:type="paragraph" w:customStyle="1" w:styleId="Bullets">
    <w:name w:val="Bullets"/>
    <w:basedOn w:val="Normal"/>
    <w:link w:val="BulletsChar"/>
    <w:rsid w:val="009D253B"/>
    <w:pPr>
      <w:tabs>
        <w:tab w:val="num" w:pos="851"/>
      </w:tabs>
      <w:spacing w:before="0"/>
      <w:ind w:left="851" w:hanging="851"/>
    </w:pPr>
    <w:rPr>
      <w:rFonts w:ascii="Arial" w:eastAsia="MS Mincho" w:hAnsi="Arial"/>
      <w:sz w:val="22"/>
      <w:szCs w:val="20"/>
      <w:lang w:eastAsia="ja-JP"/>
    </w:rPr>
  </w:style>
  <w:style w:type="character" w:customStyle="1" w:styleId="BulletsChar">
    <w:name w:val="Bullets Char"/>
    <w:link w:val="Bullets"/>
    <w:locked/>
    <w:rsid w:val="009D253B"/>
    <w:rPr>
      <w:rFonts w:ascii="Arial" w:eastAsia="MS Mincho" w:hAnsi="Arial"/>
      <w:sz w:val="22"/>
      <w:lang w:val="en-GB" w:eastAsia="ja-JP" w:bidi="ar-SA"/>
    </w:rPr>
  </w:style>
  <w:style w:type="paragraph" w:customStyle="1" w:styleId="TableText">
    <w:name w:val="TableText"/>
    <w:basedOn w:val="Normal"/>
    <w:rsid w:val="00DD1BB6"/>
    <w:pPr>
      <w:keepNext/>
      <w:spacing w:before="60" w:after="60"/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104F3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2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28AA"/>
    <w:rPr>
      <w:szCs w:val="20"/>
    </w:rPr>
  </w:style>
  <w:style w:type="character" w:customStyle="1" w:styleId="CommentTextChar">
    <w:name w:val="Comment Text Char"/>
    <w:link w:val="CommentText"/>
    <w:uiPriority w:val="99"/>
    <w:rsid w:val="001128AA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28AA"/>
    <w:rPr>
      <w:b/>
      <w:bCs/>
    </w:rPr>
  </w:style>
  <w:style w:type="character" w:customStyle="1" w:styleId="CommentSubjectChar">
    <w:name w:val="Comment Subject Char"/>
    <w:link w:val="CommentSubject"/>
    <w:rsid w:val="001128AA"/>
    <w:rPr>
      <w:rFonts w:ascii="Verdana" w:hAnsi="Verdana"/>
      <w:b/>
      <w:bCs/>
      <w:lang w:val="en-GB" w:eastAsia="en-US"/>
    </w:rPr>
  </w:style>
  <w:style w:type="paragraph" w:styleId="PlainText">
    <w:name w:val="Plain Text"/>
    <w:basedOn w:val="Normal"/>
    <w:semiHidden/>
    <w:rsid w:val="00392C32"/>
    <w:pPr>
      <w:spacing w:before="0" w:after="0"/>
      <w:jc w:val="left"/>
    </w:pPr>
    <w:rPr>
      <w:rFonts w:ascii="Consolas" w:hAnsi="Consolas"/>
      <w:sz w:val="21"/>
      <w:szCs w:val="21"/>
    </w:rPr>
  </w:style>
  <w:style w:type="paragraph" w:styleId="Footer">
    <w:name w:val="footer"/>
    <w:basedOn w:val="Normal"/>
    <w:rsid w:val="00392C32"/>
    <w:pPr>
      <w:tabs>
        <w:tab w:val="center" w:pos="4536"/>
        <w:tab w:val="right" w:pos="9072"/>
      </w:tabs>
      <w:spacing w:before="0" w:after="0"/>
      <w:jc w:val="left"/>
    </w:pPr>
    <w:rPr>
      <w:rFonts w:ascii="Times New Roman" w:hAnsi="Times New Roman"/>
      <w:sz w:val="24"/>
      <w:lang w:val="de-AT" w:eastAsia="de-AT"/>
    </w:rPr>
  </w:style>
  <w:style w:type="character" w:styleId="Hyperlink">
    <w:name w:val="Hyperlink"/>
    <w:basedOn w:val="DefaultParagraphFont"/>
    <w:uiPriority w:val="99"/>
    <w:unhideWhenUsed/>
    <w:rsid w:val="0035239A"/>
    <w:rPr>
      <w:color w:val="0000FF"/>
      <w:u w:val="single"/>
    </w:rPr>
  </w:style>
  <w:style w:type="table" w:styleId="TableGrid">
    <w:name w:val="Table Grid"/>
    <w:basedOn w:val="TableNormal"/>
    <w:rsid w:val="000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6DCD"/>
    <w:rPr>
      <w:b/>
      <w:bCs/>
      <w:color w:val="3E2E98"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6DCD"/>
    <w:rPr>
      <w:b/>
      <w:bCs/>
      <w:color w:val="777777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6DCD"/>
    <w:rPr>
      <w:b/>
      <w:bCs/>
      <w:color w:val="444444"/>
      <w:sz w:val="24"/>
      <w:szCs w:val="24"/>
    </w:rPr>
  </w:style>
  <w:style w:type="paragraph" w:customStyle="1" w:styleId="Numberedheadinglevel1">
    <w:name w:val="Numbered heading level 1"/>
    <w:basedOn w:val="Normal"/>
    <w:next w:val="Normal"/>
    <w:qFormat/>
    <w:rsid w:val="00A56552"/>
    <w:pPr>
      <w:numPr>
        <w:numId w:val="25"/>
      </w:numPr>
      <w:tabs>
        <w:tab w:val="left" w:pos="0"/>
      </w:tabs>
      <w:spacing w:before="360" w:after="360"/>
    </w:pPr>
    <w:rPr>
      <w:rFonts w:ascii="Arial" w:hAnsi="Arial"/>
      <w:color w:val="4F81BD" w:themeColor="accent1"/>
      <w:sz w:val="28"/>
      <w:szCs w:val="28"/>
    </w:rPr>
  </w:style>
  <w:style w:type="paragraph" w:customStyle="1" w:styleId="Numberedheadinglevel2">
    <w:name w:val="Numbered heading level 2"/>
    <w:basedOn w:val="Normal"/>
    <w:next w:val="Normal"/>
    <w:qFormat/>
    <w:rsid w:val="00A56552"/>
    <w:pPr>
      <w:numPr>
        <w:ilvl w:val="1"/>
        <w:numId w:val="25"/>
      </w:numPr>
      <w:tabs>
        <w:tab w:val="left" w:pos="567"/>
      </w:tabs>
      <w:spacing w:before="360" w:after="240"/>
    </w:pPr>
    <w:rPr>
      <w:rFonts w:ascii="Arial" w:hAnsi="Arial"/>
      <w:color w:val="4F81BD" w:themeColor="accent1"/>
      <w:sz w:val="24"/>
    </w:rPr>
  </w:style>
  <w:style w:type="paragraph" w:customStyle="1" w:styleId="Numberedheadinglevel3">
    <w:name w:val="Numbered heading level 3"/>
    <w:basedOn w:val="Normal"/>
    <w:next w:val="Normal"/>
    <w:qFormat/>
    <w:rsid w:val="00A56552"/>
    <w:pPr>
      <w:numPr>
        <w:ilvl w:val="2"/>
        <w:numId w:val="25"/>
      </w:numPr>
      <w:tabs>
        <w:tab w:val="left" w:pos="567"/>
      </w:tabs>
      <w:spacing w:before="240"/>
    </w:pPr>
    <w:rPr>
      <w:rFonts w:ascii="Arial" w:hAnsi="Arial"/>
      <w:color w:val="4F81BD" w:themeColor="accent1"/>
      <w:szCs w:val="20"/>
    </w:rPr>
  </w:style>
  <w:style w:type="character" w:styleId="FollowedHyperlink">
    <w:name w:val="FollowedHyperlink"/>
    <w:basedOn w:val="DefaultParagraphFont"/>
    <w:uiPriority w:val="99"/>
    <w:rsid w:val="00FB7E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16B"/>
    <w:pPr>
      <w:ind w:left="720"/>
      <w:contextualSpacing/>
    </w:pPr>
  </w:style>
  <w:style w:type="paragraph" w:customStyle="1" w:styleId="DocTitle">
    <w:name w:val="Doc Title"/>
    <w:basedOn w:val="Normal"/>
    <w:qFormat/>
    <w:rsid w:val="00DC14B6"/>
    <w:pPr>
      <w:spacing w:before="3280" w:after="480"/>
      <w:jc w:val="left"/>
    </w:pPr>
    <w:rPr>
      <w:rFonts w:ascii="Arial" w:hAnsi="Arial"/>
      <w:color w:val="4F81BD" w:themeColor="accent1"/>
      <w:sz w:val="40"/>
      <w:szCs w:val="40"/>
    </w:rPr>
  </w:style>
  <w:style w:type="paragraph" w:customStyle="1" w:styleId="SubTitle">
    <w:name w:val="Sub Title"/>
    <w:basedOn w:val="Heading2"/>
    <w:qFormat/>
    <w:rsid w:val="00DC14B6"/>
    <w:pPr>
      <w:keepNext w:val="0"/>
      <w:spacing w:before="120" w:after="0"/>
      <w:contextualSpacing/>
      <w:jc w:val="left"/>
    </w:pPr>
    <w:rPr>
      <w:rFonts w:ascii="Arial" w:hAnsi="Arial"/>
      <w:b w:val="0"/>
      <w:color w:val="4F81BD" w:themeColor="accent1"/>
      <w:szCs w:val="20"/>
    </w:rPr>
  </w:style>
  <w:style w:type="paragraph" w:styleId="Header">
    <w:name w:val="header"/>
    <w:basedOn w:val="Normal"/>
    <w:link w:val="HeaderChar"/>
    <w:rsid w:val="00DC14B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DC14B6"/>
    <w:rPr>
      <w:rFonts w:ascii="Verdana" w:hAnsi="Verdana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DCFE6-5D71-4B31-A258-F699CA74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II: TEMPLATE RELATED INSTRUCTIONS</vt:lpstr>
    </vt:vector>
  </TitlesOfParts>
  <Company>Financial Services Authority</Company>
  <LinksUpToDate>false</LinksUpToDate>
  <CharactersWithSpaces>21816</CharactersWithSpaces>
  <SharedDoc>false</SharedDoc>
  <HLinks>
    <vt:vector size="6" baseType="variant"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http://eur-lex.europa.eu/LexUriServ/LexUriServ.do?uri=COM:2011:0656:FIN:EN:PDF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II: TEMPLATE RELATED INSTRUCTIONS</dc:title>
  <dc:creator>mabdelli</dc:creator>
  <cp:lastModifiedBy>malba</cp:lastModifiedBy>
  <cp:revision>3</cp:revision>
  <cp:lastPrinted>2014-06-12T08:34:00Z</cp:lastPrinted>
  <dcterms:created xsi:type="dcterms:W3CDTF">2014-07-10T14:16:00Z</dcterms:created>
  <dcterms:modified xsi:type="dcterms:W3CDTF">2014-07-18T09:57:00Z</dcterms:modified>
</cp:coreProperties>
</file>