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04D" w:rsidRPr="005D18D4" w:rsidRDefault="0040604D" w:rsidP="0040604D">
      <w:pPr>
        <w:pStyle w:val="Numberedheadinglevel2"/>
        <w:numPr>
          <w:ilvl w:val="0"/>
          <w:numId w:val="0"/>
        </w:numPr>
        <w:ind w:left="567" w:hanging="567"/>
        <w:rPr>
          <w:rFonts w:ascii="Times New Roman" w:hAnsi="Times New Roman"/>
        </w:rPr>
      </w:pPr>
      <w:bookmarkStart w:id="0" w:name="_GoBack"/>
      <w:bookmarkEnd w:id="0"/>
      <w:r w:rsidRPr="005D18D4">
        <w:rPr>
          <w:rFonts w:ascii="Times New Roman" w:hAnsi="Times New Roman"/>
        </w:rPr>
        <w:t xml:space="preserve">ANNEX </w:t>
      </w:r>
      <w:r w:rsidR="006D4AFE">
        <w:rPr>
          <w:rFonts w:ascii="Times New Roman" w:hAnsi="Times New Roman"/>
        </w:rPr>
        <w:t>X</w:t>
      </w:r>
      <w:r w:rsidRPr="005D18D4">
        <w:rPr>
          <w:rFonts w:ascii="Times New Roman" w:hAnsi="Times New Roman"/>
        </w:rPr>
        <w:t>I</w:t>
      </w:r>
      <w:r w:rsidR="006D4AFE">
        <w:rPr>
          <w:rFonts w:ascii="Times New Roman" w:hAnsi="Times New Roman"/>
        </w:rPr>
        <w:t>X</w:t>
      </w:r>
    </w:p>
    <w:p w:rsidR="0040604D" w:rsidRPr="005D18D4" w:rsidRDefault="0040604D" w:rsidP="0040604D">
      <w:pPr>
        <w:pStyle w:val="Heading2"/>
        <w:rPr>
          <w:rFonts w:ascii="Times New Roman" w:hAnsi="Times New Roman"/>
        </w:rPr>
      </w:pPr>
      <w:r w:rsidRPr="005D18D4">
        <w:rPr>
          <w:rFonts w:ascii="Times New Roman" w:hAnsi="Times New Roman"/>
        </w:rPr>
        <w:t xml:space="preserve">INSTRUCTIONS FOR COMPLETING THE MATURITY LADDER TEMPLATE </w:t>
      </w:r>
      <w:r>
        <w:rPr>
          <w:rFonts w:ascii="Times New Roman" w:hAnsi="Times New Roman"/>
        </w:rPr>
        <w:t xml:space="preserve">OF </w:t>
      </w:r>
      <w:r w:rsidRPr="005D18D4">
        <w:rPr>
          <w:rFonts w:ascii="Times New Roman" w:hAnsi="Times New Roman"/>
        </w:rPr>
        <w:t xml:space="preserve">ANNEX </w:t>
      </w:r>
      <w:r w:rsidR="00601D67">
        <w:rPr>
          <w:rFonts w:ascii="Times New Roman" w:hAnsi="Times New Roman"/>
        </w:rPr>
        <w:t>XV</w:t>
      </w:r>
      <w:r w:rsidRPr="005D18D4">
        <w:rPr>
          <w:rFonts w:ascii="Times New Roman" w:hAnsi="Times New Roman"/>
        </w:rPr>
        <w:t>I</w:t>
      </w:r>
      <w:r w:rsidR="006D4AFE">
        <w:rPr>
          <w:rFonts w:ascii="Times New Roman" w:hAnsi="Times New Roman"/>
        </w:rPr>
        <w:t>II</w:t>
      </w:r>
    </w:p>
    <w:p w:rsidR="0040604D" w:rsidRDefault="0040604D" w:rsidP="0040604D">
      <w:pPr>
        <w:pStyle w:val="Instructionsberschrift2"/>
        <w:numPr>
          <w:ilvl w:val="0"/>
          <w:numId w:val="0"/>
        </w:numPr>
        <w:ind w:left="357"/>
        <w:rPr>
          <w:rFonts w:ascii="Arial" w:hAnsi="Arial"/>
          <w:szCs w:val="20"/>
          <w:u w:val="none"/>
        </w:rPr>
      </w:pPr>
    </w:p>
    <w:p w:rsidR="00D02FE4" w:rsidRPr="0040604D" w:rsidRDefault="009E6B2D" w:rsidP="005D249C">
      <w:pPr>
        <w:pStyle w:val="Instructionsberschrift2"/>
        <w:numPr>
          <w:ilvl w:val="0"/>
          <w:numId w:val="3"/>
        </w:numPr>
        <w:rPr>
          <w:rFonts w:ascii="Times New Roman" w:hAnsi="Times New Roman" w:cs="Times New Roman"/>
          <w:sz w:val="24"/>
          <w:u w:val="none"/>
        </w:rPr>
      </w:pPr>
      <w:r w:rsidRPr="0040604D">
        <w:rPr>
          <w:rFonts w:ascii="Times New Roman" w:hAnsi="Times New Roman" w:cs="Times New Roman"/>
          <w:sz w:val="24"/>
          <w:u w:val="none"/>
        </w:rPr>
        <w:t>Maturity Ladder</w:t>
      </w:r>
    </w:p>
    <w:p w:rsidR="00D02FE4" w:rsidRPr="0040604D" w:rsidRDefault="00D02FE4" w:rsidP="005D249C">
      <w:pPr>
        <w:pStyle w:val="Instructionsberschrift2"/>
        <w:numPr>
          <w:ilvl w:val="1"/>
          <w:numId w:val="3"/>
        </w:numPr>
        <w:rPr>
          <w:rFonts w:ascii="Times New Roman" w:hAnsi="Times New Roman" w:cs="Times New Roman"/>
          <w:sz w:val="24"/>
        </w:rPr>
      </w:pPr>
      <w:bookmarkStart w:id="1" w:name="_Toc308175819"/>
      <w:bookmarkStart w:id="2" w:name="_Toc310414966"/>
      <w:r w:rsidRPr="0040604D">
        <w:rPr>
          <w:rFonts w:ascii="Times New Roman" w:hAnsi="Times New Roman" w:cs="Times New Roman"/>
          <w:sz w:val="24"/>
        </w:rPr>
        <w:t>General remarks</w:t>
      </w:r>
      <w:bookmarkEnd w:id="1"/>
      <w:bookmarkEnd w:id="2"/>
    </w:p>
    <w:p w:rsidR="00AA444D" w:rsidRPr="0040604D" w:rsidRDefault="00DF73FD" w:rsidP="00AA444D">
      <w:pPr>
        <w:pStyle w:val="InstructionsText2"/>
        <w:rPr>
          <w:sz w:val="24"/>
          <w:szCs w:val="24"/>
          <w:u w:val="none"/>
        </w:rPr>
      </w:pPr>
      <w:r w:rsidRPr="0040604D">
        <w:rPr>
          <w:sz w:val="24"/>
          <w:szCs w:val="24"/>
          <w:u w:val="none"/>
        </w:rPr>
        <w:t xml:space="preserve">The </w:t>
      </w:r>
      <w:r w:rsidR="00AA444D" w:rsidRPr="0040604D">
        <w:rPr>
          <w:sz w:val="24"/>
          <w:szCs w:val="24"/>
          <w:u w:val="none"/>
        </w:rPr>
        <w:t xml:space="preserve">template </w:t>
      </w:r>
      <w:r w:rsidRPr="0040604D">
        <w:rPr>
          <w:sz w:val="24"/>
          <w:szCs w:val="24"/>
          <w:u w:val="none"/>
        </w:rPr>
        <w:t xml:space="preserve">of Annex </w:t>
      </w:r>
      <w:r w:rsidR="00601D67">
        <w:rPr>
          <w:sz w:val="24"/>
          <w:szCs w:val="24"/>
          <w:u w:val="none"/>
        </w:rPr>
        <w:t>XV</w:t>
      </w:r>
      <w:r w:rsidRPr="0040604D">
        <w:rPr>
          <w:sz w:val="24"/>
          <w:szCs w:val="24"/>
          <w:u w:val="none"/>
        </w:rPr>
        <w:t>I</w:t>
      </w:r>
      <w:r w:rsidR="006D4AFE">
        <w:rPr>
          <w:sz w:val="24"/>
          <w:szCs w:val="24"/>
          <w:u w:val="none"/>
        </w:rPr>
        <w:t>II</w:t>
      </w:r>
      <w:r w:rsidRPr="0040604D">
        <w:rPr>
          <w:sz w:val="24"/>
          <w:szCs w:val="24"/>
          <w:u w:val="none"/>
        </w:rPr>
        <w:t xml:space="preserve"> </w:t>
      </w:r>
      <w:r w:rsidR="00AA444D" w:rsidRPr="0040604D">
        <w:rPr>
          <w:sz w:val="24"/>
          <w:szCs w:val="24"/>
          <w:u w:val="none"/>
        </w:rPr>
        <w:t>is designed to capture the maturity mismatch of an institutions balance sheet, and as such, is referred to as the ‘maturity ladder’.</w:t>
      </w:r>
    </w:p>
    <w:p w:rsidR="00C55699" w:rsidRPr="00C55699" w:rsidRDefault="004F50F4" w:rsidP="00C55699">
      <w:pPr>
        <w:pStyle w:val="InstructionsText2"/>
        <w:rPr>
          <w:sz w:val="24"/>
          <w:szCs w:val="24"/>
          <w:u w:val="none"/>
        </w:rPr>
      </w:pPr>
      <w:r w:rsidRPr="0040604D">
        <w:rPr>
          <w:sz w:val="24"/>
          <w:szCs w:val="24"/>
          <w:u w:val="none"/>
        </w:rPr>
        <w:t>The maturity ladder</w:t>
      </w:r>
      <w:r w:rsidR="007764E5" w:rsidRPr="0040604D">
        <w:rPr>
          <w:sz w:val="24"/>
          <w:szCs w:val="24"/>
          <w:u w:val="none"/>
        </w:rPr>
        <w:t xml:space="preserve"> </w:t>
      </w:r>
      <w:r w:rsidR="00392C32" w:rsidRPr="0040604D">
        <w:rPr>
          <w:sz w:val="24"/>
          <w:szCs w:val="24"/>
          <w:u w:val="none"/>
        </w:rPr>
        <w:t xml:space="preserve">is a monitoring tool </w:t>
      </w:r>
      <w:r w:rsidR="00A23EAA" w:rsidRPr="0040604D">
        <w:rPr>
          <w:sz w:val="24"/>
          <w:szCs w:val="24"/>
          <w:u w:val="none"/>
        </w:rPr>
        <w:t xml:space="preserve">which </w:t>
      </w:r>
      <w:r w:rsidR="00392C32" w:rsidRPr="0040604D">
        <w:rPr>
          <w:sz w:val="24"/>
          <w:szCs w:val="24"/>
          <w:u w:val="none"/>
        </w:rPr>
        <w:t xml:space="preserve">comprises </w:t>
      </w:r>
      <w:r w:rsidR="008D3C0F">
        <w:rPr>
          <w:sz w:val="24"/>
          <w:szCs w:val="24"/>
          <w:u w:val="none"/>
        </w:rPr>
        <w:t>a</w:t>
      </w:r>
      <w:r w:rsidR="00392C32" w:rsidRPr="0040604D">
        <w:rPr>
          <w:sz w:val="24"/>
          <w:szCs w:val="24"/>
          <w:u w:val="none"/>
        </w:rPr>
        <w:t xml:space="preserve"> </w:t>
      </w:r>
      <w:r w:rsidR="008D3C0F">
        <w:rPr>
          <w:sz w:val="24"/>
          <w:szCs w:val="24"/>
          <w:u w:val="none"/>
        </w:rPr>
        <w:t xml:space="preserve">contractual </w:t>
      </w:r>
      <w:r w:rsidR="00A12578" w:rsidRPr="00AF4E42">
        <w:rPr>
          <w:sz w:val="24"/>
          <w:szCs w:val="24"/>
          <w:u w:val="none"/>
        </w:rPr>
        <w:t>template</w:t>
      </w:r>
      <w:r w:rsidR="008D3C0F">
        <w:rPr>
          <w:sz w:val="24"/>
          <w:szCs w:val="24"/>
          <w:u w:val="none"/>
        </w:rPr>
        <w:t xml:space="preserve"> set out in a worksheet</w:t>
      </w:r>
      <w:r w:rsidR="00DC20BD" w:rsidRPr="0040604D">
        <w:rPr>
          <w:sz w:val="24"/>
          <w:szCs w:val="24"/>
          <w:u w:val="none"/>
        </w:rPr>
        <w:t xml:space="preserve"> </w:t>
      </w:r>
      <w:r w:rsidR="00392C32" w:rsidRPr="0040604D">
        <w:rPr>
          <w:sz w:val="24"/>
          <w:szCs w:val="24"/>
          <w:u w:val="none"/>
        </w:rPr>
        <w:t xml:space="preserve">for contractual </w:t>
      </w:r>
      <w:r w:rsidR="00A12578" w:rsidRPr="00AF4E42">
        <w:rPr>
          <w:sz w:val="24"/>
          <w:szCs w:val="24"/>
          <w:u w:val="none"/>
        </w:rPr>
        <w:t>flows</w:t>
      </w:r>
      <w:r w:rsidR="00392C32" w:rsidRPr="0040604D">
        <w:rPr>
          <w:sz w:val="24"/>
          <w:szCs w:val="24"/>
          <w:u w:val="none"/>
        </w:rPr>
        <w:t xml:space="preserve">. The contractual flows resulting from legally binding agreements </w:t>
      </w:r>
      <w:r w:rsidR="00DF73FD" w:rsidRPr="0040604D">
        <w:rPr>
          <w:sz w:val="24"/>
          <w:szCs w:val="24"/>
          <w:u w:val="none"/>
        </w:rPr>
        <w:t xml:space="preserve">shall </w:t>
      </w:r>
      <w:r w:rsidR="00392C32" w:rsidRPr="0040604D">
        <w:rPr>
          <w:sz w:val="24"/>
          <w:szCs w:val="24"/>
          <w:u w:val="none"/>
        </w:rPr>
        <w:t>be reported according</w:t>
      </w:r>
      <w:r w:rsidR="00DF73FD" w:rsidRPr="0040604D">
        <w:rPr>
          <w:sz w:val="24"/>
          <w:szCs w:val="24"/>
          <w:u w:val="none"/>
        </w:rPr>
        <w:t xml:space="preserve"> to the provisions of these legal agreements</w:t>
      </w:r>
      <w:r w:rsidR="00515597">
        <w:rPr>
          <w:sz w:val="24"/>
          <w:szCs w:val="24"/>
          <w:u w:val="none"/>
        </w:rPr>
        <w:t xml:space="preserve"> </w:t>
      </w:r>
      <w:r w:rsidR="00A12578" w:rsidRPr="00AF4E42">
        <w:rPr>
          <w:sz w:val="24"/>
          <w:szCs w:val="24"/>
          <w:u w:val="none"/>
        </w:rPr>
        <w:t>(i.e. residual maturity from the reporting</w:t>
      </w:r>
      <w:r w:rsidR="0085529D" w:rsidRPr="008A1DB9">
        <w:rPr>
          <w:sz w:val="24"/>
          <w:szCs w:val="24"/>
          <w:u w:val="none"/>
        </w:rPr>
        <w:t xml:space="preserve"> date</w:t>
      </w:r>
      <w:r w:rsidR="00A12578" w:rsidRPr="00AF4E42">
        <w:rPr>
          <w:sz w:val="24"/>
          <w:szCs w:val="24"/>
          <w:u w:val="none"/>
        </w:rPr>
        <w:t>)</w:t>
      </w:r>
      <w:r w:rsidR="00392C32" w:rsidRPr="0040604D">
        <w:rPr>
          <w:sz w:val="24"/>
          <w:szCs w:val="24"/>
          <w:u w:val="none"/>
        </w:rPr>
        <w:t xml:space="preserve">. </w:t>
      </w:r>
    </w:p>
    <w:p w:rsidR="00392C32" w:rsidRDefault="006C35E3" w:rsidP="00DD49D2">
      <w:pPr>
        <w:pStyle w:val="InstructionsText2"/>
        <w:rPr>
          <w:sz w:val="24"/>
          <w:szCs w:val="24"/>
          <w:u w:val="none"/>
          <w:lang w:eastAsia="fr-FR"/>
        </w:rPr>
      </w:pPr>
      <w:r w:rsidRPr="0040604D">
        <w:rPr>
          <w:sz w:val="24"/>
          <w:szCs w:val="24"/>
          <w:u w:val="none"/>
        </w:rPr>
        <w:t>Institutions shall not double count inflows</w:t>
      </w:r>
      <w:r w:rsidR="00C61205">
        <w:rPr>
          <w:sz w:val="24"/>
          <w:szCs w:val="24"/>
          <w:u w:val="none"/>
        </w:rPr>
        <w:t>.</w:t>
      </w:r>
    </w:p>
    <w:p w:rsidR="00DD6325" w:rsidRPr="0040604D" w:rsidRDefault="00DD6325" w:rsidP="00DD49D2">
      <w:pPr>
        <w:pStyle w:val="InstructionsText2"/>
        <w:rPr>
          <w:sz w:val="24"/>
          <w:szCs w:val="24"/>
          <w:u w:val="none"/>
          <w:lang w:eastAsia="fr-FR"/>
        </w:rPr>
      </w:pPr>
      <w:r>
        <w:rPr>
          <w:sz w:val="24"/>
          <w:szCs w:val="24"/>
          <w:u w:val="none"/>
          <w:lang w:eastAsia="fr-FR"/>
        </w:rPr>
        <w:t xml:space="preserve">Where </w:t>
      </w:r>
      <w:r w:rsidR="008D3C0F">
        <w:rPr>
          <w:sz w:val="24"/>
          <w:szCs w:val="24"/>
          <w:u w:val="none"/>
          <w:lang w:eastAsia="fr-FR"/>
        </w:rPr>
        <w:t>there is a</w:t>
      </w:r>
      <w:r>
        <w:rPr>
          <w:sz w:val="24"/>
          <w:szCs w:val="24"/>
          <w:u w:val="none"/>
          <w:lang w:eastAsia="fr-FR"/>
        </w:rPr>
        <w:t xml:space="preserve"> requirement</w:t>
      </w:r>
      <w:r w:rsidR="008D3C0F">
        <w:rPr>
          <w:sz w:val="24"/>
          <w:szCs w:val="24"/>
          <w:u w:val="none"/>
          <w:lang w:eastAsia="fr-FR"/>
        </w:rPr>
        <w:t xml:space="preserve"> to report </w:t>
      </w:r>
      <w:r w:rsidR="00B14B42">
        <w:rPr>
          <w:sz w:val="24"/>
          <w:szCs w:val="24"/>
          <w:u w:val="none"/>
          <w:lang w:eastAsia="fr-FR"/>
        </w:rPr>
        <w:t xml:space="preserve">central bank eligible </w:t>
      </w:r>
      <w:r w:rsidR="008D3C0F">
        <w:rPr>
          <w:sz w:val="24"/>
          <w:szCs w:val="24"/>
          <w:u w:val="none"/>
          <w:lang w:eastAsia="fr-FR"/>
        </w:rPr>
        <w:t>assets</w:t>
      </w:r>
      <w:r>
        <w:rPr>
          <w:sz w:val="24"/>
          <w:szCs w:val="24"/>
          <w:u w:val="none"/>
          <w:lang w:eastAsia="fr-FR"/>
        </w:rPr>
        <w:t xml:space="preserve">, </w:t>
      </w:r>
      <w:r w:rsidR="00B14B42">
        <w:rPr>
          <w:sz w:val="24"/>
          <w:szCs w:val="24"/>
          <w:u w:val="none"/>
          <w:lang w:eastAsia="fr-FR"/>
        </w:rPr>
        <w:t xml:space="preserve">this requirement shall be waived </w:t>
      </w:r>
      <w:r w:rsidR="00450530">
        <w:rPr>
          <w:sz w:val="24"/>
          <w:szCs w:val="24"/>
          <w:u w:val="none"/>
          <w:lang w:eastAsia="fr-FR"/>
        </w:rPr>
        <w:t xml:space="preserve">for those </w:t>
      </w:r>
      <w:r w:rsidR="008D3C0F">
        <w:rPr>
          <w:sz w:val="24"/>
          <w:szCs w:val="24"/>
          <w:u w:val="none"/>
          <w:lang w:eastAsia="fr-FR"/>
        </w:rPr>
        <w:t>assets</w:t>
      </w:r>
      <w:r w:rsidR="00450530">
        <w:rPr>
          <w:sz w:val="24"/>
          <w:szCs w:val="24"/>
          <w:u w:val="none"/>
          <w:lang w:eastAsia="fr-FR"/>
        </w:rPr>
        <w:t xml:space="preserve"> denominated in a currency included</w:t>
      </w:r>
      <w:r w:rsidR="008D3C0F">
        <w:rPr>
          <w:sz w:val="24"/>
          <w:szCs w:val="24"/>
          <w:u w:val="none"/>
          <w:lang w:eastAsia="fr-FR"/>
        </w:rPr>
        <w:t xml:space="preserve"> in the ITS issued under Article 416 (5) Regulation </w:t>
      </w:r>
      <w:r w:rsidR="00DB522C">
        <w:rPr>
          <w:sz w:val="24"/>
          <w:szCs w:val="24"/>
          <w:u w:val="none"/>
          <w:lang w:eastAsia="fr-FR"/>
        </w:rPr>
        <w:t xml:space="preserve">(EU) No </w:t>
      </w:r>
      <w:r w:rsidR="00FC1FA7">
        <w:rPr>
          <w:sz w:val="24"/>
          <w:szCs w:val="24"/>
          <w:u w:val="none"/>
          <w:lang w:eastAsia="fr-FR"/>
        </w:rPr>
        <w:t>5</w:t>
      </w:r>
      <w:r w:rsidR="008D3C0F">
        <w:rPr>
          <w:sz w:val="24"/>
          <w:szCs w:val="24"/>
          <w:u w:val="none"/>
          <w:lang w:eastAsia="fr-FR"/>
        </w:rPr>
        <w:t xml:space="preserve">75/2013 </w:t>
      </w:r>
      <w:r w:rsidR="00450530">
        <w:rPr>
          <w:sz w:val="24"/>
          <w:szCs w:val="24"/>
          <w:u w:val="none"/>
          <w:lang w:eastAsia="fr-FR"/>
        </w:rPr>
        <w:t>as a cu</w:t>
      </w:r>
      <w:r w:rsidR="00450530" w:rsidRPr="00DD6325">
        <w:rPr>
          <w:sz w:val="24"/>
          <w:szCs w:val="24"/>
          <w:u w:val="none"/>
          <w:lang w:eastAsia="fr-FR"/>
        </w:rPr>
        <w:t>rrency with extremely narrow central ba</w:t>
      </w:r>
      <w:r w:rsidR="00BB4D3B">
        <w:rPr>
          <w:sz w:val="24"/>
          <w:szCs w:val="24"/>
          <w:u w:val="none"/>
          <w:lang w:eastAsia="fr-FR"/>
        </w:rPr>
        <w:t>nk eligibility</w:t>
      </w:r>
      <w:r w:rsidR="00450530">
        <w:rPr>
          <w:sz w:val="24"/>
          <w:szCs w:val="24"/>
          <w:u w:val="none"/>
          <w:lang w:eastAsia="fr-FR"/>
        </w:rPr>
        <w:t>. Institutions shall report the</w:t>
      </w:r>
      <w:r w:rsidR="00B14B42">
        <w:rPr>
          <w:sz w:val="24"/>
          <w:szCs w:val="24"/>
          <w:u w:val="none"/>
          <w:lang w:eastAsia="fr-FR"/>
        </w:rPr>
        <w:t xml:space="preserve"> relevant assets</w:t>
      </w:r>
      <w:r w:rsidR="00450530">
        <w:rPr>
          <w:sz w:val="24"/>
          <w:szCs w:val="24"/>
          <w:u w:val="none"/>
          <w:lang w:eastAsia="fr-FR"/>
        </w:rPr>
        <w:t xml:space="preserve"> as central bank eligible.</w:t>
      </w:r>
    </w:p>
    <w:p w:rsidR="00ED3A57" w:rsidRPr="00DD49D2" w:rsidRDefault="00ED3A57" w:rsidP="00ED3A57">
      <w:pPr>
        <w:pStyle w:val="InstructionsText2"/>
        <w:rPr>
          <w:sz w:val="24"/>
          <w:szCs w:val="24"/>
          <w:u w:val="none"/>
          <w:lang w:val="en-US" w:eastAsia="fr-FR"/>
        </w:rPr>
      </w:pPr>
      <w:r>
        <w:rPr>
          <w:sz w:val="24"/>
          <w:szCs w:val="24"/>
          <w:u w:val="none"/>
          <w:lang w:val="en-US"/>
        </w:rPr>
        <w:t xml:space="preserve">In </w:t>
      </w:r>
      <w:r w:rsidR="003737D3">
        <w:rPr>
          <w:sz w:val="24"/>
          <w:szCs w:val="24"/>
          <w:u w:val="none"/>
          <w:lang w:val="en-US"/>
        </w:rPr>
        <w:t xml:space="preserve">the </w:t>
      </w:r>
      <w:r>
        <w:rPr>
          <w:sz w:val="24"/>
          <w:szCs w:val="24"/>
          <w:u w:val="none"/>
          <w:lang w:val="en-US"/>
        </w:rPr>
        <w:t>column “initial stock”</w:t>
      </w:r>
      <w:r w:rsidR="003737D3">
        <w:rPr>
          <w:sz w:val="24"/>
          <w:szCs w:val="24"/>
          <w:u w:val="none"/>
          <w:lang w:val="en-US"/>
        </w:rPr>
        <w:t>, the</w:t>
      </w:r>
      <w:r>
        <w:rPr>
          <w:sz w:val="24"/>
          <w:szCs w:val="24"/>
          <w:u w:val="none"/>
          <w:lang w:val="en-US"/>
        </w:rPr>
        <w:t xml:space="preserve"> stock of items at</w:t>
      </w:r>
      <w:r w:rsidR="002B1FDF" w:rsidRPr="002B1FDF">
        <w:rPr>
          <w:sz w:val="24"/>
          <w:u w:val="none"/>
          <w:lang w:val="en-US"/>
        </w:rPr>
        <w:t xml:space="preserve"> the </w:t>
      </w:r>
      <w:r>
        <w:rPr>
          <w:sz w:val="24"/>
          <w:szCs w:val="24"/>
          <w:u w:val="none"/>
          <w:lang w:val="en-US"/>
        </w:rPr>
        <w:t>reporting date shall</w:t>
      </w:r>
      <w:r w:rsidR="002B1FDF" w:rsidRPr="002B1FDF">
        <w:rPr>
          <w:sz w:val="24"/>
          <w:u w:val="none"/>
          <w:lang w:val="en-US"/>
        </w:rPr>
        <w:t xml:space="preserve"> be </w:t>
      </w:r>
      <w:r>
        <w:rPr>
          <w:sz w:val="24"/>
          <w:szCs w:val="24"/>
          <w:u w:val="none"/>
          <w:lang w:val="en-US"/>
        </w:rPr>
        <w:t>reported.</w:t>
      </w:r>
    </w:p>
    <w:p w:rsidR="00392C32" w:rsidRPr="0040604D" w:rsidRDefault="00AA444D" w:rsidP="00392C32">
      <w:pPr>
        <w:pStyle w:val="InstructionsText2"/>
        <w:rPr>
          <w:sz w:val="24"/>
          <w:szCs w:val="24"/>
          <w:u w:val="none"/>
          <w:lang w:val="en-US"/>
        </w:rPr>
      </w:pPr>
      <w:r w:rsidRPr="0040604D">
        <w:rPr>
          <w:sz w:val="24"/>
          <w:szCs w:val="24"/>
          <w:u w:val="none"/>
          <w:lang w:val="en-US"/>
        </w:rPr>
        <w:t xml:space="preserve">Only the blank white cells </w:t>
      </w:r>
      <w:r w:rsidR="00465663" w:rsidRPr="0040604D">
        <w:rPr>
          <w:sz w:val="24"/>
          <w:szCs w:val="24"/>
          <w:u w:val="none"/>
          <w:lang w:val="en-US"/>
        </w:rPr>
        <w:t xml:space="preserve">of the template in Annex </w:t>
      </w:r>
      <w:r w:rsidR="00601D67">
        <w:rPr>
          <w:sz w:val="24"/>
          <w:szCs w:val="24"/>
          <w:u w:val="none"/>
          <w:lang w:val="en-US"/>
        </w:rPr>
        <w:t>XV</w:t>
      </w:r>
      <w:r w:rsidR="00465663" w:rsidRPr="0040604D">
        <w:rPr>
          <w:sz w:val="24"/>
          <w:szCs w:val="24"/>
          <w:u w:val="none"/>
          <w:lang w:val="en-US"/>
        </w:rPr>
        <w:t>I</w:t>
      </w:r>
      <w:r w:rsidR="006D4AFE">
        <w:rPr>
          <w:sz w:val="24"/>
          <w:szCs w:val="24"/>
          <w:u w:val="none"/>
          <w:lang w:val="en-US"/>
        </w:rPr>
        <w:t>II</w:t>
      </w:r>
      <w:r w:rsidR="00465663" w:rsidRPr="0040604D">
        <w:rPr>
          <w:sz w:val="24"/>
          <w:szCs w:val="24"/>
          <w:u w:val="none"/>
          <w:lang w:val="en-US"/>
        </w:rPr>
        <w:t xml:space="preserve"> shall </w:t>
      </w:r>
      <w:r w:rsidRPr="0040604D">
        <w:rPr>
          <w:sz w:val="24"/>
          <w:szCs w:val="24"/>
          <w:u w:val="none"/>
          <w:lang w:val="en-US"/>
        </w:rPr>
        <w:t>be completed</w:t>
      </w:r>
      <w:r w:rsidR="00392C32" w:rsidRPr="0040604D">
        <w:rPr>
          <w:sz w:val="24"/>
          <w:szCs w:val="24"/>
          <w:u w:val="none"/>
          <w:lang w:val="en-US"/>
        </w:rPr>
        <w:t>.</w:t>
      </w:r>
      <w:r w:rsidR="00392C32" w:rsidRPr="0040604D">
        <w:rPr>
          <w:sz w:val="24"/>
          <w:szCs w:val="24"/>
          <w:u w:val="none"/>
        </w:rPr>
        <w:t xml:space="preserve"> </w:t>
      </w:r>
    </w:p>
    <w:p w:rsidR="00C7334C" w:rsidRPr="007974FD" w:rsidRDefault="00FC1FA7" w:rsidP="00392C32">
      <w:pPr>
        <w:pStyle w:val="InstructionsText2"/>
        <w:rPr>
          <w:sz w:val="24"/>
          <w:szCs w:val="24"/>
          <w:u w:val="none"/>
          <w:lang w:val="en-US" w:eastAsia="fr-FR"/>
        </w:rPr>
      </w:pPr>
      <w:r>
        <w:rPr>
          <w:sz w:val="24"/>
          <w:szCs w:val="24"/>
          <w:u w:val="none"/>
          <w:lang w:val="en-US" w:eastAsia="fr-FR"/>
        </w:rPr>
        <w:t>The c</w:t>
      </w:r>
      <w:r w:rsidR="00C7334C">
        <w:rPr>
          <w:sz w:val="24"/>
          <w:szCs w:val="24"/>
          <w:u w:val="none"/>
          <w:lang w:val="en-US" w:eastAsia="fr-FR"/>
        </w:rPr>
        <w:t>ontractual</w:t>
      </w:r>
      <w:r w:rsidR="002B1FDF" w:rsidRPr="002B1FDF">
        <w:rPr>
          <w:sz w:val="24"/>
          <w:u w:val="none"/>
          <w:lang w:val="en-US"/>
        </w:rPr>
        <w:t xml:space="preserve"> template </w:t>
      </w:r>
      <w:r w:rsidR="00C7334C">
        <w:rPr>
          <w:sz w:val="24"/>
          <w:szCs w:val="24"/>
          <w:u w:val="none"/>
          <w:lang w:val="en-US" w:eastAsia="fr-FR"/>
        </w:rPr>
        <w:t>consists of</w:t>
      </w:r>
      <w:r w:rsidR="006C35E3">
        <w:rPr>
          <w:sz w:val="24"/>
          <w:szCs w:val="24"/>
          <w:u w:val="none"/>
          <w:lang w:val="en-US" w:eastAsia="fr-FR"/>
        </w:rPr>
        <w:t xml:space="preserve"> three </w:t>
      </w:r>
      <w:r w:rsidR="00DD5BDC">
        <w:rPr>
          <w:sz w:val="24"/>
          <w:szCs w:val="24"/>
          <w:u w:val="none"/>
          <w:lang w:val="en-US" w:eastAsia="fr-FR"/>
        </w:rPr>
        <w:t>section</w:t>
      </w:r>
      <w:r w:rsidR="006C35E3">
        <w:rPr>
          <w:sz w:val="24"/>
          <w:szCs w:val="24"/>
          <w:u w:val="none"/>
          <w:lang w:val="en-US" w:eastAsia="fr-FR"/>
        </w:rPr>
        <w:t>s</w:t>
      </w:r>
      <w:r w:rsidR="00D113F7">
        <w:rPr>
          <w:sz w:val="24"/>
          <w:szCs w:val="24"/>
          <w:u w:val="none"/>
          <w:lang w:val="en-US" w:eastAsia="fr-FR"/>
        </w:rPr>
        <w:t>:</w:t>
      </w:r>
      <w:r w:rsidR="00C7334C">
        <w:rPr>
          <w:sz w:val="24"/>
          <w:szCs w:val="24"/>
          <w:u w:val="none"/>
          <w:lang w:val="en-US" w:eastAsia="fr-FR"/>
        </w:rPr>
        <w:t xml:space="preserve"> (i) </w:t>
      </w:r>
      <w:r w:rsidR="00370CE1">
        <w:rPr>
          <w:sz w:val="24"/>
          <w:szCs w:val="24"/>
          <w:u w:val="none"/>
          <w:lang w:val="en-US" w:eastAsia="fr-FR"/>
        </w:rPr>
        <w:t>“</w:t>
      </w:r>
      <w:r w:rsidR="003737D3">
        <w:rPr>
          <w:sz w:val="24"/>
          <w:szCs w:val="24"/>
          <w:u w:val="none"/>
          <w:lang w:val="en-US" w:eastAsia="fr-FR"/>
        </w:rPr>
        <w:t>out</w:t>
      </w:r>
      <w:r w:rsidR="002B1FDF" w:rsidRPr="002B1FDF">
        <w:rPr>
          <w:sz w:val="24"/>
          <w:u w:val="none"/>
          <w:lang w:val="en-US"/>
        </w:rPr>
        <w:t>flows</w:t>
      </w:r>
      <w:r w:rsidR="006C35E3">
        <w:rPr>
          <w:sz w:val="24"/>
          <w:szCs w:val="24"/>
          <w:u w:val="none"/>
          <w:lang w:val="en-US" w:eastAsia="fr-FR"/>
        </w:rPr>
        <w:t>”;</w:t>
      </w:r>
      <w:r w:rsidR="00C7334C">
        <w:rPr>
          <w:sz w:val="24"/>
          <w:szCs w:val="24"/>
          <w:u w:val="none"/>
          <w:lang w:val="en-US" w:eastAsia="fr-FR"/>
        </w:rPr>
        <w:t xml:space="preserve"> </w:t>
      </w:r>
      <w:r w:rsidR="00251381">
        <w:rPr>
          <w:sz w:val="24"/>
          <w:szCs w:val="24"/>
          <w:u w:val="none"/>
          <w:lang w:val="en-US" w:eastAsia="fr-FR"/>
        </w:rPr>
        <w:t xml:space="preserve">(ii) </w:t>
      </w:r>
      <w:r w:rsidR="006C35E3">
        <w:rPr>
          <w:sz w:val="24"/>
          <w:szCs w:val="24"/>
          <w:u w:val="none"/>
          <w:lang w:val="en-US" w:eastAsia="fr-FR"/>
        </w:rPr>
        <w:t>“</w:t>
      </w:r>
      <w:r w:rsidR="003737D3" w:rsidRPr="002B1FDF">
        <w:rPr>
          <w:sz w:val="24"/>
          <w:u w:val="none"/>
          <w:lang w:val="en-US"/>
        </w:rPr>
        <w:t>in</w:t>
      </w:r>
      <w:r w:rsidR="00C7334C">
        <w:rPr>
          <w:sz w:val="24"/>
          <w:szCs w:val="24"/>
          <w:u w:val="none"/>
          <w:lang w:val="en-US" w:eastAsia="fr-FR"/>
        </w:rPr>
        <w:t>flows</w:t>
      </w:r>
      <w:r w:rsidR="00370CE1">
        <w:rPr>
          <w:sz w:val="24"/>
          <w:szCs w:val="24"/>
          <w:u w:val="none"/>
          <w:lang w:val="en-US" w:eastAsia="fr-FR"/>
        </w:rPr>
        <w:t>”</w:t>
      </w:r>
      <w:r w:rsidR="00C7334C">
        <w:rPr>
          <w:sz w:val="24"/>
          <w:szCs w:val="24"/>
          <w:u w:val="none"/>
          <w:lang w:val="en-US" w:eastAsia="fr-FR"/>
        </w:rPr>
        <w:t xml:space="preserve"> and (ii</w:t>
      </w:r>
      <w:r w:rsidR="00251381">
        <w:rPr>
          <w:sz w:val="24"/>
          <w:szCs w:val="24"/>
          <w:u w:val="none"/>
          <w:lang w:val="en-US" w:eastAsia="fr-FR"/>
        </w:rPr>
        <w:t>i</w:t>
      </w:r>
      <w:r w:rsidR="00C7334C">
        <w:rPr>
          <w:sz w:val="24"/>
          <w:szCs w:val="24"/>
          <w:u w:val="none"/>
          <w:lang w:val="en-US" w:eastAsia="fr-FR"/>
        </w:rPr>
        <w:t xml:space="preserve">) </w:t>
      </w:r>
      <w:r w:rsidR="00370CE1">
        <w:rPr>
          <w:sz w:val="24"/>
          <w:szCs w:val="24"/>
          <w:u w:val="none"/>
          <w:lang w:val="en-US" w:eastAsia="fr-FR"/>
        </w:rPr>
        <w:t>“</w:t>
      </w:r>
      <w:r w:rsidR="00C7334C">
        <w:rPr>
          <w:sz w:val="24"/>
          <w:szCs w:val="24"/>
          <w:u w:val="none"/>
          <w:lang w:val="en-US" w:eastAsia="fr-FR"/>
        </w:rPr>
        <w:t>counterbalancing capacity</w:t>
      </w:r>
      <w:r w:rsidR="00370CE1">
        <w:rPr>
          <w:sz w:val="24"/>
          <w:szCs w:val="24"/>
          <w:u w:val="none"/>
          <w:lang w:val="en-US" w:eastAsia="fr-FR"/>
        </w:rPr>
        <w:t>”</w:t>
      </w:r>
      <w:r w:rsidR="00C7334C">
        <w:rPr>
          <w:sz w:val="24"/>
          <w:szCs w:val="24"/>
          <w:u w:val="none"/>
          <w:lang w:val="en-US" w:eastAsia="fr-FR"/>
        </w:rPr>
        <w:t xml:space="preserve">. </w:t>
      </w:r>
    </w:p>
    <w:p w:rsidR="00392C32" w:rsidRPr="007974FD" w:rsidRDefault="00370CE1" w:rsidP="00392C32">
      <w:pPr>
        <w:pStyle w:val="InstructionsText2"/>
        <w:rPr>
          <w:sz w:val="24"/>
          <w:szCs w:val="24"/>
          <w:u w:val="none"/>
          <w:lang w:val="en-US" w:eastAsia="fr-FR"/>
        </w:rPr>
      </w:pPr>
      <w:r>
        <w:rPr>
          <w:sz w:val="24"/>
          <w:szCs w:val="24"/>
          <w:u w:val="none"/>
        </w:rPr>
        <w:t>”</w:t>
      </w:r>
      <w:r w:rsidR="003737D3" w:rsidRPr="003737D3">
        <w:rPr>
          <w:sz w:val="24"/>
          <w:szCs w:val="24"/>
          <w:u w:val="none"/>
        </w:rPr>
        <w:t xml:space="preserve"> </w:t>
      </w:r>
      <w:r w:rsidR="003737D3">
        <w:rPr>
          <w:sz w:val="24"/>
          <w:szCs w:val="24"/>
          <w:u w:val="none"/>
        </w:rPr>
        <w:t>Out</w:t>
      </w:r>
      <w:r w:rsidR="00C7334C">
        <w:rPr>
          <w:sz w:val="24"/>
          <w:szCs w:val="24"/>
          <w:u w:val="none"/>
        </w:rPr>
        <w:t xml:space="preserve">flows and </w:t>
      </w:r>
      <w:r w:rsidR="003737D3">
        <w:rPr>
          <w:sz w:val="24"/>
          <w:szCs w:val="24"/>
          <w:u w:val="none"/>
        </w:rPr>
        <w:t>in</w:t>
      </w:r>
      <w:r w:rsidR="00C7334C">
        <w:rPr>
          <w:sz w:val="24"/>
          <w:szCs w:val="24"/>
          <w:u w:val="none"/>
        </w:rPr>
        <w:t>flow</w:t>
      </w:r>
      <w:r w:rsidR="00C458EC">
        <w:rPr>
          <w:sz w:val="24"/>
          <w:szCs w:val="24"/>
          <w:u w:val="none"/>
        </w:rPr>
        <w:t>s</w:t>
      </w:r>
      <w:r>
        <w:rPr>
          <w:sz w:val="24"/>
          <w:szCs w:val="24"/>
          <w:u w:val="none"/>
        </w:rPr>
        <w:t>”</w:t>
      </w:r>
      <w:r w:rsidR="00325C2E">
        <w:rPr>
          <w:sz w:val="24"/>
          <w:szCs w:val="24"/>
          <w:u w:val="none"/>
        </w:rPr>
        <w:t xml:space="preserve"> cover</w:t>
      </w:r>
      <w:r w:rsidR="00C7334C">
        <w:rPr>
          <w:sz w:val="24"/>
          <w:szCs w:val="24"/>
          <w:u w:val="none"/>
        </w:rPr>
        <w:t xml:space="preserve"> future </w:t>
      </w:r>
      <w:r w:rsidR="00DA48E0">
        <w:rPr>
          <w:sz w:val="24"/>
          <w:szCs w:val="24"/>
          <w:u w:val="none"/>
        </w:rPr>
        <w:t>contractual</w:t>
      </w:r>
      <w:r w:rsidR="00C7334C">
        <w:rPr>
          <w:sz w:val="24"/>
          <w:szCs w:val="24"/>
          <w:u w:val="none"/>
        </w:rPr>
        <w:t xml:space="preserve"> cash</w:t>
      </w:r>
      <w:r w:rsidR="00DA48E0">
        <w:rPr>
          <w:sz w:val="24"/>
          <w:szCs w:val="24"/>
          <w:u w:val="none"/>
        </w:rPr>
        <w:t xml:space="preserve"> flows from all on</w:t>
      </w:r>
      <w:r w:rsidR="00E77194">
        <w:rPr>
          <w:sz w:val="24"/>
          <w:szCs w:val="24"/>
          <w:u w:val="none"/>
        </w:rPr>
        <w:t>-</w:t>
      </w:r>
      <w:r w:rsidR="00DA48E0">
        <w:rPr>
          <w:sz w:val="24"/>
          <w:szCs w:val="24"/>
          <w:u w:val="none"/>
        </w:rPr>
        <w:t xml:space="preserve"> and off</w:t>
      </w:r>
      <w:r w:rsidR="00E77194">
        <w:rPr>
          <w:sz w:val="24"/>
          <w:szCs w:val="24"/>
          <w:u w:val="none"/>
        </w:rPr>
        <w:t>-</w:t>
      </w:r>
      <w:r w:rsidR="00DA48E0">
        <w:rPr>
          <w:sz w:val="24"/>
          <w:szCs w:val="24"/>
          <w:u w:val="none"/>
        </w:rPr>
        <w:t xml:space="preserve"> balance sheet items</w:t>
      </w:r>
      <w:r w:rsidR="00392C32" w:rsidRPr="0040604D">
        <w:rPr>
          <w:sz w:val="24"/>
          <w:szCs w:val="24"/>
          <w:u w:val="none"/>
        </w:rPr>
        <w:t xml:space="preserve">. </w:t>
      </w:r>
      <w:r w:rsidR="006C35E3" w:rsidRPr="0040604D">
        <w:rPr>
          <w:sz w:val="24"/>
          <w:szCs w:val="24"/>
          <w:u w:val="none"/>
        </w:rPr>
        <w:t xml:space="preserve">Only </w:t>
      </w:r>
      <w:r w:rsidR="003737D3" w:rsidRPr="0040604D">
        <w:rPr>
          <w:sz w:val="24"/>
          <w:szCs w:val="24"/>
          <w:u w:val="none"/>
        </w:rPr>
        <w:t>out</w:t>
      </w:r>
      <w:r w:rsidR="006C35E3" w:rsidRPr="0040604D">
        <w:rPr>
          <w:sz w:val="24"/>
          <w:szCs w:val="24"/>
          <w:u w:val="none"/>
        </w:rPr>
        <w:t xml:space="preserve">flows and </w:t>
      </w:r>
      <w:r w:rsidR="003737D3" w:rsidRPr="0040604D">
        <w:rPr>
          <w:sz w:val="24"/>
          <w:szCs w:val="24"/>
          <w:u w:val="none"/>
        </w:rPr>
        <w:t>in</w:t>
      </w:r>
      <w:r w:rsidR="006C35E3" w:rsidRPr="0040604D">
        <w:rPr>
          <w:sz w:val="24"/>
          <w:szCs w:val="24"/>
          <w:u w:val="none"/>
        </w:rPr>
        <w:t>flows</w:t>
      </w:r>
      <w:r w:rsidR="00EA3C75">
        <w:rPr>
          <w:sz w:val="24"/>
          <w:szCs w:val="24"/>
          <w:u w:val="none"/>
        </w:rPr>
        <w:t xml:space="preserve"> p</w:t>
      </w:r>
      <w:r w:rsidR="00EA3C75" w:rsidRPr="00EA3C75">
        <w:rPr>
          <w:sz w:val="24"/>
          <w:szCs w:val="24"/>
          <w:u w:val="none"/>
        </w:rPr>
        <w:t>ursuant to contracts existing at the reporting date</w:t>
      </w:r>
      <w:r w:rsidR="006C35E3" w:rsidRPr="0040604D">
        <w:rPr>
          <w:sz w:val="24"/>
          <w:szCs w:val="24"/>
          <w:u w:val="none"/>
        </w:rPr>
        <w:t xml:space="preserve"> shall be reported</w:t>
      </w:r>
      <w:r w:rsidR="00FF20D9" w:rsidRPr="0040604D">
        <w:rPr>
          <w:sz w:val="24"/>
          <w:szCs w:val="24"/>
          <w:u w:val="none"/>
        </w:rPr>
        <w:t>.</w:t>
      </w:r>
    </w:p>
    <w:p w:rsidR="00C7334C" w:rsidRPr="007974FD" w:rsidRDefault="00370CE1" w:rsidP="00392C32">
      <w:pPr>
        <w:pStyle w:val="InstructionsText2"/>
        <w:rPr>
          <w:sz w:val="24"/>
          <w:szCs w:val="24"/>
          <w:u w:val="none"/>
          <w:lang w:val="en-US" w:eastAsia="fr-FR"/>
        </w:rPr>
      </w:pPr>
      <w:r>
        <w:rPr>
          <w:sz w:val="24"/>
          <w:szCs w:val="24"/>
          <w:u w:val="none"/>
        </w:rPr>
        <w:t>“</w:t>
      </w:r>
      <w:r w:rsidR="00C7334C">
        <w:rPr>
          <w:sz w:val="24"/>
          <w:szCs w:val="24"/>
          <w:u w:val="none"/>
        </w:rPr>
        <w:t>Counterbalancing capacity</w:t>
      </w:r>
      <w:r>
        <w:rPr>
          <w:sz w:val="24"/>
          <w:szCs w:val="24"/>
          <w:u w:val="none"/>
        </w:rPr>
        <w:t>”</w:t>
      </w:r>
      <w:r w:rsidR="00C7334C">
        <w:rPr>
          <w:sz w:val="24"/>
          <w:szCs w:val="24"/>
          <w:u w:val="none"/>
        </w:rPr>
        <w:t xml:space="preserve"> </w:t>
      </w:r>
      <w:r w:rsidR="006C35E3">
        <w:rPr>
          <w:sz w:val="24"/>
          <w:szCs w:val="24"/>
          <w:u w:val="none"/>
        </w:rPr>
        <w:t>represents</w:t>
      </w:r>
      <w:r w:rsidR="00C7334C">
        <w:rPr>
          <w:sz w:val="24"/>
          <w:szCs w:val="24"/>
          <w:u w:val="none"/>
        </w:rPr>
        <w:t xml:space="preserve"> </w:t>
      </w:r>
      <w:r w:rsidR="006C35E3">
        <w:rPr>
          <w:sz w:val="24"/>
          <w:szCs w:val="24"/>
          <w:u w:val="none"/>
        </w:rPr>
        <w:t xml:space="preserve">the </w:t>
      </w:r>
      <w:r w:rsidR="00C7334C">
        <w:rPr>
          <w:sz w:val="24"/>
          <w:szCs w:val="24"/>
          <w:u w:val="none"/>
        </w:rPr>
        <w:t>stock of unencumbered assets</w:t>
      </w:r>
      <w:r w:rsidR="00220CBD">
        <w:rPr>
          <w:sz w:val="24"/>
          <w:szCs w:val="24"/>
          <w:u w:val="none"/>
        </w:rPr>
        <w:t xml:space="preserve"> or other funding sources</w:t>
      </w:r>
      <w:r w:rsidR="006C35E3">
        <w:rPr>
          <w:sz w:val="24"/>
          <w:szCs w:val="24"/>
          <w:u w:val="none"/>
        </w:rPr>
        <w:t xml:space="preserve"> which are</w:t>
      </w:r>
      <w:r w:rsidR="00220CBD">
        <w:rPr>
          <w:sz w:val="24"/>
          <w:szCs w:val="24"/>
          <w:u w:val="none"/>
        </w:rPr>
        <w:t xml:space="preserve"> </w:t>
      </w:r>
      <w:r w:rsidR="00C7334C">
        <w:rPr>
          <w:sz w:val="24"/>
          <w:szCs w:val="24"/>
          <w:u w:val="none"/>
        </w:rPr>
        <w:t>legally and practically available to the institution</w:t>
      </w:r>
      <w:r w:rsidR="007A34AA">
        <w:rPr>
          <w:sz w:val="24"/>
          <w:szCs w:val="24"/>
          <w:u w:val="none"/>
        </w:rPr>
        <w:t xml:space="preserve"> at the reporting date</w:t>
      </w:r>
      <w:r w:rsidR="00C7334C">
        <w:rPr>
          <w:sz w:val="24"/>
          <w:szCs w:val="24"/>
          <w:u w:val="none"/>
        </w:rPr>
        <w:t xml:space="preserve"> </w:t>
      </w:r>
      <w:r w:rsidR="007A34AA">
        <w:rPr>
          <w:sz w:val="24"/>
          <w:szCs w:val="24"/>
          <w:u w:val="none"/>
        </w:rPr>
        <w:t xml:space="preserve">to cover potential funding gaps. </w:t>
      </w:r>
      <w:r w:rsidR="006C35E3" w:rsidRPr="0040604D">
        <w:rPr>
          <w:sz w:val="24"/>
          <w:szCs w:val="24"/>
          <w:u w:val="none"/>
        </w:rPr>
        <w:t xml:space="preserve">Only </w:t>
      </w:r>
      <w:r w:rsidR="007E4405" w:rsidRPr="0040604D">
        <w:rPr>
          <w:sz w:val="24"/>
          <w:szCs w:val="24"/>
          <w:u w:val="none"/>
        </w:rPr>
        <w:t>out</w:t>
      </w:r>
      <w:r w:rsidR="006C35E3" w:rsidRPr="0040604D">
        <w:rPr>
          <w:sz w:val="24"/>
          <w:szCs w:val="24"/>
          <w:u w:val="none"/>
        </w:rPr>
        <w:t xml:space="preserve">flows and </w:t>
      </w:r>
      <w:r w:rsidR="007E4405" w:rsidRPr="0040604D">
        <w:rPr>
          <w:sz w:val="24"/>
          <w:szCs w:val="24"/>
          <w:u w:val="none"/>
        </w:rPr>
        <w:t>in</w:t>
      </w:r>
      <w:r w:rsidR="006C35E3" w:rsidRPr="0040604D">
        <w:rPr>
          <w:sz w:val="24"/>
          <w:szCs w:val="24"/>
          <w:u w:val="none"/>
        </w:rPr>
        <w:t>flows</w:t>
      </w:r>
      <w:r w:rsidR="00EA3C75">
        <w:rPr>
          <w:sz w:val="24"/>
          <w:szCs w:val="24"/>
          <w:u w:val="none"/>
        </w:rPr>
        <w:t xml:space="preserve"> p</w:t>
      </w:r>
      <w:r w:rsidR="00EA3C75" w:rsidRPr="00EA3C75">
        <w:rPr>
          <w:sz w:val="24"/>
          <w:szCs w:val="24"/>
          <w:u w:val="none"/>
        </w:rPr>
        <w:t>ursuant to contracts existing at the reporting date</w:t>
      </w:r>
      <w:r w:rsidR="006C35E3" w:rsidRPr="0040604D">
        <w:rPr>
          <w:sz w:val="24"/>
          <w:szCs w:val="24"/>
          <w:u w:val="none"/>
        </w:rPr>
        <w:t xml:space="preserve"> shall be reported</w:t>
      </w:r>
      <w:r w:rsidR="00C458EC">
        <w:rPr>
          <w:sz w:val="24"/>
          <w:szCs w:val="24"/>
          <w:u w:val="none"/>
        </w:rPr>
        <w:t>.</w:t>
      </w:r>
    </w:p>
    <w:p w:rsidR="00A66974" w:rsidRPr="007974FD" w:rsidRDefault="003C52C9" w:rsidP="00392C32">
      <w:pPr>
        <w:pStyle w:val="InstructionsText2"/>
        <w:rPr>
          <w:sz w:val="24"/>
          <w:szCs w:val="24"/>
          <w:u w:val="none"/>
          <w:lang w:val="en-US" w:eastAsia="fr-FR"/>
        </w:rPr>
      </w:pPr>
      <w:r>
        <w:rPr>
          <w:sz w:val="24"/>
          <w:szCs w:val="24"/>
          <w:u w:val="none"/>
        </w:rPr>
        <w:t>C</w:t>
      </w:r>
      <w:r w:rsidR="00A66974">
        <w:rPr>
          <w:sz w:val="24"/>
          <w:szCs w:val="24"/>
          <w:u w:val="none"/>
        </w:rPr>
        <w:t>ash</w:t>
      </w:r>
      <w:r w:rsidR="002B1FDF" w:rsidRPr="002B1FDF">
        <w:rPr>
          <w:sz w:val="24"/>
          <w:u w:val="none"/>
        </w:rPr>
        <w:t xml:space="preserve"> </w:t>
      </w:r>
      <w:r w:rsidR="007E4405" w:rsidRPr="002B1FDF">
        <w:rPr>
          <w:sz w:val="24"/>
          <w:u w:val="none"/>
        </w:rPr>
        <w:t>out</w:t>
      </w:r>
      <w:r w:rsidR="00A12578" w:rsidRPr="008A1DB9">
        <w:rPr>
          <w:sz w:val="24"/>
          <w:u w:val="none"/>
        </w:rPr>
        <w:t xml:space="preserve">flows </w:t>
      </w:r>
      <w:r w:rsidR="00A66974">
        <w:rPr>
          <w:sz w:val="24"/>
          <w:szCs w:val="24"/>
          <w:u w:val="none"/>
        </w:rPr>
        <w:t>and</w:t>
      </w:r>
      <w:r w:rsidR="002B1FDF" w:rsidRPr="002B1FDF">
        <w:rPr>
          <w:sz w:val="24"/>
          <w:u w:val="none"/>
        </w:rPr>
        <w:t xml:space="preserve"> </w:t>
      </w:r>
      <w:r w:rsidR="007E4405" w:rsidRPr="002B1FDF">
        <w:rPr>
          <w:sz w:val="24"/>
          <w:u w:val="none"/>
        </w:rPr>
        <w:t>in</w:t>
      </w:r>
      <w:r w:rsidR="00A12578" w:rsidRPr="008A1DB9">
        <w:rPr>
          <w:sz w:val="24"/>
          <w:u w:val="none"/>
        </w:rPr>
        <w:t>flows</w:t>
      </w:r>
      <w:r>
        <w:rPr>
          <w:sz w:val="24"/>
          <w:szCs w:val="24"/>
          <w:u w:val="none"/>
        </w:rPr>
        <w:t xml:space="preserve"> in </w:t>
      </w:r>
      <w:r w:rsidR="007E4405">
        <w:rPr>
          <w:sz w:val="24"/>
          <w:szCs w:val="24"/>
          <w:u w:val="none"/>
        </w:rPr>
        <w:t xml:space="preserve">the </w:t>
      </w:r>
      <w:r w:rsidR="00DD5BDC">
        <w:rPr>
          <w:sz w:val="24"/>
          <w:szCs w:val="24"/>
          <w:u w:val="none"/>
        </w:rPr>
        <w:t>respective sections</w:t>
      </w:r>
      <w:r>
        <w:rPr>
          <w:sz w:val="24"/>
          <w:szCs w:val="24"/>
          <w:u w:val="none"/>
        </w:rPr>
        <w:t xml:space="preserve"> “</w:t>
      </w:r>
      <w:r w:rsidR="007E4405">
        <w:rPr>
          <w:sz w:val="24"/>
          <w:szCs w:val="24"/>
          <w:u w:val="none"/>
        </w:rPr>
        <w:t>out</w:t>
      </w:r>
      <w:r>
        <w:rPr>
          <w:sz w:val="24"/>
          <w:szCs w:val="24"/>
          <w:u w:val="none"/>
        </w:rPr>
        <w:t>flows” and</w:t>
      </w:r>
      <w:r w:rsidR="00DD5BDC">
        <w:rPr>
          <w:sz w:val="24"/>
          <w:szCs w:val="24"/>
          <w:u w:val="none"/>
        </w:rPr>
        <w:t xml:space="preserve"> </w:t>
      </w:r>
      <w:r>
        <w:rPr>
          <w:sz w:val="24"/>
          <w:szCs w:val="24"/>
          <w:u w:val="none"/>
        </w:rPr>
        <w:t>“</w:t>
      </w:r>
      <w:r w:rsidR="007E4405">
        <w:rPr>
          <w:sz w:val="24"/>
          <w:szCs w:val="24"/>
          <w:u w:val="none"/>
        </w:rPr>
        <w:t>in</w:t>
      </w:r>
      <w:r>
        <w:rPr>
          <w:sz w:val="24"/>
          <w:szCs w:val="24"/>
          <w:u w:val="none"/>
        </w:rPr>
        <w:t>flows”</w:t>
      </w:r>
      <w:r w:rsidR="00A66974">
        <w:rPr>
          <w:sz w:val="24"/>
          <w:szCs w:val="24"/>
          <w:u w:val="none"/>
        </w:rPr>
        <w:t xml:space="preserve"> shall be reported </w:t>
      </w:r>
      <w:r>
        <w:rPr>
          <w:sz w:val="24"/>
          <w:szCs w:val="24"/>
          <w:u w:val="none"/>
        </w:rPr>
        <w:t>on a gross basis with</w:t>
      </w:r>
      <w:r w:rsidR="00A27E98">
        <w:rPr>
          <w:sz w:val="24"/>
          <w:szCs w:val="24"/>
          <w:u w:val="none"/>
        </w:rPr>
        <w:t xml:space="preserve"> </w:t>
      </w:r>
      <w:r w:rsidR="007E4405">
        <w:rPr>
          <w:sz w:val="24"/>
          <w:szCs w:val="24"/>
          <w:u w:val="none"/>
        </w:rPr>
        <w:t xml:space="preserve">a </w:t>
      </w:r>
      <w:r w:rsidR="00A27E98">
        <w:rPr>
          <w:sz w:val="24"/>
          <w:szCs w:val="24"/>
          <w:u w:val="none"/>
        </w:rPr>
        <w:t>positive sign</w:t>
      </w:r>
      <w:r w:rsidR="008F2DBC">
        <w:rPr>
          <w:sz w:val="24"/>
          <w:szCs w:val="24"/>
          <w:u w:val="none"/>
        </w:rPr>
        <w:t>.</w:t>
      </w:r>
      <w:r w:rsidR="00A66974">
        <w:rPr>
          <w:sz w:val="24"/>
          <w:szCs w:val="24"/>
          <w:u w:val="none"/>
        </w:rPr>
        <w:t xml:space="preserve"> </w:t>
      </w:r>
      <w:r w:rsidR="00A12578" w:rsidRPr="00455269">
        <w:rPr>
          <w:sz w:val="24"/>
          <w:szCs w:val="24"/>
          <w:u w:val="none"/>
        </w:rPr>
        <w:t xml:space="preserve">Amounts due </w:t>
      </w:r>
      <w:r w:rsidR="00DD5BDC" w:rsidRPr="008A1DB9">
        <w:rPr>
          <w:sz w:val="24"/>
          <w:szCs w:val="24"/>
          <w:u w:val="none"/>
        </w:rPr>
        <w:t xml:space="preserve">to be paid and received </w:t>
      </w:r>
      <w:r w:rsidR="00A12578" w:rsidRPr="00455269">
        <w:rPr>
          <w:sz w:val="24"/>
          <w:szCs w:val="24"/>
          <w:u w:val="none"/>
        </w:rPr>
        <w:t>shall be reported</w:t>
      </w:r>
      <w:r w:rsidR="00DD5BDC" w:rsidRPr="008A1DB9">
        <w:rPr>
          <w:sz w:val="24"/>
          <w:szCs w:val="24"/>
          <w:u w:val="none"/>
        </w:rPr>
        <w:t xml:space="preserve"> respectively in the outflow and inflow sections</w:t>
      </w:r>
      <w:r w:rsidR="00A12578" w:rsidRPr="00455269">
        <w:rPr>
          <w:sz w:val="24"/>
          <w:szCs w:val="24"/>
          <w:u w:val="none"/>
        </w:rPr>
        <w:t>.</w:t>
      </w:r>
    </w:p>
    <w:p w:rsidR="00A66974" w:rsidRPr="008A1DB9" w:rsidRDefault="00DD5BDC" w:rsidP="00392C32">
      <w:pPr>
        <w:pStyle w:val="InstructionsText2"/>
        <w:rPr>
          <w:sz w:val="24"/>
          <w:u w:val="none"/>
        </w:rPr>
      </w:pPr>
      <w:r>
        <w:rPr>
          <w:sz w:val="24"/>
          <w:szCs w:val="24"/>
          <w:u w:val="none"/>
        </w:rPr>
        <w:lastRenderedPageBreak/>
        <w:t xml:space="preserve">For the </w:t>
      </w:r>
      <w:r w:rsidRPr="00AF4E42">
        <w:rPr>
          <w:sz w:val="24"/>
          <w:u w:val="none"/>
        </w:rPr>
        <w:t xml:space="preserve">section </w:t>
      </w:r>
      <w:r w:rsidR="003C52C9" w:rsidRPr="00AF4E42">
        <w:rPr>
          <w:sz w:val="24"/>
          <w:u w:val="none"/>
        </w:rPr>
        <w:t>“counterbalancing capacity”</w:t>
      </w:r>
      <w:r w:rsidR="001105C6" w:rsidRPr="00AF4E42">
        <w:rPr>
          <w:sz w:val="24"/>
          <w:u w:val="none"/>
        </w:rPr>
        <w:t xml:space="preserve"> </w:t>
      </w:r>
      <w:r w:rsidR="00AF4E42">
        <w:rPr>
          <w:sz w:val="24"/>
          <w:u w:val="none"/>
        </w:rPr>
        <w:t>out</w:t>
      </w:r>
      <w:r w:rsidR="00A66974" w:rsidRPr="00AF4E42">
        <w:rPr>
          <w:sz w:val="24"/>
          <w:u w:val="none"/>
        </w:rPr>
        <w:t xml:space="preserve">flows </w:t>
      </w:r>
      <w:r w:rsidR="003C52C9" w:rsidRPr="00AF4E42">
        <w:rPr>
          <w:sz w:val="24"/>
          <w:u w:val="none"/>
        </w:rPr>
        <w:t xml:space="preserve">and </w:t>
      </w:r>
      <w:r w:rsidR="00AF4E42">
        <w:rPr>
          <w:sz w:val="24"/>
          <w:u w:val="none"/>
        </w:rPr>
        <w:t>in</w:t>
      </w:r>
      <w:r w:rsidR="003C52C9" w:rsidRPr="00AF4E42">
        <w:rPr>
          <w:sz w:val="24"/>
          <w:u w:val="none"/>
        </w:rPr>
        <w:t xml:space="preserve">flows </w:t>
      </w:r>
      <w:r w:rsidR="00A66974" w:rsidRPr="00AF4E42">
        <w:rPr>
          <w:sz w:val="24"/>
          <w:u w:val="none"/>
        </w:rPr>
        <w:t xml:space="preserve">shall be reported </w:t>
      </w:r>
      <w:r w:rsidR="003C52C9" w:rsidRPr="00AF4E42">
        <w:rPr>
          <w:sz w:val="24"/>
          <w:u w:val="none"/>
        </w:rPr>
        <w:t xml:space="preserve">on a net basis </w:t>
      </w:r>
      <w:r w:rsidR="00A66974" w:rsidRPr="00AF4E42">
        <w:rPr>
          <w:sz w:val="24"/>
          <w:u w:val="none"/>
        </w:rPr>
        <w:t xml:space="preserve">with </w:t>
      </w:r>
      <w:r w:rsidRPr="00AF4E42">
        <w:rPr>
          <w:sz w:val="24"/>
          <w:u w:val="none"/>
        </w:rPr>
        <w:t xml:space="preserve">a </w:t>
      </w:r>
      <w:r w:rsidR="001105C6" w:rsidRPr="00AF4E42">
        <w:rPr>
          <w:sz w:val="24"/>
          <w:u w:val="none"/>
        </w:rPr>
        <w:t xml:space="preserve">positive </w:t>
      </w:r>
      <w:r w:rsidR="00A66974" w:rsidRPr="00AF4E42">
        <w:rPr>
          <w:sz w:val="24"/>
          <w:u w:val="none"/>
        </w:rPr>
        <w:t>sign</w:t>
      </w:r>
      <w:r w:rsidR="003C52C9" w:rsidRPr="00AF4E42">
        <w:rPr>
          <w:sz w:val="24"/>
          <w:u w:val="none"/>
        </w:rPr>
        <w:t xml:space="preserve"> if </w:t>
      </w:r>
      <w:r w:rsidRPr="00AF4E42">
        <w:rPr>
          <w:sz w:val="24"/>
          <w:u w:val="none"/>
        </w:rPr>
        <w:t>an inflow</w:t>
      </w:r>
      <w:r w:rsidR="003C52C9" w:rsidRPr="00AF4E42">
        <w:rPr>
          <w:sz w:val="24"/>
          <w:u w:val="none"/>
        </w:rPr>
        <w:t xml:space="preserve"> and</w:t>
      </w:r>
      <w:r w:rsidRPr="00AF4E42">
        <w:rPr>
          <w:sz w:val="24"/>
          <w:u w:val="none"/>
        </w:rPr>
        <w:t xml:space="preserve"> a</w:t>
      </w:r>
      <w:r w:rsidR="003C52C9" w:rsidRPr="00AF4E42">
        <w:rPr>
          <w:sz w:val="24"/>
          <w:u w:val="none"/>
        </w:rPr>
        <w:t xml:space="preserve"> negative sign if </w:t>
      </w:r>
      <w:r w:rsidRPr="00AF4E42">
        <w:rPr>
          <w:sz w:val="24"/>
          <w:u w:val="none"/>
        </w:rPr>
        <w:t>an outflow</w:t>
      </w:r>
      <w:r w:rsidR="003C52C9" w:rsidRPr="00AF4E42">
        <w:rPr>
          <w:sz w:val="24"/>
          <w:u w:val="none"/>
        </w:rPr>
        <w:t>.</w:t>
      </w:r>
      <w:r w:rsidR="00A66974" w:rsidRPr="00AF4E42">
        <w:rPr>
          <w:sz w:val="24"/>
          <w:u w:val="none"/>
        </w:rPr>
        <w:t xml:space="preserve"> </w:t>
      </w:r>
      <w:r w:rsidR="00FE4DC9" w:rsidRPr="008A1DB9">
        <w:rPr>
          <w:sz w:val="24"/>
          <w:u w:val="none"/>
        </w:rPr>
        <w:t>For cash flows</w:t>
      </w:r>
      <w:r w:rsidR="00FC1FA7">
        <w:rPr>
          <w:sz w:val="24"/>
          <w:u w:val="none"/>
        </w:rPr>
        <w:t>,</w:t>
      </w:r>
      <w:r w:rsidR="00FE4DC9" w:rsidRPr="008A1DB9">
        <w:rPr>
          <w:sz w:val="24"/>
          <w:u w:val="none"/>
        </w:rPr>
        <w:t xml:space="preserve"> amounts due shall be reported.</w:t>
      </w:r>
      <w:r w:rsidR="00A12578" w:rsidRPr="00AF4E42">
        <w:rPr>
          <w:sz w:val="24"/>
          <w:u w:val="none"/>
        </w:rPr>
        <w:t xml:space="preserve"> Securities flows shall be reported </w:t>
      </w:r>
      <w:r w:rsidR="00840052" w:rsidRPr="008A1DB9">
        <w:rPr>
          <w:sz w:val="24"/>
          <w:u w:val="none"/>
        </w:rPr>
        <w:t>at</w:t>
      </w:r>
      <w:r w:rsidR="00A12578" w:rsidRPr="00AF4E42">
        <w:rPr>
          <w:sz w:val="24"/>
          <w:u w:val="none"/>
        </w:rPr>
        <w:t xml:space="preserve"> </w:t>
      </w:r>
      <w:r w:rsidR="0011243F" w:rsidRPr="008A1DB9">
        <w:rPr>
          <w:sz w:val="24"/>
          <w:u w:val="none"/>
        </w:rPr>
        <w:t xml:space="preserve">current </w:t>
      </w:r>
      <w:r w:rsidR="00A12578" w:rsidRPr="00AF4E42">
        <w:rPr>
          <w:sz w:val="24"/>
          <w:u w:val="none"/>
        </w:rPr>
        <w:t>market value</w:t>
      </w:r>
      <w:r w:rsidR="00840052" w:rsidRPr="008A1DB9">
        <w:rPr>
          <w:sz w:val="24"/>
          <w:u w:val="none"/>
        </w:rPr>
        <w:t>.</w:t>
      </w:r>
      <w:r w:rsidR="00A12578" w:rsidRPr="00AF4E42">
        <w:rPr>
          <w:sz w:val="24"/>
          <w:u w:val="none"/>
        </w:rPr>
        <w:t xml:space="preserve"> </w:t>
      </w:r>
      <w:r w:rsidR="00840052" w:rsidRPr="008A1DB9">
        <w:rPr>
          <w:sz w:val="24"/>
          <w:u w:val="none"/>
        </w:rPr>
        <w:t>Flows arising on c</w:t>
      </w:r>
      <w:r w:rsidR="00A12578" w:rsidRPr="00AF4E42">
        <w:rPr>
          <w:sz w:val="24"/>
          <w:u w:val="none"/>
        </w:rPr>
        <w:t xml:space="preserve">redit </w:t>
      </w:r>
      <w:r w:rsidR="00840052" w:rsidRPr="008A1DB9">
        <w:rPr>
          <w:sz w:val="24"/>
          <w:u w:val="none"/>
        </w:rPr>
        <w:t>and</w:t>
      </w:r>
      <w:r w:rsidR="00A12578" w:rsidRPr="00AF4E42">
        <w:rPr>
          <w:sz w:val="24"/>
          <w:u w:val="none"/>
        </w:rPr>
        <w:t xml:space="preserve"> liquidity lines</w:t>
      </w:r>
      <w:r w:rsidR="00FE4DC9" w:rsidRPr="008A1DB9">
        <w:rPr>
          <w:sz w:val="24"/>
          <w:u w:val="none"/>
        </w:rPr>
        <w:t xml:space="preserve"> </w:t>
      </w:r>
      <w:r w:rsidR="00A12578" w:rsidRPr="00AF4E42">
        <w:rPr>
          <w:sz w:val="24"/>
          <w:u w:val="none"/>
        </w:rPr>
        <w:t>shall be</w:t>
      </w:r>
      <w:r w:rsidR="00840052" w:rsidRPr="008A1DB9">
        <w:rPr>
          <w:sz w:val="24"/>
          <w:u w:val="none"/>
        </w:rPr>
        <w:t xml:space="preserve"> reported at the</w:t>
      </w:r>
      <w:r w:rsidR="00A12578" w:rsidRPr="00AF4E42">
        <w:rPr>
          <w:sz w:val="24"/>
          <w:u w:val="none"/>
        </w:rPr>
        <w:t xml:space="preserve"> contractual available amount</w:t>
      </w:r>
      <w:r w:rsidR="00BF1A09" w:rsidRPr="008A1DB9">
        <w:rPr>
          <w:sz w:val="24"/>
          <w:u w:val="none"/>
        </w:rPr>
        <w:t>s</w:t>
      </w:r>
      <w:r w:rsidR="00A12578" w:rsidRPr="00AF4E42">
        <w:rPr>
          <w:sz w:val="24"/>
          <w:u w:val="none"/>
        </w:rPr>
        <w:t>.</w:t>
      </w:r>
      <w:r w:rsidR="003E309A">
        <w:rPr>
          <w:sz w:val="24"/>
          <w:u w:val="none"/>
        </w:rPr>
        <w:t xml:space="preserve"> </w:t>
      </w:r>
    </w:p>
    <w:p w:rsidR="00392C32" w:rsidRPr="0040604D" w:rsidRDefault="0054702C" w:rsidP="00392C32">
      <w:pPr>
        <w:pStyle w:val="InstructionsText2"/>
        <w:rPr>
          <w:sz w:val="24"/>
          <w:szCs w:val="24"/>
          <w:u w:val="none"/>
          <w:lang w:val="en-US" w:eastAsia="fr-FR"/>
        </w:rPr>
      </w:pPr>
      <w:r>
        <w:rPr>
          <w:sz w:val="24"/>
          <w:szCs w:val="24"/>
          <w:u w:val="none"/>
          <w:lang w:val="en-IE"/>
        </w:rPr>
        <w:t>Contractual flows</w:t>
      </w:r>
      <w:r w:rsidR="001126F1" w:rsidRPr="0040604D">
        <w:rPr>
          <w:sz w:val="24"/>
          <w:szCs w:val="24"/>
          <w:u w:val="none"/>
          <w:lang w:val="en-US"/>
        </w:rPr>
        <w:t xml:space="preserve"> </w:t>
      </w:r>
      <w:r w:rsidR="00465663" w:rsidRPr="0040604D">
        <w:rPr>
          <w:sz w:val="24"/>
          <w:szCs w:val="24"/>
          <w:u w:val="none"/>
          <w:lang w:val="en-US"/>
        </w:rPr>
        <w:t>shall</w:t>
      </w:r>
      <w:r w:rsidR="001126F1" w:rsidRPr="0040604D">
        <w:rPr>
          <w:sz w:val="24"/>
          <w:szCs w:val="24"/>
          <w:u w:val="none"/>
          <w:lang w:val="en-US"/>
        </w:rPr>
        <w:t xml:space="preserve"> be allocated</w:t>
      </w:r>
      <w:r w:rsidR="00392C32" w:rsidRPr="0040604D">
        <w:rPr>
          <w:sz w:val="24"/>
          <w:szCs w:val="24"/>
          <w:u w:val="none"/>
          <w:lang w:val="en-US"/>
        </w:rPr>
        <w:t xml:space="preserve"> across</w:t>
      </w:r>
      <w:r w:rsidR="001126F1" w:rsidRPr="0040604D">
        <w:rPr>
          <w:sz w:val="24"/>
          <w:szCs w:val="24"/>
          <w:u w:val="none"/>
          <w:lang w:val="en-US"/>
        </w:rPr>
        <w:t xml:space="preserve"> the</w:t>
      </w:r>
      <w:r w:rsidR="00392C32" w:rsidRPr="0040604D">
        <w:rPr>
          <w:sz w:val="24"/>
          <w:szCs w:val="24"/>
          <w:u w:val="none"/>
          <w:lang w:val="en-US"/>
        </w:rPr>
        <w:t xml:space="preserve"> </w:t>
      </w:r>
      <w:r w:rsidR="009D1C94" w:rsidRPr="008A1DB9">
        <w:rPr>
          <w:sz w:val="24"/>
          <w:szCs w:val="24"/>
          <w:u w:val="none"/>
          <w:lang w:val="en-US"/>
        </w:rPr>
        <w:t>twenty-</w:t>
      </w:r>
      <w:r w:rsidR="004C4F3B">
        <w:rPr>
          <w:sz w:val="24"/>
          <w:szCs w:val="24"/>
          <w:u w:val="none"/>
          <w:lang w:val="en-US"/>
        </w:rPr>
        <w:t>two</w:t>
      </w:r>
      <w:r w:rsidR="009D1C94" w:rsidRPr="0040604D">
        <w:rPr>
          <w:sz w:val="24"/>
          <w:szCs w:val="24"/>
          <w:u w:val="none"/>
          <w:lang w:val="en-US"/>
        </w:rPr>
        <w:t xml:space="preserve"> </w:t>
      </w:r>
      <w:r w:rsidR="001126F1" w:rsidRPr="0040604D">
        <w:rPr>
          <w:sz w:val="24"/>
          <w:szCs w:val="24"/>
          <w:u w:val="none"/>
          <w:lang w:val="en-US"/>
        </w:rPr>
        <w:t xml:space="preserve">time buckets </w:t>
      </w:r>
      <w:r w:rsidR="00B347C5">
        <w:rPr>
          <w:sz w:val="24"/>
          <w:szCs w:val="24"/>
          <w:u w:val="none"/>
          <w:lang w:val="en-US"/>
        </w:rPr>
        <w:t xml:space="preserve">according to their </w:t>
      </w:r>
      <w:r w:rsidR="00840052">
        <w:rPr>
          <w:sz w:val="24"/>
          <w:szCs w:val="24"/>
          <w:u w:val="none"/>
          <w:lang w:val="en-US"/>
        </w:rPr>
        <w:t>residual maturity</w:t>
      </w:r>
      <w:r w:rsidR="004C4F3B">
        <w:rPr>
          <w:sz w:val="24"/>
          <w:szCs w:val="24"/>
          <w:u w:val="none"/>
          <w:lang w:val="en-US"/>
        </w:rPr>
        <w:t>.</w:t>
      </w:r>
      <w:r w:rsidR="00F35864" w:rsidRPr="0040604D">
        <w:rPr>
          <w:sz w:val="24"/>
          <w:szCs w:val="24"/>
          <w:u w:val="none"/>
          <w:lang w:val="en-US"/>
        </w:rPr>
        <w:t>.</w:t>
      </w:r>
    </w:p>
    <w:p w:rsidR="00F35864" w:rsidRPr="0040604D" w:rsidRDefault="00F35864" w:rsidP="00392C32">
      <w:pPr>
        <w:pStyle w:val="InstructionsText2"/>
        <w:rPr>
          <w:sz w:val="24"/>
          <w:szCs w:val="24"/>
          <w:u w:val="none"/>
          <w:lang w:val="en-US" w:eastAsia="fr-FR"/>
        </w:rPr>
      </w:pPr>
      <w:r w:rsidRPr="0040604D">
        <w:rPr>
          <w:sz w:val="24"/>
          <w:szCs w:val="24"/>
          <w:u w:val="none"/>
          <w:lang w:val="en-US"/>
        </w:rPr>
        <w:t>A</w:t>
      </w:r>
      <w:r w:rsidR="00392C32" w:rsidRPr="0040604D">
        <w:rPr>
          <w:sz w:val="24"/>
          <w:szCs w:val="24"/>
          <w:u w:val="none"/>
        </w:rPr>
        <w:t xml:space="preserve">ll </w:t>
      </w:r>
      <w:r w:rsidR="00B347C5">
        <w:rPr>
          <w:sz w:val="24"/>
          <w:szCs w:val="24"/>
          <w:u w:val="none"/>
        </w:rPr>
        <w:t>contractual</w:t>
      </w:r>
      <w:r w:rsidR="00B347C5" w:rsidRPr="0040604D">
        <w:rPr>
          <w:sz w:val="24"/>
          <w:szCs w:val="24"/>
          <w:u w:val="none"/>
        </w:rPr>
        <w:t xml:space="preserve"> </w:t>
      </w:r>
      <w:r w:rsidR="008C6B6B" w:rsidRPr="0040604D">
        <w:rPr>
          <w:sz w:val="24"/>
          <w:szCs w:val="24"/>
          <w:u w:val="none"/>
        </w:rPr>
        <w:t>flows</w:t>
      </w:r>
      <w:r w:rsidR="00392C32" w:rsidRPr="0040604D">
        <w:rPr>
          <w:sz w:val="24"/>
          <w:szCs w:val="24"/>
          <w:u w:val="none"/>
        </w:rPr>
        <w:t xml:space="preserve"> </w:t>
      </w:r>
      <w:r w:rsidR="00465663" w:rsidRPr="0040604D">
        <w:rPr>
          <w:sz w:val="24"/>
          <w:szCs w:val="24"/>
          <w:u w:val="none"/>
        </w:rPr>
        <w:t xml:space="preserve">shall </w:t>
      </w:r>
      <w:r w:rsidR="005815BE" w:rsidRPr="0040604D">
        <w:rPr>
          <w:sz w:val="24"/>
          <w:szCs w:val="24"/>
          <w:u w:val="none"/>
        </w:rPr>
        <w:t>be</w:t>
      </w:r>
      <w:r w:rsidR="00392C32" w:rsidRPr="0040604D">
        <w:rPr>
          <w:sz w:val="24"/>
          <w:szCs w:val="24"/>
          <w:u w:val="none"/>
        </w:rPr>
        <w:t xml:space="preserve"> reported</w:t>
      </w:r>
      <w:r w:rsidR="00B347C5">
        <w:rPr>
          <w:sz w:val="24"/>
          <w:szCs w:val="24"/>
          <w:u w:val="none"/>
        </w:rPr>
        <w:t>, including</w:t>
      </w:r>
      <w:r w:rsidR="00392C32" w:rsidRPr="0040604D">
        <w:rPr>
          <w:sz w:val="24"/>
          <w:szCs w:val="24"/>
          <w:u w:val="none"/>
        </w:rPr>
        <w:t xml:space="preserve"> </w:t>
      </w:r>
      <w:r w:rsidR="00B347C5">
        <w:rPr>
          <w:sz w:val="24"/>
          <w:szCs w:val="24"/>
          <w:u w:val="none"/>
        </w:rPr>
        <w:t>a</w:t>
      </w:r>
      <w:r w:rsidRPr="0040604D">
        <w:rPr>
          <w:sz w:val="24"/>
          <w:szCs w:val="24"/>
          <w:u w:val="none"/>
        </w:rPr>
        <w:t>ll m</w:t>
      </w:r>
      <w:r w:rsidR="00392C32" w:rsidRPr="0040604D">
        <w:rPr>
          <w:sz w:val="24"/>
          <w:szCs w:val="24"/>
          <w:u w:val="none"/>
        </w:rPr>
        <w:t xml:space="preserve">aterial cash-flows from non-financial activities </w:t>
      </w:r>
      <w:r w:rsidR="00465663" w:rsidRPr="0040604D">
        <w:rPr>
          <w:sz w:val="24"/>
          <w:szCs w:val="24"/>
          <w:u w:val="none"/>
        </w:rPr>
        <w:t>such as</w:t>
      </w:r>
      <w:r w:rsidR="005815BE" w:rsidRPr="0040604D">
        <w:rPr>
          <w:sz w:val="24"/>
          <w:szCs w:val="24"/>
          <w:u w:val="none"/>
        </w:rPr>
        <w:t xml:space="preserve"> </w:t>
      </w:r>
      <w:r w:rsidR="00392C32" w:rsidRPr="0040604D">
        <w:rPr>
          <w:sz w:val="24"/>
          <w:szCs w:val="24"/>
          <w:u w:val="none"/>
        </w:rPr>
        <w:t>taxes, bonuses, dividends</w:t>
      </w:r>
      <w:r w:rsidR="00465663" w:rsidRPr="0040604D">
        <w:rPr>
          <w:sz w:val="24"/>
          <w:szCs w:val="24"/>
          <w:u w:val="none"/>
        </w:rPr>
        <w:t xml:space="preserve"> and</w:t>
      </w:r>
      <w:r w:rsidR="00392C32" w:rsidRPr="0040604D">
        <w:rPr>
          <w:sz w:val="24"/>
          <w:szCs w:val="24"/>
          <w:u w:val="none"/>
        </w:rPr>
        <w:t xml:space="preserve"> rents</w:t>
      </w:r>
      <w:r w:rsidR="00F22FEE">
        <w:rPr>
          <w:sz w:val="24"/>
          <w:szCs w:val="24"/>
          <w:u w:val="none"/>
        </w:rPr>
        <w:t xml:space="preserve"> </w:t>
      </w:r>
      <w:r w:rsidR="00392C32" w:rsidRPr="0040604D">
        <w:rPr>
          <w:sz w:val="24"/>
          <w:szCs w:val="24"/>
          <w:u w:val="none"/>
        </w:rPr>
        <w:t xml:space="preserve">. </w:t>
      </w:r>
    </w:p>
    <w:p w:rsidR="00BB4D3B" w:rsidRDefault="00392C32" w:rsidP="008A1DB9">
      <w:pPr>
        <w:pStyle w:val="InstructionsText2"/>
        <w:rPr>
          <w:sz w:val="24"/>
          <w:szCs w:val="24"/>
          <w:u w:val="none"/>
          <w:lang w:val="en-US" w:eastAsia="fr-FR"/>
        </w:rPr>
      </w:pPr>
      <w:r w:rsidRPr="0040604D">
        <w:rPr>
          <w:sz w:val="24"/>
          <w:szCs w:val="24"/>
          <w:u w:val="none"/>
          <w:lang w:val="en-US" w:eastAsia="fr-FR"/>
        </w:rPr>
        <w:t xml:space="preserve">Institutions </w:t>
      </w:r>
      <w:r w:rsidR="00465663" w:rsidRPr="0040604D">
        <w:rPr>
          <w:sz w:val="24"/>
          <w:szCs w:val="24"/>
          <w:u w:val="none"/>
          <w:lang w:val="en-US" w:eastAsia="fr-FR"/>
        </w:rPr>
        <w:t>shall</w:t>
      </w:r>
      <w:r w:rsidRPr="0040604D">
        <w:rPr>
          <w:sz w:val="24"/>
          <w:szCs w:val="24"/>
          <w:u w:val="none"/>
          <w:lang w:val="en-US" w:eastAsia="fr-FR"/>
        </w:rPr>
        <w:t xml:space="preserve"> follow a conservative approach in determining contractual maturities</w:t>
      </w:r>
      <w:r w:rsidR="00F35864" w:rsidRPr="0040604D">
        <w:rPr>
          <w:sz w:val="24"/>
          <w:szCs w:val="24"/>
          <w:u w:val="none"/>
          <w:lang w:val="en-US" w:eastAsia="fr-FR"/>
        </w:rPr>
        <w:t xml:space="preserve"> of </w:t>
      </w:r>
      <w:r w:rsidR="008C6B6B" w:rsidRPr="0040604D">
        <w:rPr>
          <w:sz w:val="24"/>
          <w:szCs w:val="24"/>
          <w:u w:val="none"/>
          <w:lang w:val="en-US" w:eastAsia="fr-FR"/>
        </w:rPr>
        <w:t>flows</w:t>
      </w:r>
      <w:r w:rsidRPr="0040604D">
        <w:rPr>
          <w:sz w:val="24"/>
          <w:szCs w:val="24"/>
          <w:u w:val="none"/>
          <w:lang w:val="en-US" w:eastAsia="fr-FR"/>
        </w:rPr>
        <w:t xml:space="preserve">. </w:t>
      </w:r>
    </w:p>
    <w:p w:rsidR="00BB4D3B" w:rsidRPr="00BB4D3B" w:rsidRDefault="001B05A8" w:rsidP="008A1DB9">
      <w:pPr>
        <w:pStyle w:val="InstructionsText2"/>
        <w:numPr>
          <w:ilvl w:val="1"/>
          <w:numId w:val="15"/>
        </w:numPr>
        <w:rPr>
          <w:sz w:val="24"/>
          <w:szCs w:val="24"/>
          <w:u w:val="none"/>
          <w:lang w:val="en-US"/>
        </w:rPr>
      </w:pPr>
      <w:r w:rsidRPr="0040604D">
        <w:rPr>
          <w:sz w:val="24"/>
          <w:szCs w:val="24"/>
          <w:u w:val="none"/>
          <w:lang w:val="en-US"/>
        </w:rPr>
        <w:t>Consequently</w:t>
      </w:r>
      <w:r w:rsidR="00BB4D3B">
        <w:rPr>
          <w:sz w:val="24"/>
          <w:szCs w:val="24"/>
          <w:u w:val="none"/>
          <w:lang w:val="en-US"/>
        </w:rPr>
        <w:t xml:space="preserve">, </w:t>
      </w:r>
      <w:r w:rsidR="00544476" w:rsidRPr="00BB4D3B">
        <w:rPr>
          <w:sz w:val="24"/>
          <w:szCs w:val="24"/>
          <w:u w:val="none"/>
          <w:lang w:val="en-US"/>
        </w:rPr>
        <w:t>for an instrument with a call or a prepayment option:</w:t>
      </w:r>
    </w:p>
    <w:p w:rsidR="00392C32" w:rsidRPr="0040604D" w:rsidRDefault="00FD28F3" w:rsidP="007764E5">
      <w:pPr>
        <w:pStyle w:val="InstructionsText2"/>
        <w:numPr>
          <w:ilvl w:val="2"/>
          <w:numId w:val="15"/>
        </w:numPr>
        <w:rPr>
          <w:sz w:val="24"/>
          <w:szCs w:val="24"/>
          <w:u w:val="none"/>
          <w:lang w:val="en-US" w:eastAsia="fr-FR"/>
        </w:rPr>
      </w:pPr>
      <w:r w:rsidRPr="00FD28F3">
        <w:rPr>
          <w:sz w:val="24"/>
          <w:szCs w:val="24"/>
          <w:u w:val="none"/>
          <w:lang w:val="en-US"/>
        </w:rPr>
        <w:t>and where the exercise of this call or this option leads to a cash outflow, it shall be assumed that the call or prepayment occurs at their first possible date</w:t>
      </w:r>
      <w:r w:rsidR="00392C32" w:rsidRPr="0040604D">
        <w:rPr>
          <w:sz w:val="24"/>
          <w:szCs w:val="24"/>
          <w:u w:val="none"/>
          <w:lang w:val="en-US"/>
        </w:rPr>
        <w:t>;</w:t>
      </w:r>
    </w:p>
    <w:p w:rsidR="00392C32" w:rsidRPr="0040604D" w:rsidRDefault="00FD28F3" w:rsidP="00392C32">
      <w:pPr>
        <w:pStyle w:val="InstructionsText2"/>
        <w:numPr>
          <w:ilvl w:val="2"/>
          <w:numId w:val="15"/>
        </w:numPr>
        <w:rPr>
          <w:sz w:val="24"/>
          <w:szCs w:val="24"/>
          <w:u w:val="none"/>
          <w:lang w:val="en-US"/>
        </w:rPr>
      </w:pPr>
      <w:r w:rsidRPr="00FD28F3">
        <w:rPr>
          <w:sz w:val="24"/>
          <w:szCs w:val="24"/>
          <w:u w:val="none"/>
          <w:lang w:val="en-US"/>
        </w:rPr>
        <w:t>and where the exercise of this call or this option leads to a cash inflow, it shall be assumed that the call or prepayment occurs at their last possible callable date or maturity. By derogation from the previous paragraph, any cash outflow that would be contractually triggered by this inflow – as in pass-through financing – shall be reported at the same date as this inflow</w:t>
      </w:r>
      <w:r w:rsidR="00A12578" w:rsidRPr="00455269">
        <w:rPr>
          <w:sz w:val="24"/>
          <w:szCs w:val="24"/>
          <w:u w:val="none"/>
          <w:lang w:val="en-US"/>
        </w:rPr>
        <w:t>).</w:t>
      </w:r>
    </w:p>
    <w:p w:rsidR="00392C32" w:rsidRPr="008A1DB9" w:rsidRDefault="00392C32" w:rsidP="00392C32">
      <w:pPr>
        <w:pStyle w:val="InstructionsText2"/>
        <w:numPr>
          <w:ilvl w:val="1"/>
          <w:numId w:val="15"/>
        </w:numPr>
        <w:rPr>
          <w:sz w:val="24"/>
          <w:u w:val="none"/>
          <w:lang w:val="en-US"/>
        </w:rPr>
      </w:pPr>
      <w:r w:rsidRPr="0040604D">
        <w:rPr>
          <w:sz w:val="24"/>
          <w:szCs w:val="24"/>
          <w:u w:val="none"/>
          <w:lang w:val="en-US"/>
        </w:rPr>
        <w:t xml:space="preserve">all sight and non-maturing deposits </w:t>
      </w:r>
      <w:r w:rsidR="00220736" w:rsidRPr="0040604D">
        <w:rPr>
          <w:sz w:val="24"/>
          <w:szCs w:val="24"/>
          <w:u w:val="none"/>
          <w:lang w:val="en-US"/>
        </w:rPr>
        <w:t>shall</w:t>
      </w:r>
      <w:r w:rsidRPr="0040604D">
        <w:rPr>
          <w:sz w:val="24"/>
          <w:szCs w:val="24"/>
          <w:u w:val="none"/>
          <w:lang w:val="en-US"/>
        </w:rPr>
        <w:t xml:space="preserve"> be reported </w:t>
      </w:r>
      <w:r w:rsidR="0005230B" w:rsidRPr="0040604D">
        <w:rPr>
          <w:sz w:val="24"/>
          <w:szCs w:val="24"/>
          <w:u w:val="none"/>
          <w:lang w:val="en-US"/>
        </w:rPr>
        <w:t xml:space="preserve">as open maturity in column </w:t>
      </w:r>
      <w:r w:rsidR="003E309A">
        <w:rPr>
          <w:sz w:val="24"/>
          <w:szCs w:val="24"/>
          <w:u w:val="none"/>
          <w:lang w:val="en-US"/>
        </w:rPr>
        <w:t>010</w:t>
      </w:r>
      <w:r w:rsidR="0005230B" w:rsidRPr="0040604D">
        <w:rPr>
          <w:sz w:val="24"/>
          <w:szCs w:val="24"/>
          <w:u w:val="none"/>
          <w:lang w:val="en-US"/>
        </w:rPr>
        <w:t>.</w:t>
      </w:r>
    </w:p>
    <w:p w:rsidR="00392C32" w:rsidRPr="0040604D" w:rsidRDefault="00392C32" w:rsidP="00392C32">
      <w:pPr>
        <w:pStyle w:val="InstructionsText2"/>
        <w:rPr>
          <w:sz w:val="24"/>
          <w:szCs w:val="24"/>
          <w:u w:val="none"/>
          <w:lang w:val="en-US" w:eastAsia="fr-FR"/>
        </w:rPr>
      </w:pPr>
      <w:r w:rsidRPr="0040604D">
        <w:rPr>
          <w:sz w:val="24"/>
          <w:szCs w:val="24"/>
          <w:u w:val="none"/>
          <w:lang w:val="en-US" w:eastAsia="fr-FR"/>
        </w:rPr>
        <w:t xml:space="preserve">Interest </w:t>
      </w:r>
      <w:r w:rsidR="003E7307">
        <w:rPr>
          <w:sz w:val="24"/>
          <w:szCs w:val="24"/>
          <w:u w:val="none"/>
          <w:lang w:val="en-US" w:eastAsia="fr-FR"/>
        </w:rPr>
        <w:t>out</w:t>
      </w:r>
      <w:r w:rsidRPr="0040604D">
        <w:rPr>
          <w:sz w:val="24"/>
          <w:szCs w:val="24"/>
          <w:u w:val="none"/>
          <w:lang w:val="en-US" w:eastAsia="fr-FR"/>
        </w:rPr>
        <w:t>flows</w:t>
      </w:r>
      <w:r w:rsidR="0005230B" w:rsidRPr="0040604D">
        <w:rPr>
          <w:sz w:val="24"/>
          <w:szCs w:val="24"/>
          <w:u w:val="none"/>
          <w:lang w:val="en-US" w:eastAsia="fr-FR"/>
        </w:rPr>
        <w:t xml:space="preserve"> and </w:t>
      </w:r>
      <w:r w:rsidR="003E7307">
        <w:rPr>
          <w:sz w:val="24"/>
          <w:szCs w:val="24"/>
          <w:u w:val="none"/>
          <w:lang w:val="en-US" w:eastAsia="fr-FR"/>
        </w:rPr>
        <w:t>in</w:t>
      </w:r>
      <w:r w:rsidR="0005230B" w:rsidRPr="0040604D">
        <w:rPr>
          <w:sz w:val="24"/>
          <w:szCs w:val="24"/>
          <w:u w:val="none"/>
          <w:lang w:val="en-US" w:eastAsia="fr-FR"/>
        </w:rPr>
        <w:t>flows</w:t>
      </w:r>
      <w:r w:rsidRPr="0040604D">
        <w:rPr>
          <w:sz w:val="24"/>
          <w:szCs w:val="24"/>
          <w:u w:val="none"/>
        </w:rPr>
        <w:t xml:space="preserve"> from</w:t>
      </w:r>
      <w:r w:rsidR="0005230B" w:rsidRPr="0040604D">
        <w:rPr>
          <w:sz w:val="24"/>
          <w:szCs w:val="24"/>
          <w:u w:val="none"/>
        </w:rPr>
        <w:t xml:space="preserve"> all</w:t>
      </w:r>
      <w:r w:rsidRPr="0040604D">
        <w:rPr>
          <w:sz w:val="24"/>
          <w:szCs w:val="24"/>
          <w:u w:val="none"/>
        </w:rPr>
        <w:t xml:space="preserve"> on and off</w:t>
      </w:r>
      <w:r w:rsidR="0005230B" w:rsidRPr="0040604D">
        <w:rPr>
          <w:sz w:val="24"/>
          <w:szCs w:val="24"/>
          <w:u w:val="none"/>
        </w:rPr>
        <w:t xml:space="preserve"> </w:t>
      </w:r>
      <w:r w:rsidRPr="0040604D">
        <w:rPr>
          <w:sz w:val="24"/>
          <w:szCs w:val="24"/>
          <w:u w:val="none"/>
        </w:rPr>
        <w:t>balance</w:t>
      </w:r>
      <w:r w:rsidR="0005230B" w:rsidRPr="0040604D">
        <w:rPr>
          <w:sz w:val="24"/>
          <w:szCs w:val="24"/>
          <w:u w:val="none"/>
        </w:rPr>
        <w:t xml:space="preserve"> </w:t>
      </w:r>
      <w:r w:rsidRPr="0040604D">
        <w:rPr>
          <w:sz w:val="24"/>
          <w:szCs w:val="24"/>
          <w:u w:val="none"/>
        </w:rPr>
        <w:t xml:space="preserve">sheet instruments </w:t>
      </w:r>
      <w:r w:rsidR="00220736" w:rsidRPr="0040604D">
        <w:rPr>
          <w:sz w:val="24"/>
          <w:szCs w:val="24"/>
          <w:u w:val="none"/>
        </w:rPr>
        <w:t>shall</w:t>
      </w:r>
      <w:r w:rsidR="0005230B" w:rsidRPr="0040604D">
        <w:rPr>
          <w:sz w:val="24"/>
          <w:szCs w:val="24"/>
          <w:u w:val="none"/>
        </w:rPr>
        <w:t xml:space="preserve"> be</w:t>
      </w:r>
      <w:r w:rsidR="00EB6FD1">
        <w:rPr>
          <w:sz w:val="24"/>
          <w:szCs w:val="24"/>
          <w:u w:val="none"/>
        </w:rPr>
        <w:t xml:space="preserve"> </w:t>
      </w:r>
      <w:r w:rsidR="00A12578" w:rsidRPr="00AF4E42">
        <w:rPr>
          <w:sz w:val="24"/>
          <w:szCs w:val="24"/>
          <w:u w:val="none"/>
        </w:rPr>
        <w:t xml:space="preserve">included in all relevant items of </w:t>
      </w:r>
      <w:r w:rsidR="005B3B47" w:rsidRPr="008A1DB9">
        <w:rPr>
          <w:sz w:val="24"/>
          <w:szCs w:val="24"/>
          <w:u w:val="none"/>
        </w:rPr>
        <w:t xml:space="preserve">the </w:t>
      </w:r>
      <w:r w:rsidR="00A12578" w:rsidRPr="00AF4E42">
        <w:rPr>
          <w:sz w:val="24"/>
          <w:szCs w:val="24"/>
          <w:u w:val="none"/>
        </w:rPr>
        <w:t>“</w:t>
      </w:r>
      <w:r w:rsidR="00AF4E42">
        <w:rPr>
          <w:sz w:val="24"/>
          <w:szCs w:val="24"/>
          <w:u w:val="none"/>
        </w:rPr>
        <w:t>out</w:t>
      </w:r>
      <w:r w:rsidR="00A12578" w:rsidRPr="00AF4E42">
        <w:rPr>
          <w:sz w:val="24"/>
          <w:szCs w:val="24"/>
          <w:u w:val="none"/>
        </w:rPr>
        <w:t>flows” and “</w:t>
      </w:r>
      <w:r w:rsidR="00AF4E42">
        <w:rPr>
          <w:sz w:val="24"/>
          <w:szCs w:val="24"/>
          <w:u w:val="none"/>
        </w:rPr>
        <w:t>in</w:t>
      </w:r>
      <w:r w:rsidR="00A12578" w:rsidRPr="00AF4E42">
        <w:rPr>
          <w:sz w:val="24"/>
          <w:szCs w:val="24"/>
          <w:u w:val="none"/>
        </w:rPr>
        <w:t xml:space="preserve">flows” </w:t>
      </w:r>
      <w:r w:rsidR="005B3B47" w:rsidRPr="008A1DB9">
        <w:rPr>
          <w:sz w:val="24"/>
          <w:szCs w:val="24"/>
          <w:u w:val="none"/>
        </w:rPr>
        <w:t>sections</w:t>
      </w:r>
      <w:r w:rsidR="00A12578" w:rsidRPr="00AF4E42">
        <w:rPr>
          <w:sz w:val="24"/>
          <w:szCs w:val="24"/>
          <w:u w:val="none"/>
        </w:rPr>
        <w:t xml:space="preserve"> and further</w:t>
      </w:r>
      <w:r w:rsidRPr="0040604D">
        <w:rPr>
          <w:sz w:val="24"/>
          <w:szCs w:val="24"/>
          <w:u w:val="none"/>
        </w:rPr>
        <w:t xml:space="preserve"> aggregated and reported in lines</w:t>
      </w:r>
      <w:r w:rsidR="0005230B" w:rsidRPr="0040604D">
        <w:rPr>
          <w:sz w:val="24"/>
          <w:szCs w:val="24"/>
          <w:u w:val="none"/>
        </w:rPr>
        <w:t xml:space="preserve"> </w:t>
      </w:r>
      <w:r w:rsidR="003E7307">
        <w:rPr>
          <w:sz w:val="24"/>
          <w:szCs w:val="24"/>
          <w:u w:val="none"/>
        </w:rPr>
        <w:t>1</w:t>
      </w:r>
      <w:r w:rsidR="0005230B" w:rsidRPr="0040604D">
        <w:rPr>
          <w:sz w:val="24"/>
          <w:szCs w:val="24"/>
          <w:u w:val="none"/>
        </w:rPr>
        <w:t>.</w:t>
      </w:r>
      <w:r w:rsidR="008F2DBC">
        <w:rPr>
          <w:sz w:val="24"/>
          <w:szCs w:val="24"/>
          <w:u w:val="none"/>
        </w:rPr>
        <w:t>8</w:t>
      </w:r>
      <w:r w:rsidR="0005230B" w:rsidRPr="0040604D">
        <w:rPr>
          <w:sz w:val="24"/>
          <w:szCs w:val="24"/>
          <w:u w:val="none"/>
        </w:rPr>
        <w:t xml:space="preserve"> and </w:t>
      </w:r>
      <w:r w:rsidR="003E7307">
        <w:rPr>
          <w:sz w:val="24"/>
          <w:szCs w:val="24"/>
          <w:u w:val="none"/>
        </w:rPr>
        <w:t>2</w:t>
      </w:r>
      <w:r w:rsidR="0005230B" w:rsidRPr="0040604D">
        <w:rPr>
          <w:sz w:val="24"/>
          <w:szCs w:val="24"/>
          <w:u w:val="none"/>
        </w:rPr>
        <w:t>.</w:t>
      </w:r>
      <w:r w:rsidR="008F2DBC">
        <w:rPr>
          <w:sz w:val="24"/>
          <w:szCs w:val="24"/>
          <w:u w:val="none"/>
        </w:rPr>
        <w:t>8</w:t>
      </w:r>
      <w:r w:rsidR="0005230B" w:rsidRPr="0040604D">
        <w:rPr>
          <w:sz w:val="24"/>
          <w:szCs w:val="24"/>
          <w:u w:val="none"/>
        </w:rPr>
        <w:t xml:space="preserve"> respectively,</w:t>
      </w:r>
      <w:r w:rsidRPr="0040604D">
        <w:rPr>
          <w:sz w:val="24"/>
          <w:szCs w:val="24"/>
          <w:u w:val="none"/>
        </w:rPr>
        <w:t xml:space="preserve"> for the contractual template</w:t>
      </w:r>
      <w:r w:rsidR="001E4EA9">
        <w:rPr>
          <w:sz w:val="24"/>
          <w:szCs w:val="24"/>
          <w:u w:val="none"/>
        </w:rPr>
        <w:t>.</w:t>
      </w:r>
    </w:p>
    <w:p w:rsidR="00392C32" w:rsidRPr="0040604D" w:rsidRDefault="00392C32" w:rsidP="00392C32">
      <w:pPr>
        <w:pStyle w:val="InstructionsText2"/>
        <w:rPr>
          <w:sz w:val="24"/>
          <w:szCs w:val="24"/>
          <w:u w:val="none"/>
          <w:lang w:eastAsia="fr-FR"/>
        </w:rPr>
      </w:pPr>
      <w:r w:rsidRPr="0040604D">
        <w:rPr>
          <w:sz w:val="24"/>
          <w:szCs w:val="24"/>
          <w:u w:val="none"/>
          <w:lang w:val="en-US"/>
        </w:rPr>
        <w:t>F</w:t>
      </w:r>
      <w:r w:rsidR="00731C06" w:rsidRPr="0040604D">
        <w:rPr>
          <w:sz w:val="24"/>
          <w:szCs w:val="24"/>
          <w:u w:val="none"/>
          <w:lang w:val="en-US"/>
        </w:rPr>
        <w:t>oreign Exchange (FX)</w:t>
      </w:r>
      <w:r w:rsidRPr="0040604D">
        <w:rPr>
          <w:sz w:val="24"/>
          <w:szCs w:val="24"/>
          <w:u w:val="none"/>
          <w:lang w:val="en-US"/>
        </w:rPr>
        <w:t xml:space="preserve"> swaps maturing </w:t>
      </w:r>
      <w:r w:rsidR="00465663" w:rsidRPr="0040604D">
        <w:rPr>
          <w:sz w:val="24"/>
          <w:szCs w:val="24"/>
          <w:u w:val="none"/>
          <w:lang w:val="en-US"/>
        </w:rPr>
        <w:t xml:space="preserve">shall </w:t>
      </w:r>
      <w:r w:rsidRPr="0040604D">
        <w:rPr>
          <w:sz w:val="24"/>
          <w:szCs w:val="24"/>
          <w:u w:val="none"/>
          <w:lang w:val="en-US"/>
        </w:rPr>
        <w:t xml:space="preserve">reflect the maturing </w:t>
      </w:r>
      <w:r w:rsidR="0005230B" w:rsidRPr="0040604D">
        <w:rPr>
          <w:sz w:val="24"/>
          <w:szCs w:val="24"/>
          <w:u w:val="none"/>
          <w:lang w:val="en-US"/>
        </w:rPr>
        <w:t>notional value</w:t>
      </w:r>
      <w:r w:rsidRPr="0040604D">
        <w:rPr>
          <w:sz w:val="24"/>
          <w:szCs w:val="24"/>
          <w:u w:val="none"/>
          <w:lang w:val="en-US"/>
        </w:rPr>
        <w:t xml:space="preserve"> of cross-currency swaps, FX forward transactions and unsettled FX spot agreements in the applicable time buckets of the template. </w:t>
      </w:r>
    </w:p>
    <w:p w:rsidR="00392C32" w:rsidRPr="0040604D" w:rsidRDefault="00392C32" w:rsidP="00392C32">
      <w:pPr>
        <w:pStyle w:val="InstructionsText2"/>
        <w:rPr>
          <w:sz w:val="24"/>
          <w:szCs w:val="24"/>
          <w:u w:val="none"/>
          <w:lang w:eastAsia="fr-FR"/>
        </w:rPr>
      </w:pPr>
      <w:r w:rsidRPr="0040604D">
        <w:rPr>
          <w:sz w:val="24"/>
          <w:szCs w:val="24"/>
          <w:u w:val="none"/>
          <w:lang w:val="en-US" w:eastAsia="fr-FR"/>
        </w:rPr>
        <w:t xml:space="preserve">Cash flows from unsettled assets and liabilities </w:t>
      </w:r>
      <w:r w:rsidR="00220736" w:rsidRPr="0040604D">
        <w:rPr>
          <w:sz w:val="24"/>
          <w:szCs w:val="24"/>
          <w:u w:val="none"/>
          <w:lang w:val="en-US" w:eastAsia="fr-FR"/>
        </w:rPr>
        <w:t>shall</w:t>
      </w:r>
      <w:r w:rsidRPr="0040604D">
        <w:rPr>
          <w:sz w:val="24"/>
          <w:szCs w:val="24"/>
          <w:u w:val="none"/>
          <w:lang w:val="en-US" w:eastAsia="fr-FR"/>
        </w:rPr>
        <w:t xml:space="preserve"> be reported, in the short period before settlement, in the appropriate rows and buckets</w:t>
      </w:r>
      <w:r w:rsidR="00ED3A57">
        <w:rPr>
          <w:sz w:val="24"/>
          <w:szCs w:val="24"/>
          <w:u w:val="none"/>
          <w:lang w:val="en-US" w:eastAsia="fr-FR"/>
        </w:rPr>
        <w:t>.</w:t>
      </w:r>
      <w:r w:rsidRPr="0040604D">
        <w:rPr>
          <w:sz w:val="24"/>
          <w:szCs w:val="24"/>
          <w:u w:val="none"/>
          <w:lang w:val="en-US" w:eastAsia="fr-FR"/>
        </w:rPr>
        <w:t xml:space="preserve"> </w:t>
      </w:r>
    </w:p>
    <w:p w:rsidR="00F35864" w:rsidRPr="0040604D" w:rsidRDefault="00F35864" w:rsidP="00F35864">
      <w:pPr>
        <w:pStyle w:val="InstructionsText2"/>
        <w:rPr>
          <w:sz w:val="24"/>
          <w:szCs w:val="24"/>
          <w:u w:val="none"/>
          <w:lang w:val="en-IE" w:eastAsia="fr-FR"/>
        </w:rPr>
      </w:pPr>
      <w:r w:rsidRPr="0040604D">
        <w:rPr>
          <w:sz w:val="24"/>
          <w:szCs w:val="24"/>
          <w:u w:val="none"/>
          <w:lang w:val="en-US"/>
        </w:rPr>
        <w:t xml:space="preserve">Items where the </w:t>
      </w:r>
      <w:r w:rsidR="008C47DC">
        <w:rPr>
          <w:sz w:val="24"/>
          <w:szCs w:val="24"/>
          <w:u w:val="none"/>
          <w:lang w:val="en-US"/>
        </w:rPr>
        <w:t>institution</w:t>
      </w:r>
      <w:r w:rsidR="008C47DC" w:rsidRPr="0040604D">
        <w:rPr>
          <w:sz w:val="24"/>
          <w:szCs w:val="24"/>
          <w:u w:val="none"/>
          <w:lang w:val="en-US"/>
        </w:rPr>
        <w:t xml:space="preserve"> </w:t>
      </w:r>
      <w:r w:rsidRPr="0040604D">
        <w:rPr>
          <w:sz w:val="24"/>
          <w:szCs w:val="24"/>
          <w:u w:val="none"/>
          <w:lang w:val="en-IE"/>
        </w:rPr>
        <w:t xml:space="preserve">has no </w:t>
      </w:r>
      <w:r w:rsidRPr="0040604D">
        <w:rPr>
          <w:sz w:val="24"/>
          <w:szCs w:val="24"/>
          <w:u w:val="none"/>
          <w:lang w:val="en-US"/>
        </w:rPr>
        <w:t>underlying business</w:t>
      </w:r>
      <w:r w:rsidR="001B05A8" w:rsidRPr="0040604D">
        <w:rPr>
          <w:sz w:val="24"/>
          <w:szCs w:val="24"/>
          <w:u w:val="none"/>
          <w:lang w:val="en-US"/>
        </w:rPr>
        <w:t>,</w:t>
      </w:r>
      <w:r w:rsidRPr="0040604D">
        <w:rPr>
          <w:sz w:val="24"/>
          <w:szCs w:val="24"/>
          <w:u w:val="none"/>
          <w:lang w:val="en-US"/>
        </w:rPr>
        <w:t xml:space="preserve"> </w:t>
      </w:r>
      <w:r w:rsidR="001B05A8" w:rsidRPr="0040604D">
        <w:rPr>
          <w:sz w:val="24"/>
          <w:szCs w:val="24"/>
          <w:u w:val="none"/>
          <w:lang w:val="en-US"/>
        </w:rPr>
        <w:t>such as where</w:t>
      </w:r>
      <w:r w:rsidRPr="0040604D">
        <w:rPr>
          <w:sz w:val="24"/>
          <w:szCs w:val="24"/>
          <w:u w:val="none"/>
          <w:lang w:val="en-US"/>
        </w:rPr>
        <w:t xml:space="preserve"> it has no deposits of a certain </w:t>
      </w:r>
      <w:r w:rsidR="001B05A8" w:rsidRPr="0040604D">
        <w:rPr>
          <w:sz w:val="24"/>
          <w:szCs w:val="24"/>
          <w:u w:val="none"/>
          <w:lang w:val="en-US"/>
        </w:rPr>
        <w:t>category,</w:t>
      </w:r>
      <w:r w:rsidRPr="0040604D">
        <w:rPr>
          <w:sz w:val="24"/>
          <w:szCs w:val="24"/>
          <w:u w:val="none"/>
          <w:lang w:val="en-US"/>
        </w:rPr>
        <w:t xml:space="preserve"> </w:t>
      </w:r>
      <w:r w:rsidR="00BC572F">
        <w:rPr>
          <w:sz w:val="24"/>
          <w:szCs w:val="24"/>
          <w:u w:val="none"/>
          <w:lang w:val="en-US"/>
        </w:rPr>
        <w:t>shall</w:t>
      </w:r>
      <w:r w:rsidR="00BC572F" w:rsidRPr="0040604D">
        <w:rPr>
          <w:sz w:val="24"/>
          <w:szCs w:val="24"/>
          <w:u w:val="none"/>
          <w:lang w:val="en-US"/>
        </w:rPr>
        <w:t xml:space="preserve"> </w:t>
      </w:r>
      <w:r w:rsidRPr="0040604D">
        <w:rPr>
          <w:sz w:val="24"/>
          <w:szCs w:val="24"/>
          <w:u w:val="none"/>
          <w:lang w:val="en-US"/>
        </w:rPr>
        <w:t>be completed with a zero.</w:t>
      </w:r>
    </w:p>
    <w:p w:rsidR="00D02FE4" w:rsidRPr="0040604D" w:rsidRDefault="009E3431" w:rsidP="00D02FE4">
      <w:pPr>
        <w:pStyle w:val="Instructionsberschrift2"/>
        <w:numPr>
          <w:ilvl w:val="1"/>
          <w:numId w:val="3"/>
        </w:numPr>
        <w:rPr>
          <w:rFonts w:ascii="Times New Roman" w:hAnsi="Times New Roman" w:cs="Times New Roman"/>
          <w:sz w:val="24"/>
        </w:rPr>
      </w:pPr>
      <w:r w:rsidRPr="0040604D">
        <w:rPr>
          <w:rFonts w:ascii="Times New Roman" w:hAnsi="Times New Roman" w:cs="Times New Roman"/>
          <w:sz w:val="24"/>
        </w:rPr>
        <w:lastRenderedPageBreak/>
        <w:t>Maturity Ladder</w:t>
      </w:r>
      <w:r w:rsidR="00D02FE4" w:rsidRPr="0040604D">
        <w:rPr>
          <w:rFonts w:ascii="Times New Roman" w:hAnsi="Times New Roman" w:cs="Times New Roman"/>
          <w:sz w:val="24"/>
        </w:rPr>
        <w:t xml:space="preserve"> </w:t>
      </w:r>
      <w:r w:rsidR="00017710" w:rsidRPr="0040604D">
        <w:rPr>
          <w:rFonts w:ascii="Times New Roman" w:hAnsi="Times New Roman" w:cs="Times New Roman"/>
          <w:sz w:val="24"/>
        </w:rPr>
        <w:t>template</w:t>
      </w:r>
      <w:r w:rsidR="00A033A9">
        <w:rPr>
          <w:rFonts w:ascii="Times New Roman" w:hAnsi="Times New Roman" w:cs="Times New Roman"/>
          <w:sz w:val="24"/>
        </w:rPr>
        <w:t xml:space="preserve"> (C 66.00)</w:t>
      </w:r>
    </w:p>
    <w:p w:rsidR="00472557" w:rsidRPr="0040604D" w:rsidRDefault="00472557" w:rsidP="007F2A5B">
      <w:pPr>
        <w:pStyle w:val="Instructionsberschrift2"/>
        <w:numPr>
          <w:ilvl w:val="2"/>
          <w:numId w:val="3"/>
        </w:numPr>
        <w:rPr>
          <w:rFonts w:ascii="Times New Roman" w:hAnsi="Times New Roman" w:cs="Times New Roman"/>
          <w:sz w:val="24"/>
        </w:rPr>
      </w:pPr>
      <w:bookmarkStart w:id="3" w:name="_Toc308175821"/>
      <w:bookmarkStart w:id="4" w:name="_Toc310414968"/>
      <w:r w:rsidRPr="0040604D">
        <w:rPr>
          <w:rFonts w:ascii="Times New Roman" w:hAnsi="Times New Roman" w:cs="Times New Roman"/>
          <w:sz w:val="24"/>
        </w:rPr>
        <w:t xml:space="preserve">The contractual </w:t>
      </w:r>
      <w:r w:rsidR="008C6B6B" w:rsidRPr="0040604D">
        <w:rPr>
          <w:rFonts w:ascii="Times New Roman" w:hAnsi="Times New Roman" w:cs="Times New Roman"/>
          <w:sz w:val="24"/>
        </w:rPr>
        <w:t>template</w:t>
      </w:r>
    </w:p>
    <w:p w:rsidR="007F2A5B" w:rsidRPr="0040604D" w:rsidRDefault="00D02FE4" w:rsidP="00472557">
      <w:pPr>
        <w:pStyle w:val="Instructionsberschrift2"/>
        <w:numPr>
          <w:ilvl w:val="3"/>
          <w:numId w:val="3"/>
        </w:numPr>
        <w:rPr>
          <w:rFonts w:ascii="Times New Roman" w:hAnsi="Times New Roman" w:cs="Times New Roman"/>
          <w:sz w:val="24"/>
        </w:rPr>
      </w:pPr>
      <w:r w:rsidRPr="0040604D">
        <w:rPr>
          <w:rFonts w:ascii="Times New Roman" w:hAnsi="Times New Roman" w:cs="Times New Roman"/>
          <w:sz w:val="24"/>
        </w:rPr>
        <w:t>Instructions concerning specific rows</w:t>
      </w:r>
      <w:bookmarkEnd w:id="3"/>
      <w:bookmarkEnd w:id="4"/>
    </w:p>
    <w:tbl>
      <w:tblP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740"/>
        <w:gridCol w:w="26"/>
      </w:tblGrid>
      <w:tr w:rsidR="004C6B4F" w:rsidRPr="0040604D" w:rsidTr="0021066C">
        <w:trPr>
          <w:trHeight w:val="567"/>
        </w:trPr>
        <w:tc>
          <w:tcPr>
            <w:tcW w:w="828" w:type="dxa"/>
            <w:shd w:val="clear" w:color="auto" w:fill="E0E0E0"/>
            <w:vAlign w:val="center"/>
          </w:tcPr>
          <w:p w:rsidR="004C6B4F" w:rsidRPr="0040604D" w:rsidRDefault="004C6B4F" w:rsidP="005E6B42">
            <w:pPr>
              <w:tabs>
                <w:tab w:val="left" w:pos="762"/>
              </w:tabs>
              <w:ind w:right="44"/>
              <w:rPr>
                <w:rStyle w:val="InstructionsTabelleText"/>
                <w:rFonts w:ascii="Times New Roman" w:hAnsi="Times New Roman"/>
                <w:sz w:val="24"/>
                <w:lang w:eastAsia="en-GB"/>
              </w:rPr>
            </w:pPr>
            <w:r w:rsidRPr="0040604D">
              <w:rPr>
                <w:rStyle w:val="InstructionsTabelleText"/>
                <w:rFonts w:ascii="Times New Roman" w:hAnsi="Times New Roman"/>
                <w:sz w:val="24"/>
                <w:lang w:eastAsia="en-GB"/>
              </w:rPr>
              <w:t>Row</w:t>
            </w:r>
          </w:p>
        </w:tc>
        <w:tc>
          <w:tcPr>
            <w:tcW w:w="7766" w:type="dxa"/>
            <w:gridSpan w:val="2"/>
            <w:shd w:val="clear" w:color="auto" w:fill="E0E0E0"/>
            <w:noWrap/>
            <w:vAlign w:val="center"/>
          </w:tcPr>
          <w:p w:rsidR="004C6B4F" w:rsidRPr="0040604D" w:rsidRDefault="004C6B4F" w:rsidP="005E6B42">
            <w:pPr>
              <w:rPr>
                <w:rStyle w:val="InstructionsTabelleText"/>
                <w:rFonts w:ascii="Times New Roman" w:hAnsi="Times New Roman"/>
                <w:sz w:val="24"/>
                <w:lang w:eastAsia="en-GB"/>
              </w:rPr>
            </w:pPr>
            <w:r w:rsidRPr="0040604D">
              <w:rPr>
                <w:rStyle w:val="InstructionsTabelleText"/>
                <w:rFonts w:ascii="Times New Roman" w:hAnsi="Times New Roman"/>
                <w:sz w:val="24"/>
                <w:lang w:eastAsia="en-GB"/>
              </w:rPr>
              <w:t>Legal references and instructions</w:t>
            </w:r>
          </w:p>
        </w:tc>
      </w:tr>
      <w:tr w:rsidR="008C6B6B" w:rsidRPr="0040604D" w:rsidTr="0021066C">
        <w:trPr>
          <w:trHeight w:val="1134"/>
        </w:trPr>
        <w:tc>
          <w:tcPr>
            <w:tcW w:w="828" w:type="dxa"/>
            <w:shd w:val="clear" w:color="auto" w:fill="E6E6E6"/>
            <w:vAlign w:val="center"/>
          </w:tcPr>
          <w:p w:rsidR="001F2559" w:rsidRPr="003E309A" w:rsidRDefault="00F34CDC"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010 to 55</w:t>
            </w:r>
            <w:r w:rsidR="00A033A9">
              <w:rPr>
                <w:rStyle w:val="InstructionsTabelleberschrift"/>
                <w:rFonts w:ascii="Times New Roman" w:hAnsi="Times New Roman"/>
                <w:b w:val="0"/>
                <w:sz w:val="24"/>
                <w:u w:val="none"/>
                <w:lang w:eastAsia="de-DE"/>
              </w:rPr>
              <w:t>0</w:t>
            </w:r>
          </w:p>
        </w:tc>
        <w:tc>
          <w:tcPr>
            <w:tcW w:w="7766" w:type="dxa"/>
            <w:gridSpan w:val="2"/>
            <w:shd w:val="clear" w:color="auto" w:fill="E6E6E6"/>
            <w:noWrap/>
          </w:tcPr>
          <w:p w:rsidR="008C6B6B" w:rsidRPr="0040604D" w:rsidRDefault="008C6B6B" w:rsidP="00FB793B">
            <w:pPr>
              <w:rPr>
                <w:rFonts w:ascii="Times New Roman" w:hAnsi="Times New Roman"/>
                <w:b/>
                <w:sz w:val="24"/>
                <w:u w:val="single"/>
              </w:rPr>
            </w:pPr>
            <w:r w:rsidRPr="0040604D">
              <w:rPr>
                <w:rFonts w:ascii="Times New Roman" w:hAnsi="Times New Roman"/>
                <w:b/>
                <w:sz w:val="24"/>
                <w:u w:val="single"/>
              </w:rPr>
              <w:t>1 OUTFLOWS</w:t>
            </w:r>
          </w:p>
          <w:p w:rsidR="008C6B6B" w:rsidRPr="0040604D" w:rsidRDefault="00FB2A54" w:rsidP="005B3B47">
            <w:pPr>
              <w:rPr>
                <w:rFonts w:ascii="Times New Roman" w:hAnsi="Times New Roman"/>
                <w:b/>
                <w:sz w:val="24"/>
                <w:u w:val="single"/>
              </w:rPr>
            </w:pPr>
            <w:r w:rsidRPr="0040604D">
              <w:rPr>
                <w:rStyle w:val="InstructionsTabelleberschrift"/>
                <w:rFonts w:ascii="Times New Roman" w:hAnsi="Times New Roman"/>
                <w:b w:val="0"/>
                <w:sz w:val="24"/>
                <w:u w:val="none"/>
                <w:lang w:eastAsia="de-DE"/>
              </w:rPr>
              <w:t>The t</w:t>
            </w:r>
            <w:r w:rsidR="000B1AD8" w:rsidRPr="0040604D">
              <w:rPr>
                <w:rStyle w:val="InstructionsTabelleberschrift"/>
                <w:rFonts w:ascii="Times New Roman" w:hAnsi="Times New Roman"/>
                <w:b w:val="0"/>
                <w:sz w:val="24"/>
                <w:u w:val="none"/>
                <w:lang w:eastAsia="de-DE"/>
              </w:rPr>
              <w:t xml:space="preserve">otal amount of </w:t>
            </w:r>
            <w:r w:rsidR="00B2358D">
              <w:rPr>
                <w:rStyle w:val="InstructionsTabelleberschrift"/>
                <w:rFonts w:ascii="Times New Roman" w:hAnsi="Times New Roman"/>
                <w:b w:val="0"/>
                <w:sz w:val="24"/>
                <w:u w:val="none"/>
                <w:lang w:eastAsia="de-DE"/>
              </w:rPr>
              <w:t xml:space="preserve">cash </w:t>
            </w:r>
            <w:r w:rsidR="000B1AD8" w:rsidRPr="0040604D">
              <w:rPr>
                <w:rStyle w:val="InstructionsTabelleberschrift"/>
                <w:rFonts w:ascii="Times New Roman" w:hAnsi="Times New Roman"/>
                <w:b w:val="0"/>
                <w:sz w:val="24"/>
                <w:u w:val="none"/>
                <w:lang w:eastAsia="de-DE"/>
              </w:rPr>
              <w:t xml:space="preserve">outflows </w:t>
            </w:r>
            <w:r w:rsidR="00220736" w:rsidRPr="0040604D">
              <w:rPr>
                <w:rStyle w:val="InstructionsTabelleberschrift"/>
                <w:rFonts w:ascii="Times New Roman" w:hAnsi="Times New Roman"/>
                <w:b w:val="0"/>
                <w:sz w:val="24"/>
                <w:u w:val="none"/>
                <w:lang w:eastAsia="de-DE"/>
              </w:rPr>
              <w:t>shall</w:t>
            </w:r>
            <w:r w:rsidR="000B1AD8" w:rsidRPr="0040604D">
              <w:rPr>
                <w:rStyle w:val="InstructionsTabelleberschrift"/>
                <w:rFonts w:ascii="Times New Roman" w:hAnsi="Times New Roman"/>
                <w:b w:val="0"/>
                <w:sz w:val="24"/>
                <w:u w:val="none"/>
                <w:lang w:eastAsia="de-DE"/>
              </w:rPr>
              <w:t xml:space="preserve"> be reported in the following sub</w:t>
            </w:r>
            <w:r w:rsidR="005B3B47">
              <w:rPr>
                <w:rStyle w:val="InstructionsTabelleberschrift"/>
                <w:rFonts w:ascii="Times New Roman" w:hAnsi="Times New Roman"/>
                <w:b w:val="0"/>
                <w:sz w:val="24"/>
                <w:u w:val="none"/>
                <w:lang w:eastAsia="de-DE"/>
              </w:rPr>
              <w:t>-</w:t>
            </w:r>
            <w:r w:rsidR="000B1AD8" w:rsidRPr="0040604D">
              <w:rPr>
                <w:rStyle w:val="InstructionsTabelleberschrift"/>
                <w:rFonts w:ascii="Times New Roman" w:hAnsi="Times New Roman"/>
                <w:b w:val="0"/>
                <w:sz w:val="24"/>
                <w:u w:val="none"/>
                <w:lang w:eastAsia="de-DE"/>
              </w:rPr>
              <w:t>cat</w:t>
            </w:r>
            <w:r w:rsidR="005B3B47">
              <w:rPr>
                <w:rStyle w:val="InstructionsTabelleberschrift"/>
                <w:rFonts w:ascii="Times New Roman" w:hAnsi="Times New Roman"/>
                <w:b w:val="0"/>
                <w:sz w:val="24"/>
                <w:u w:val="none"/>
                <w:lang w:eastAsia="de-DE"/>
              </w:rPr>
              <w:t>e</w:t>
            </w:r>
            <w:r w:rsidR="000B1AD8" w:rsidRPr="0040604D">
              <w:rPr>
                <w:rStyle w:val="InstructionsTabelleberschrift"/>
                <w:rFonts w:ascii="Times New Roman" w:hAnsi="Times New Roman"/>
                <w:b w:val="0"/>
                <w:sz w:val="24"/>
                <w:u w:val="none"/>
                <w:lang w:eastAsia="de-DE"/>
              </w:rPr>
              <w:t>gories below:</w:t>
            </w:r>
          </w:p>
        </w:tc>
      </w:tr>
      <w:tr w:rsidR="008C6B6B" w:rsidRPr="0040604D" w:rsidTr="0021066C">
        <w:trPr>
          <w:trHeight w:val="1134"/>
        </w:trPr>
        <w:tc>
          <w:tcPr>
            <w:tcW w:w="828" w:type="dxa"/>
            <w:vAlign w:val="center"/>
          </w:tcPr>
          <w:p w:rsidR="001F2559"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010</w:t>
            </w:r>
          </w:p>
        </w:tc>
        <w:tc>
          <w:tcPr>
            <w:tcW w:w="7766" w:type="dxa"/>
            <w:gridSpan w:val="2"/>
            <w:shd w:val="clear" w:color="auto" w:fill="auto"/>
            <w:noWrap/>
          </w:tcPr>
          <w:p w:rsidR="008C6B6B" w:rsidRPr="0040604D" w:rsidRDefault="008C6B6B" w:rsidP="00FB793B">
            <w:pPr>
              <w:rPr>
                <w:rFonts w:ascii="Times New Roman" w:hAnsi="Times New Roman"/>
                <w:b/>
                <w:sz w:val="24"/>
                <w:u w:val="single"/>
              </w:rPr>
            </w:pPr>
            <w:r w:rsidRPr="0040604D">
              <w:rPr>
                <w:rFonts w:ascii="Times New Roman" w:hAnsi="Times New Roman"/>
                <w:b/>
                <w:sz w:val="24"/>
                <w:u w:val="single"/>
              </w:rPr>
              <w:t xml:space="preserve">1.1 </w:t>
            </w:r>
            <w:r w:rsidR="00B2358D" w:rsidRPr="00B2358D">
              <w:rPr>
                <w:rFonts w:ascii="Times New Roman" w:hAnsi="Times New Roman"/>
                <w:b/>
                <w:sz w:val="24"/>
                <w:u w:val="single"/>
              </w:rPr>
              <w:t>Liabilities resulting from securities issued</w:t>
            </w:r>
          </w:p>
          <w:p w:rsidR="008C6B6B" w:rsidRPr="0040604D" w:rsidRDefault="008C6B6B" w:rsidP="00FB2A54">
            <w:pPr>
              <w:rPr>
                <w:rFonts w:ascii="Times New Roman" w:hAnsi="Times New Roman"/>
                <w:sz w:val="24"/>
                <w:u w:val="single"/>
              </w:rPr>
            </w:pPr>
            <w:r w:rsidRPr="0040604D">
              <w:rPr>
                <w:rStyle w:val="InstructionsTabelleberschrift"/>
                <w:rFonts w:ascii="Times New Roman" w:hAnsi="Times New Roman"/>
                <w:b w:val="0"/>
                <w:sz w:val="24"/>
                <w:u w:val="none"/>
                <w:lang w:eastAsia="de-DE"/>
              </w:rPr>
              <w:t>Cash outflows arising from debt securities issued by the reporting institution i.e. own issuances.</w:t>
            </w:r>
            <w:r w:rsidR="000C1613">
              <w:rPr>
                <w:rStyle w:val="InstructionsTabelleberschrift"/>
                <w:rFonts w:ascii="Times New Roman" w:hAnsi="Times New Roman"/>
                <w:b w:val="0"/>
                <w:sz w:val="24"/>
                <w:u w:val="none"/>
                <w:lang w:eastAsia="de-DE"/>
              </w:rPr>
              <w:t xml:space="preserve"> </w:t>
            </w:r>
          </w:p>
        </w:tc>
      </w:tr>
      <w:tr w:rsidR="008C6B6B" w:rsidRPr="0040604D" w:rsidTr="0021066C">
        <w:trPr>
          <w:trHeight w:val="1134"/>
        </w:trPr>
        <w:tc>
          <w:tcPr>
            <w:tcW w:w="828" w:type="dxa"/>
            <w:vAlign w:val="center"/>
          </w:tcPr>
          <w:p w:rsidR="001F2559"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020</w:t>
            </w:r>
          </w:p>
        </w:tc>
        <w:tc>
          <w:tcPr>
            <w:tcW w:w="7766" w:type="dxa"/>
            <w:gridSpan w:val="2"/>
            <w:shd w:val="clear" w:color="auto" w:fill="auto"/>
            <w:noWrap/>
          </w:tcPr>
          <w:p w:rsidR="008C6B6B" w:rsidRPr="0040604D" w:rsidRDefault="008C6B6B" w:rsidP="00FB793B">
            <w:pPr>
              <w:rPr>
                <w:rFonts w:ascii="Times New Roman" w:hAnsi="Times New Roman"/>
                <w:b/>
                <w:sz w:val="24"/>
                <w:u w:val="single"/>
              </w:rPr>
            </w:pPr>
            <w:r w:rsidRPr="0040604D">
              <w:rPr>
                <w:rFonts w:ascii="Times New Roman" w:hAnsi="Times New Roman"/>
                <w:b/>
                <w:sz w:val="24"/>
                <w:u w:val="single"/>
              </w:rPr>
              <w:t xml:space="preserve">1.1.1 unsecured bonds due </w:t>
            </w:r>
          </w:p>
          <w:p w:rsidR="008C6B6B" w:rsidRPr="0040604D" w:rsidRDefault="00DE321C" w:rsidP="00FB793B">
            <w:pPr>
              <w:spacing w:before="0" w:after="0"/>
              <w:rPr>
                <w:rFonts w:ascii="Times New Roman" w:hAnsi="Times New Roman"/>
                <w:b/>
                <w:sz w:val="24"/>
                <w:u w:val="single"/>
              </w:rPr>
            </w:pPr>
            <w:r>
              <w:rPr>
                <w:rStyle w:val="InstructionsTabelleberschrift"/>
                <w:rFonts w:ascii="Times New Roman" w:hAnsi="Times New Roman"/>
                <w:b w:val="0"/>
                <w:sz w:val="24"/>
                <w:u w:val="none"/>
                <w:lang w:eastAsia="de-DE"/>
              </w:rPr>
              <w:t>T</w:t>
            </w:r>
            <w:r w:rsidR="008C6B6B" w:rsidRPr="0040604D">
              <w:rPr>
                <w:rStyle w:val="InstructionsTabelleberschrift"/>
                <w:rFonts w:ascii="Times New Roman" w:hAnsi="Times New Roman"/>
                <w:b w:val="0"/>
                <w:sz w:val="24"/>
                <w:u w:val="none"/>
                <w:lang w:eastAsia="de-DE"/>
              </w:rPr>
              <w:t xml:space="preserve">he amount of </w:t>
            </w:r>
            <w:r w:rsidR="002963F5">
              <w:rPr>
                <w:rStyle w:val="InstructionsTabelleberschrift"/>
                <w:rFonts w:ascii="Times New Roman" w:hAnsi="Times New Roman"/>
                <w:b w:val="0"/>
                <w:sz w:val="24"/>
                <w:u w:val="none"/>
                <w:lang w:eastAsia="de-DE"/>
              </w:rPr>
              <w:t>liabilities resulting from securities issued</w:t>
            </w:r>
            <w:r w:rsidR="002963F5" w:rsidRPr="0040604D">
              <w:rPr>
                <w:rStyle w:val="InstructionsTabelleberschrift"/>
                <w:rFonts w:ascii="Times New Roman" w:hAnsi="Times New Roman"/>
                <w:b w:val="0"/>
                <w:sz w:val="24"/>
                <w:u w:val="none"/>
                <w:lang w:eastAsia="de-DE"/>
              </w:rPr>
              <w:t xml:space="preserve"> </w:t>
            </w:r>
            <w:r w:rsidR="008C6B6B" w:rsidRPr="0040604D">
              <w:rPr>
                <w:rStyle w:val="InstructionsTabelleberschrift"/>
                <w:rFonts w:ascii="Times New Roman" w:hAnsi="Times New Roman"/>
                <w:b w:val="0"/>
                <w:sz w:val="24"/>
                <w:u w:val="none"/>
                <w:lang w:eastAsia="de-DE"/>
              </w:rPr>
              <w:t xml:space="preserve">with an initial maturity date </w:t>
            </w:r>
            <w:r w:rsidR="00804914" w:rsidRPr="0040604D">
              <w:rPr>
                <w:rFonts w:ascii="Times New Roman" w:hAnsi="Times New Roman"/>
                <w:sz w:val="24"/>
              </w:rPr>
              <w:t xml:space="preserve">equal to or longer </w:t>
            </w:r>
            <w:r w:rsidR="008C6B6B" w:rsidRPr="0040604D">
              <w:rPr>
                <w:rFonts w:ascii="Times New Roman" w:hAnsi="Times New Roman"/>
                <w:sz w:val="24"/>
              </w:rPr>
              <w:t xml:space="preserve">than 1 year reported in line 1.1, </w:t>
            </w:r>
            <w:r w:rsidR="00743492">
              <w:rPr>
                <w:rFonts w:ascii="Times New Roman" w:hAnsi="Times New Roman"/>
                <w:sz w:val="24"/>
              </w:rPr>
              <w:t>which</w:t>
            </w:r>
            <w:r w:rsidR="008C6B6B" w:rsidRPr="0040604D">
              <w:rPr>
                <w:rFonts w:ascii="Times New Roman" w:hAnsi="Times New Roman"/>
                <w:sz w:val="24"/>
              </w:rPr>
              <w:t xml:space="preserve"> is</w:t>
            </w:r>
            <w:r w:rsidR="008C6B6B" w:rsidRPr="0040604D">
              <w:rPr>
                <w:rStyle w:val="InstructionsTabelleberschrift"/>
                <w:rFonts w:ascii="Times New Roman" w:hAnsi="Times New Roman"/>
                <w:b w:val="0"/>
                <w:sz w:val="24"/>
                <w:u w:val="none"/>
                <w:lang w:eastAsia="de-DE"/>
              </w:rPr>
              <w:t xml:space="preserve"> unsecured debt (other than hybrid bonds) issued by the reporting institution to third parties. </w:t>
            </w:r>
          </w:p>
        </w:tc>
      </w:tr>
      <w:tr w:rsidR="008C6B6B" w:rsidRPr="0040604D" w:rsidTr="0021066C">
        <w:trPr>
          <w:trHeight w:val="1134"/>
        </w:trPr>
        <w:tc>
          <w:tcPr>
            <w:tcW w:w="828" w:type="dxa"/>
            <w:vAlign w:val="center"/>
          </w:tcPr>
          <w:p w:rsidR="001F2559"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030</w:t>
            </w:r>
          </w:p>
        </w:tc>
        <w:tc>
          <w:tcPr>
            <w:tcW w:w="7766" w:type="dxa"/>
            <w:gridSpan w:val="2"/>
            <w:shd w:val="clear" w:color="auto" w:fill="auto"/>
            <w:noWrap/>
          </w:tcPr>
          <w:p w:rsidR="008C6B6B" w:rsidRPr="0040604D" w:rsidRDefault="008C6B6B" w:rsidP="0057741E">
            <w:pPr>
              <w:rPr>
                <w:rFonts w:ascii="Times New Roman" w:hAnsi="Times New Roman"/>
                <w:b/>
                <w:sz w:val="24"/>
                <w:u w:val="single"/>
              </w:rPr>
            </w:pPr>
            <w:r w:rsidRPr="0040604D">
              <w:rPr>
                <w:rFonts w:ascii="Times New Roman" w:hAnsi="Times New Roman"/>
                <w:b/>
                <w:sz w:val="24"/>
                <w:u w:val="single"/>
              </w:rPr>
              <w:t xml:space="preserve">1.1.2 hybrid bonds due </w:t>
            </w:r>
          </w:p>
          <w:p w:rsidR="008C6B6B" w:rsidRPr="0040604D" w:rsidRDefault="00DE321C" w:rsidP="008A1DB9">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8C6B6B" w:rsidRPr="0040604D">
              <w:rPr>
                <w:rStyle w:val="InstructionsTabelleberschrift"/>
                <w:rFonts w:ascii="Times New Roman" w:hAnsi="Times New Roman"/>
                <w:b w:val="0"/>
                <w:sz w:val="24"/>
                <w:u w:val="none"/>
                <w:lang w:eastAsia="de-DE"/>
              </w:rPr>
              <w:t xml:space="preserve">he amount of </w:t>
            </w:r>
            <w:r w:rsidR="002963F5">
              <w:rPr>
                <w:rStyle w:val="InstructionsTabelleberschrift"/>
                <w:rFonts w:ascii="Times New Roman" w:hAnsi="Times New Roman"/>
                <w:b w:val="0"/>
                <w:sz w:val="24"/>
                <w:u w:val="none"/>
                <w:lang w:eastAsia="de-DE"/>
              </w:rPr>
              <w:t>liabilities resulting from securities issued</w:t>
            </w:r>
            <w:r w:rsidR="002963F5" w:rsidRPr="0040604D">
              <w:rPr>
                <w:rStyle w:val="InstructionsTabelleberschrift"/>
                <w:rFonts w:ascii="Times New Roman" w:hAnsi="Times New Roman"/>
                <w:b w:val="0"/>
                <w:sz w:val="24"/>
                <w:u w:val="none"/>
                <w:lang w:eastAsia="de-DE"/>
              </w:rPr>
              <w:t xml:space="preserve"> </w:t>
            </w:r>
            <w:r w:rsidR="008C6B6B" w:rsidRPr="0040604D">
              <w:rPr>
                <w:rStyle w:val="InstructionsTabelleberschrift"/>
                <w:rFonts w:ascii="Times New Roman" w:hAnsi="Times New Roman"/>
                <w:b w:val="0"/>
                <w:sz w:val="24"/>
                <w:u w:val="none"/>
                <w:lang w:eastAsia="de-DE"/>
              </w:rPr>
              <w:t xml:space="preserve">with an initial maturity date </w:t>
            </w:r>
            <w:r w:rsidR="00804914" w:rsidRPr="0040604D">
              <w:rPr>
                <w:rStyle w:val="InstructionsTabelleberschrift"/>
                <w:rFonts w:ascii="Times New Roman" w:hAnsi="Times New Roman"/>
                <w:b w:val="0"/>
                <w:sz w:val="24"/>
                <w:u w:val="none"/>
                <w:lang w:eastAsia="de-DE"/>
              </w:rPr>
              <w:t xml:space="preserve">equal to or longer </w:t>
            </w:r>
            <w:r w:rsidR="008C6B6B" w:rsidRPr="0040604D">
              <w:rPr>
                <w:rFonts w:ascii="Times New Roman" w:hAnsi="Times New Roman"/>
                <w:sz w:val="24"/>
              </w:rPr>
              <w:t xml:space="preserve">than 1 year reported in line 1.1, </w:t>
            </w:r>
            <w:r w:rsidR="00743492">
              <w:rPr>
                <w:rFonts w:ascii="Times New Roman" w:hAnsi="Times New Roman"/>
                <w:sz w:val="24"/>
              </w:rPr>
              <w:t>which</w:t>
            </w:r>
            <w:r w:rsidR="008C6B6B" w:rsidRPr="0040604D">
              <w:rPr>
                <w:rFonts w:ascii="Times New Roman" w:hAnsi="Times New Roman"/>
                <w:sz w:val="24"/>
              </w:rPr>
              <w:t xml:space="preserve"> </w:t>
            </w:r>
            <w:r w:rsidR="008A1DB9">
              <w:rPr>
                <w:rFonts w:ascii="Times New Roman" w:hAnsi="Times New Roman"/>
                <w:sz w:val="24"/>
              </w:rPr>
              <w:t>are</w:t>
            </w:r>
            <w:r w:rsidR="008C6B6B" w:rsidRPr="0040604D">
              <w:rPr>
                <w:rStyle w:val="InstructionsTabelleberschrift"/>
                <w:rFonts w:ascii="Times New Roman" w:hAnsi="Times New Roman"/>
                <w:b w:val="0"/>
                <w:sz w:val="24"/>
                <w:u w:val="none"/>
                <w:lang w:eastAsia="de-DE"/>
              </w:rPr>
              <w:t xml:space="preserve"> hybrid bonds issued by the reporting institution to third parties. </w:t>
            </w:r>
            <w:r w:rsidR="00FB2A54" w:rsidRPr="0040604D">
              <w:rPr>
                <w:rStyle w:val="InstructionsTabelleberschrift"/>
                <w:rFonts w:ascii="Times New Roman" w:hAnsi="Times New Roman"/>
                <w:b w:val="0"/>
                <w:sz w:val="24"/>
                <w:u w:val="none"/>
                <w:lang w:eastAsia="de-DE"/>
              </w:rPr>
              <w:t>In order for t</w:t>
            </w:r>
            <w:r w:rsidR="008C6B6B" w:rsidRPr="0040604D">
              <w:rPr>
                <w:rStyle w:val="InstructionsTabelleberschrift"/>
                <w:rFonts w:ascii="Times New Roman" w:hAnsi="Times New Roman"/>
                <w:b w:val="0"/>
                <w:sz w:val="24"/>
                <w:u w:val="none"/>
                <w:lang w:eastAsia="de-DE"/>
              </w:rPr>
              <w:t xml:space="preserve">he securities </w:t>
            </w:r>
            <w:r w:rsidR="00FB2A54" w:rsidRPr="0040604D">
              <w:rPr>
                <w:rStyle w:val="InstructionsTabelleberschrift"/>
                <w:rFonts w:ascii="Times New Roman" w:hAnsi="Times New Roman"/>
                <w:b w:val="0"/>
                <w:sz w:val="24"/>
                <w:u w:val="none"/>
                <w:lang w:eastAsia="de-DE"/>
              </w:rPr>
              <w:t xml:space="preserve">to be </w:t>
            </w:r>
            <w:r w:rsidR="008C6B6B" w:rsidRPr="0040604D">
              <w:rPr>
                <w:rStyle w:val="InstructionsTabelleberschrift"/>
                <w:rFonts w:ascii="Times New Roman" w:hAnsi="Times New Roman"/>
                <w:b w:val="0"/>
                <w:sz w:val="24"/>
                <w:u w:val="none"/>
                <w:lang w:eastAsia="de-DE"/>
              </w:rPr>
              <w:t>reported in this row</w:t>
            </w:r>
            <w:r w:rsidR="00FB2A54" w:rsidRPr="0040604D">
              <w:rPr>
                <w:rStyle w:val="InstructionsTabelleberschrift"/>
                <w:rFonts w:ascii="Times New Roman" w:hAnsi="Times New Roman"/>
                <w:b w:val="0"/>
                <w:sz w:val="24"/>
                <w:u w:val="none"/>
                <w:lang w:eastAsia="de-DE"/>
              </w:rPr>
              <w:t>, they</w:t>
            </w:r>
            <w:r w:rsidR="008C6B6B" w:rsidRPr="0040604D">
              <w:rPr>
                <w:rStyle w:val="InstructionsTabelleberschrift"/>
                <w:rFonts w:ascii="Times New Roman" w:hAnsi="Times New Roman"/>
                <w:b w:val="0"/>
                <w:sz w:val="24"/>
                <w:u w:val="none"/>
                <w:lang w:eastAsia="de-DE"/>
              </w:rPr>
              <w:t xml:space="preserve"> </w:t>
            </w:r>
            <w:r w:rsidR="00220736" w:rsidRPr="0040604D">
              <w:rPr>
                <w:rStyle w:val="InstructionsTabelleberschrift"/>
                <w:rFonts w:ascii="Times New Roman" w:hAnsi="Times New Roman"/>
                <w:b w:val="0"/>
                <w:sz w:val="24"/>
                <w:u w:val="none"/>
                <w:lang w:eastAsia="de-DE"/>
              </w:rPr>
              <w:t>shall</w:t>
            </w:r>
            <w:r w:rsidR="008C6B6B" w:rsidRPr="0040604D">
              <w:rPr>
                <w:rStyle w:val="InstructionsTabelleberschrift"/>
                <w:rFonts w:ascii="Times New Roman" w:hAnsi="Times New Roman"/>
                <w:b w:val="0"/>
                <w:sz w:val="24"/>
                <w:u w:val="none"/>
                <w:lang w:eastAsia="de-DE"/>
              </w:rPr>
              <w:t xml:space="preserve"> have </w:t>
            </w:r>
            <w:r w:rsidR="00FB2A54" w:rsidRPr="0040604D">
              <w:rPr>
                <w:rStyle w:val="InstructionsTabelleberschrift"/>
                <w:rFonts w:ascii="Times New Roman" w:hAnsi="Times New Roman"/>
                <w:b w:val="0"/>
                <w:sz w:val="24"/>
                <w:u w:val="none"/>
                <w:lang w:eastAsia="de-DE"/>
              </w:rPr>
              <w:t xml:space="preserve">to have </w:t>
            </w:r>
            <w:r w:rsidR="008C6B6B" w:rsidRPr="0040604D">
              <w:rPr>
                <w:rStyle w:val="InstructionsTabelleberschrift"/>
                <w:rFonts w:ascii="Times New Roman" w:hAnsi="Times New Roman"/>
                <w:b w:val="0"/>
                <w:sz w:val="24"/>
                <w:u w:val="none"/>
                <w:lang w:eastAsia="de-DE"/>
              </w:rPr>
              <w:t xml:space="preserve">characteristics reflecting debt and equity. </w:t>
            </w:r>
          </w:p>
        </w:tc>
      </w:tr>
      <w:tr w:rsidR="008C6B6B" w:rsidRPr="0040604D" w:rsidTr="0021066C">
        <w:trPr>
          <w:trHeight w:val="1134"/>
        </w:trPr>
        <w:tc>
          <w:tcPr>
            <w:tcW w:w="828" w:type="dxa"/>
            <w:vAlign w:val="center"/>
          </w:tcPr>
          <w:p w:rsidR="001F2559"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040</w:t>
            </w:r>
          </w:p>
        </w:tc>
        <w:tc>
          <w:tcPr>
            <w:tcW w:w="7766" w:type="dxa"/>
            <w:gridSpan w:val="2"/>
            <w:shd w:val="clear" w:color="auto" w:fill="auto"/>
            <w:noWrap/>
          </w:tcPr>
          <w:p w:rsidR="008C6B6B" w:rsidRPr="0040604D" w:rsidRDefault="008C6B6B" w:rsidP="0057741E">
            <w:pPr>
              <w:rPr>
                <w:rFonts w:ascii="Times New Roman" w:hAnsi="Times New Roman"/>
                <w:b/>
                <w:sz w:val="24"/>
                <w:u w:val="single"/>
              </w:rPr>
            </w:pPr>
            <w:r w:rsidRPr="0040604D">
              <w:rPr>
                <w:rFonts w:ascii="Times New Roman" w:hAnsi="Times New Roman"/>
                <w:b/>
                <w:sz w:val="24"/>
                <w:u w:val="single"/>
              </w:rPr>
              <w:t>1.1.3 bonds eligible for the treatment set out in Article 12</w:t>
            </w:r>
            <w:r w:rsidR="00712B12">
              <w:rPr>
                <w:rFonts w:ascii="Times New Roman" w:hAnsi="Times New Roman"/>
                <w:b/>
                <w:sz w:val="24"/>
                <w:u w:val="single"/>
              </w:rPr>
              <w:t>9</w:t>
            </w:r>
            <w:r w:rsidRPr="0040604D">
              <w:rPr>
                <w:rFonts w:ascii="Times New Roman" w:hAnsi="Times New Roman"/>
                <w:b/>
                <w:sz w:val="24"/>
                <w:u w:val="single"/>
              </w:rPr>
              <w:t>(</w:t>
            </w:r>
            <w:r w:rsidR="00712B12">
              <w:rPr>
                <w:rFonts w:ascii="Times New Roman" w:hAnsi="Times New Roman"/>
                <w:b/>
                <w:sz w:val="24"/>
                <w:u w:val="single"/>
              </w:rPr>
              <w:t>4</w:t>
            </w:r>
            <w:r w:rsidRPr="0040604D">
              <w:rPr>
                <w:rFonts w:ascii="Times New Roman" w:hAnsi="Times New Roman"/>
                <w:b/>
                <w:sz w:val="24"/>
                <w:u w:val="single"/>
              </w:rPr>
              <w:t>) or (</w:t>
            </w:r>
            <w:r w:rsidR="00712B12">
              <w:rPr>
                <w:rFonts w:ascii="Times New Roman" w:hAnsi="Times New Roman"/>
                <w:b/>
                <w:sz w:val="24"/>
                <w:u w:val="single"/>
              </w:rPr>
              <w:t>5</w:t>
            </w:r>
            <w:r w:rsidRPr="0040604D">
              <w:rPr>
                <w:rFonts w:ascii="Times New Roman" w:hAnsi="Times New Roman"/>
                <w:b/>
                <w:sz w:val="24"/>
                <w:u w:val="single"/>
              </w:rPr>
              <w:t xml:space="preserve">) of </w:t>
            </w:r>
            <w:r w:rsidR="00F34CDC">
              <w:rPr>
                <w:rFonts w:ascii="Times New Roman" w:hAnsi="Times New Roman"/>
                <w:b/>
                <w:sz w:val="24"/>
                <w:u w:val="single"/>
              </w:rPr>
              <w:t>CRR</w:t>
            </w:r>
            <w:r w:rsidRPr="0040604D">
              <w:rPr>
                <w:rFonts w:ascii="Times New Roman" w:hAnsi="Times New Roman"/>
                <w:b/>
                <w:sz w:val="24"/>
                <w:u w:val="single"/>
              </w:rPr>
              <w:t xml:space="preserve"> due </w:t>
            </w:r>
          </w:p>
          <w:p w:rsidR="008C6B6B" w:rsidRPr="0040604D" w:rsidRDefault="00743492" w:rsidP="00922D9F">
            <w:pPr>
              <w:rPr>
                <w:rFonts w:ascii="Times New Roman" w:hAnsi="Times New Roman"/>
                <w:bCs/>
                <w:sz w:val="24"/>
                <w:lang w:eastAsia="de-DE"/>
              </w:rPr>
            </w:pPr>
            <w:r>
              <w:rPr>
                <w:rStyle w:val="InstructionsTabelleberschrift"/>
                <w:rFonts w:ascii="Times New Roman" w:hAnsi="Times New Roman"/>
                <w:b w:val="0"/>
                <w:sz w:val="24"/>
                <w:u w:val="none"/>
                <w:lang w:eastAsia="de-DE"/>
              </w:rPr>
              <w:t>The</w:t>
            </w:r>
            <w:r w:rsidR="008C6B6B" w:rsidRPr="0040604D">
              <w:rPr>
                <w:rStyle w:val="InstructionsTabelleberschrift"/>
                <w:rFonts w:ascii="Times New Roman" w:hAnsi="Times New Roman"/>
                <w:b w:val="0"/>
                <w:sz w:val="24"/>
                <w:u w:val="none"/>
                <w:lang w:eastAsia="de-DE"/>
              </w:rPr>
              <w:t xml:space="preserve"> amount of </w:t>
            </w:r>
            <w:r w:rsidR="002963F5">
              <w:rPr>
                <w:rStyle w:val="InstructionsTabelleberschrift"/>
                <w:rFonts w:ascii="Times New Roman" w:hAnsi="Times New Roman"/>
                <w:b w:val="0"/>
                <w:sz w:val="24"/>
                <w:u w:val="none"/>
                <w:lang w:eastAsia="de-DE"/>
              </w:rPr>
              <w:t>liabilities resulting from securities issued</w:t>
            </w:r>
            <w:r w:rsidR="008C6B6B" w:rsidRPr="0040604D">
              <w:rPr>
                <w:rStyle w:val="InstructionsTabelleberschrift"/>
                <w:rFonts w:ascii="Times New Roman" w:hAnsi="Times New Roman"/>
                <w:b w:val="0"/>
                <w:sz w:val="24"/>
                <w:u w:val="none"/>
                <w:lang w:eastAsia="de-DE"/>
              </w:rPr>
              <w:t xml:space="preserve"> with an initial maturity date </w:t>
            </w:r>
            <w:r w:rsidR="00426411" w:rsidRPr="0040604D">
              <w:rPr>
                <w:rStyle w:val="InstructionsTabelleberschrift"/>
                <w:rFonts w:ascii="Times New Roman" w:hAnsi="Times New Roman"/>
                <w:b w:val="0"/>
                <w:sz w:val="24"/>
                <w:u w:val="none"/>
                <w:lang w:eastAsia="de-DE"/>
              </w:rPr>
              <w:t>equal to or longer</w:t>
            </w:r>
            <w:r w:rsidR="003E309A">
              <w:rPr>
                <w:rStyle w:val="InstructionsTabelleberschrift"/>
                <w:rFonts w:ascii="Times New Roman" w:hAnsi="Times New Roman"/>
                <w:b w:val="0"/>
                <w:sz w:val="24"/>
                <w:u w:val="none"/>
                <w:lang w:eastAsia="de-DE"/>
              </w:rPr>
              <w:t xml:space="preserve"> </w:t>
            </w:r>
            <w:r w:rsidR="008C6B6B" w:rsidRPr="0040604D">
              <w:rPr>
                <w:rFonts w:ascii="Times New Roman" w:hAnsi="Times New Roman"/>
                <w:sz w:val="24"/>
              </w:rPr>
              <w:t xml:space="preserve">than 1 year reported in line 1.1, </w:t>
            </w:r>
            <w:r>
              <w:rPr>
                <w:rFonts w:ascii="Times New Roman" w:hAnsi="Times New Roman"/>
                <w:sz w:val="24"/>
              </w:rPr>
              <w:t>which</w:t>
            </w:r>
            <w:r w:rsidR="008C6B6B" w:rsidRPr="0040604D">
              <w:rPr>
                <w:rFonts w:ascii="Times New Roman" w:hAnsi="Times New Roman"/>
                <w:sz w:val="24"/>
              </w:rPr>
              <w:t xml:space="preserve"> is</w:t>
            </w:r>
            <w:r w:rsidR="008C6B6B" w:rsidRPr="0040604D">
              <w:rPr>
                <w:rStyle w:val="InstructionsTabelleberschrift"/>
                <w:rFonts w:ascii="Times New Roman" w:hAnsi="Times New Roman"/>
                <w:b w:val="0"/>
                <w:sz w:val="24"/>
                <w:u w:val="none"/>
                <w:lang w:eastAsia="de-DE"/>
              </w:rPr>
              <w:t xml:space="preserve"> bonds eligible for the treatment set out in Article </w:t>
            </w:r>
            <w:r w:rsidR="002E1D10" w:rsidRPr="0040604D">
              <w:rPr>
                <w:rStyle w:val="InstructionsTabelleberschrift"/>
                <w:rFonts w:ascii="Times New Roman" w:hAnsi="Times New Roman"/>
                <w:b w:val="0"/>
                <w:sz w:val="24"/>
                <w:u w:val="none"/>
                <w:lang w:eastAsia="de-DE"/>
              </w:rPr>
              <w:t>12</w:t>
            </w:r>
            <w:r w:rsidR="002E1D10">
              <w:rPr>
                <w:rStyle w:val="InstructionsTabelleberschrift"/>
                <w:rFonts w:ascii="Times New Roman" w:hAnsi="Times New Roman"/>
                <w:b w:val="0"/>
                <w:sz w:val="24"/>
                <w:u w:val="none"/>
                <w:lang w:eastAsia="de-DE"/>
              </w:rPr>
              <w:t>9</w:t>
            </w:r>
            <w:r w:rsidR="008C6B6B" w:rsidRPr="0040604D">
              <w:rPr>
                <w:rStyle w:val="InstructionsTabelleberschrift"/>
                <w:rFonts w:ascii="Times New Roman" w:hAnsi="Times New Roman"/>
                <w:b w:val="0"/>
                <w:sz w:val="24"/>
                <w:u w:val="none"/>
                <w:lang w:eastAsia="de-DE"/>
              </w:rPr>
              <w:t>(</w:t>
            </w:r>
            <w:r w:rsidR="00426411">
              <w:rPr>
                <w:rStyle w:val="InstructionsTabelleberschrift"/>
                <w:rFonts w:ascii="Times New Roman" w:hAnsi="Times New Roman"/>
                <w:b w:val="0"/>
                <w:sz w:val="24"/>
                <w:u w:val="none"/>
                <w:lang w:eastAsia="de-DE"/>
              </w:rPr>
              <w:t>4</w:t>
            </w:r>
            <w:r w:rsidR="008C6B6B" w:rsidRPr="0040604D">
              <w:rPr>
                <w:rStyle w:val="InstructionsTabelleberschrift"/>
                <w:rFonts w:ascii="Times New Roman" w:hAnsi="Times New Roman"/>
                <w:b w:val="0"/>
                <w:sz w:val="24"/>
                <w:u w:val="none"/>
                <w:lang w:eastAsia="de-DE"/>
              </w:rPr>
              <w:t>) or (</w:t>
            </w:r>
            <w:r w:rsidR="00426411">
              <w:rPr>
                <w:rStyle w:val="InstructionsTabelleberschrift"/>
                <w:rFonts w:ascii="Times New Roman" w:hAnsi="Times New Roman"/>
                <w:b w:val="0"/>
                <w:sz w:val="24"/>
                <w:u w:val="none"/>
                <w:lang w:eastAsia="de-DE"/>
              </w:rPr>
              <w:t>5</w:t>
            </w:r>
            <w:r w:rsidR="008C6B6B" w:rsidRPr="0040604D">
              <w:rPr>
                <w:rStyle w:val="InstructionsTabelleberschrift"/>
                <w:rFonts w:ascii="Times New Roman" w:hAnsi="Times New Roman"/>
                <w:b w:val="0"/>
                <w:sz w:val="24"/>
                <w:u w:val="none"/>
                <w:lang w:eastAsia="de-DE"/>
              </w:rPr>
              <w:t xml:space="preserve">) of </w:t>
            </w:r>
            <w:r w:rsidR="00893902" w:rsidRPr="0040604D">
              <w:rPr>
                <w:rFonts w:ascii="Times New Roman" w:hAnsi="Times New Roman"/>
                <w:sz w:val="24"/>
                <w:lang w:eastAsia="en-GB"/>
              </w:rPr>
              <w:t xml:space="preserve">Regulation </w:t>
            </w:r>
            <w:r w:rsidR="00994617">
              <w:rPr>
                <w:rFonts w:ascii="Times New Roman" w:hAnsi="Times New Roman"/>
                <w:sz w:val="24"/>
                <w:lang w:eastAsia="en-GB"/>
              </w:rPr>
              <w:t xml:space="preserve">(EU) No </w:t>
            </w:r>
            <w:r w:rsidR="00DC29A9" w:rsidRPr="00DC29A9">
              <w:rPr>
                <w:rFonts w:ascii="Times New Roman" w:hAnsi="Times New Roman"/>
                <w:sz w:val="24"/>
                <w:lang w:eastAsia="en-GB"/>
              </w:rPr>
              <w:t>575/2013</w:t>
            </w:r>
            <w:r w:rsidR="008C6B6B" w:rsidRPr="0040604D">
              <w:rPr>
                <w:rStyle w:val="InstructionsTabelleberschrift"/>
                <w:rFonts w:ascii="Times New Roman" w:hAnsi="Times New Roman"/>
                <w:b w:val="0"/>
                <w:sz w:val="24"/>
                <w:u w:val="none"/>
                <w:lang w:eastAsia="de-DE"/>
              </w:rPr>
              <w:t xml:space="preserve">. </w:t>
            </w:r>
          </w:p>
        </w:tc>
      </w:tr>
      <w:tr w:rsidR="00B2358D" w:rsidRPr="0040604D" w:rsidTr="0021066C">
        <w:trPr>
          <w:trHeight w:val="1134"/>
        </w:trPr>
        <w:tc>
          <w:tcPr>
            <w:tcW w:w="828" w:type="dxa"/>
            <w:vAlign w:val="center"/>
          </w:tcPr>
          <w:p w:rsidR="00B2358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050</w:t>
            </w:r>
          </w:p>
        </w:tc>
        <w:tc>
          <w:tcPr>
            <w:tcW w:w="7766" w:type="dxa"/>
            <w:gridSpan w:val="2"/>
            <w:shd w:val="clear" w:color="auto" w:fill="auto"/>
            <w:noWrap/>
          </w:tcPr>
          <w:p w:rsidR="00B2358D" w:rsidRDefault="00B2358D" w:rsidP="0057741E">
            <w:pPr>
              <w:rPr>
                <w:rFonts w:ascii="Times New Roman" w:hAnsi="Times New Roman"/>
                <w:b/>
                <w:sz w:val="24"/>
                <w:u w:val="single"/>
              </w:rPr>
            </w:pPr>
            <w:r w:rsidRPr="00B2358D">
              <w:rPr>
                <w:rFonts w:ascii="Times New Roman" w:hAnsi="Times New Roman"/>
                <w:b/>
                <w:sz w:val="24"/>
                <w:u w:val="single"/>
              </w:rPr>
              <w:t>1.1.</w:t>
            </w:r>
            <w:r w:rsidR="00426411">
              <w:rPr>
                <w:rFonts w:ascii="Times New Roman" w:hAnsi="Times New Roman"/>
                <w:b/>
                <w:sz w:val="24"/>
                <w:u w:val="single"/>
              </w:rPr>
              <w:t>4</w:t>
            </w:r>
            <w:r w:rsidRPr="00B2358D">
              <w:rPr>
                <w:rFonts w:ascii="Times New Roman" w:hAnsi="Times New Roman"/>
                <w:b/>
                <w:sz w:val="24"/>
                <w:u w:val="single"/>
              </w:rPr>
              <w:t xml:space="preserve"> bonds as defined in Article 52(4) of Directive 2009/65/EC other than those reported to in item 1.1.3</w:t>
            </w:r>
          </w:p>
          <w:p w:rsidR="00B2358D" w:rsidRPr="0040604D" w:rsidRDefault="00DE321C" w:rsidP="00235ED5">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B2358D" w:rsidRPr="0040604D">
              <w:rPr>
                <w:rStyle w:val="InstructionsTabelleberschrift"/>
                <w:rFonts w:ascii="Times New Roman" w:hAnsi="Times New Roman"/>
                <w:b w:val="0"/>
                <w:sz w:val="24"/>
                <w:u w:val="none"/>
                <w:lang w:eastAsia="de-DE"/>
              </w:rPr>
              <w:t xml:space="preserve">he amount of </w:t>
            </w:r>
            <w:r w:rsidR="002963F5">
              <w:rPr>
                <w:rStyle w:val="InstructionsTabelleberschrift"/>
                <w:rFonts w:ascii="Times New Roman" w:hAnsi="Times New Roman"/>
                <w:b w:val="0"/>
                <w:sz w:val="24"/>
                <w:u w:val="none"/>
                <w:lang w:eastAsia="de-DE"/>
              </w:rPr>
              <w:t>liabilities resulting from securities issued</w:t>
            </w:r>
            <w:r w:rsidR="002963F5" w:rsidRPr="0040604D">
              <w:rPr>
                <w:rStyle w:val="InstructionsTabelleberschrift"/>
                <w:rFonts w:ascii="Times New Roman" w:hAnsi="Times New Roman"/>
                <w:b w:val="0"/>
                <w:sz w:val="24"/>
                <w:u w:val="none"/>
                <w:lang w:eastAsia="de-DE"/>
              </w:rPr>
              <w:t xml:space="preserve"> </w:t>
            </w:r>
            <w:r w:rsidR="00B2358D" w:rsidRPr="0040604D">
              <w:rPr>
                <w:rStyle w:val="InstructionsTabelleberschrift"/>
                <w:rFonts w:ascii="Times New Roman" w:hAnsi="Times New Roman"/>
                <w:b w:val="0"/>
                <w:sz w:val="24"/>
                <w:u w:val="none"/>
                <w:lang w:eastAsia="de-DE"/>
              </w:rPr>
              <w:t xml:space="preserve">with an initial maturity date </w:t>
            </w:r>
            <w:r w:rsidR="00235ED5" w:rsidRPr="0040604D">
              <w:rPr>
                <w:rStyle w:val="InstructionsTabelleberschrift"/>
                <w:rFonts w:ascii="Times New Roman" w:hAnsi="Times New Roman"/>
                <w:b w:val="0"/>
                <w:sz w:val="24"/>
                <w:u w:val="none"/>
                <w:lang w:eastAsia="de-DE"/>
              </w:rPr>
              <w:t>equal to or longer</w:t>
            </w:r>
            <w:r w:rsidR="003E309A">
              <w:rPr>
                <w:rStyle w:val="InstructionsTabelleberschrift"/>
                <w:rFonts w:ascii="Times New Roman" w:hAnsi="Times New Roman"/>
                <w:b w:val="0"/>
                <w:sz w:val="24"/>
                <w:u w:val="none"/>
                <w:lang w:eastAsia="de-DE"/>
              </w:rPr>
              <w:t xml:space="preserve"> </w:t>
            </w:r>
            <w:r w:rsidR="00B2358D" w:rsidRPr="0040604D">
              <w:rPr>
                <w:rFonts w:ascii="Times New Roman" w:hAnsi="Times New Roman"/>
                <w:sz w:val="24"/>
              </w:rPr>
              <w:t xml:space="preserve">than 1 year reported in line 1.1, </w:t>
            </w:r>
            <w:r w:rsidR="00743492">
              <w:rPr>
                <w:rFonts w:ascii="Times New Roman" w:hAnsi="Times New Roman"/>
                <w:sz w:val="24"/>
              </w:rPr>
              <w:t>which</w:t>
            </w:r>
            <w:r w:rsidR="00B2358D" w:rsidRPr="0040604D">
              <w:rPr>
                <w:rFonts w:ascii="Times New Roman" w:hAnsi="Times New Roman"/>
                <w:sz w:val="24"/>
              </w:rPr>
              <w:t xml:space="preserve"> is</w:t>
            </w:r>
            <w:r w:rsidR="00B2358D" w:rsidRPr="0040604D">
              <w:rPr>
                <w:rStyle w:val="InstructionsTabelleberschrift"/>
                <w:rFonts w:ascii="Times New Roman" w:hAnsi="Times New Roman"/>
                <w:b w:val="0"/>
                <w:sz w:val="24"/>
                <w:u w:val="none"/>
                <w:lang w:eastAsia="de-DE"/>
              </w:rPr>
              <w:t xml:space="preserve"> bonds </w:t>
            </w:r>
            <w:r w:rsidR="00B2358D" w:rsidRPr="00B2358D">
              <w:rPr>
                <w:rStyle w:val="InstructionsTabelleberschrift"/>
                <w:rFonts w:ascii="Times New Roman" w:hAnsi="Times New Roman"/>
                <w:b w:val="0"/>
                <w:sz w:val="24"/>
                <w:u w:val="none"/>
                <w:lang w:eastAsia="de-DE"/>
              </w:rPr>
              <w:t>defined in Article 52(4) of Directive 2009/65/EC</w:t>
            </w:r>
            <w:r w:rsidR="004E78DB">
              <w:rPr>
                <w:rStyle w:val="InstructionsTabelleberschrift"/>
                <w:rFonts w:ascii="Times New Roman" w:hAnsi="Times New Roman"/>
                <w:b w:val="0"/>
                <w:sz w:val="24"/>
                <w:u w:val="none"/>
                <w:lang w:eastAsia="de-DE"/>
              </w:rPr>
              <w:t xml:space="preserve"> </w:t>
            </w:r>
            <w:r w:rsidR="00DF53E6">
              <w:rPr>
                <w:rStyle w:val="InstructionsTabelleberschrift"/>
                <w:rFonts w:ascii="Times New Roman" w:hAnsi="Times New Roman"/>
                <w:b w:val="0"/>
                <w:sz w:val="24"/>
                <w:u w:val="none"/>
                <w:lang w:eastAsia="de-DE"/>
              </w:rPr>
              <w:t>other than those referred to</w:t>
            </w:r>
            <w:r w:rsidR="004E78DB">
              <w:rPr>
                <w:rStyle w:val="InstructionsTabelleberschrift"/>
                <w:rFonts w:ascii="Times New Roman" w:hAnsi="Times New Roman"/>
                <w:b w:val="0"/>
                <w:sz w:val="24"/>
                <w:u w:val="none"/>
                <w:lang w:eastAsia="de-DE"/>
              </w:rPr>
              <w:t xml:space="preserve"> in </w:t>
            </w:r>
            <w:r w:rsidR="00CD2B51">
              <w:rPr>
                <w:rStyle w:val="InstructionsTabelleberschrift"/>
                <w:rFonts w:ascii="Times New Roman" w:hAnsi="Times New Roman"/>
                <w:b w:val="0"/>
                <w:sz w:val="24"/>
                <w:u w:val="none"/>
                <w:lang w:eastAsia="de-DE"/>
              </w:rPr>
              <w:t>line</w:t>
            </w:r>
            <w:r w:rsidR="004E78DB">
              <w:rPr>
                <w:rStyle w:val="InstructionsTabelleberschrift"/>
                <w:rFonts w:ascii="Times New Roman" w:hAnsi="Times New Roman"/>
                <w:b w:val="0"/>
                <w:sz w:val="24"/>
                <w:u w:val="none"/>
                <w:lang w:eastAsia="de-DE"/>
              </w:rPr>
              <w:t xml:space="preserve"> 1.1.3</w:t>
            </w:r>
            <w:r w:rsidR="00DF53E6">
              <w:rPr>
                <w:rStyle w:val="InstructionsTabelleberschrift"/>
                <w:rFonts w:ascii="Times New Roman" w:hAnsi="Times New Roman"/>
                <w:b w:val="0"/>
                <w:sz w:val="24"/>
                <w:u w:val="none"/>
                <w:lang w:eastAsia="de-DE"/>
              </w:rPr>
              <w:t>.</w:t>
            </w:r>
          </w:p>
        </w:tc>
      </w:tr>
      <w:tr w:rsidR="008C6B6B" w:rsidRPr="0040604D" w:rsidTr="0021066C">
        <w:trPr>
          <w:trHeight w:val="1134"/>
        </w:trPr>
        <w:tc>
          <w:tcPr>
            <w:tcW w:w="828" w:type="dxa"/>
            <w:vAlign w:val="center"/>
          </w:tcPr>
          <w:p w:rsidR="001F2559"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060</w:t>
            </w:r>
          </w:p>
        </w:tc>
        <w:tc>
          <w:tcPr>
            <w:tcW w:w="7766" w:type="dxa"/>
            <w:gridSpan w:val="2"/>
            <w:shd w:val="clear" w:color="auto" w:fill="auto"/>
            <w:noWrap/>
          </w:tcPr>
          <w:p w:rsidR="008C6B6B" w:rsidRPr="0040604D" w:rsidRDefault="008C6B6B" w:rsidP="0057741E">
            <w:pPr>
              <w:rPr>
                <w:rFonts w:ascii="Times New Roman" w:hAnsi="Times New Roman"/>
                <w:b/>
                <w:sz w:val="24"/>
                <w:u w:val="single"/>
              </w:rPr>
            </w:pPr>
            <w:r w:rsidRPr="0040604D">
              <w:rPr>
                <w:rFonts w:ascii="Times New Roman" w:hAnsi="Times New Roman"/>
                <w:b/>
                <w:sz w:val="24"/>
                <w:u w:val="single"/>
              </w:rPr>
              <w:t>1.1.</w:t>
            </w:r>
            <w:r w:rsidR="004E78DB">
              <w:rPr>
                <w:rFonts w:ascii="Times New Roman" w:hAnsi="Times New Roman"/>
                <w:b/>
                <w:sz w:val="24"/>
                <w:u w:val="single"/>
              </w:rPr>
              <w:t>5</w:t>
            </w:r>
            <w:r w:rsidRPr="0040604D">
              <w:rPr>
                <w:rFonts w:ascii="Times New Roman" w:hAnsi="Times New Roman"/>
                <w:b/>
                <w:sz w:val="24"/>
                <w:u w:val="single"/>
              </w:rPr>
              <w:t xml:space="preserve"> securiti</w:t>
            </w:r>
            <w:r w:rsidR="00235ED5">
              <w:rPr>
                <w:rFonts w:ascii="Times New Roman" w:hAnsi="Times New Roman"/>
                <w:b/>
                <w:sz w:val="24"/>
                <w:u w:val="single"/>
              </w:rPr>
              <w:t>s</w:t>
            </w:r>
            <w:r w:rsidRPr="0040604D">
              <w:rPr>
                <w:rFonts w:ascii="Times New Roman" w:hAnsi="Times New Roman"/>
                <w:b/>
                <w:sz w:val="24"/>
                <w:u w:val="single"/>
              </w:rPr>
              <w:t>ations</w:t>
            </w:r>
            <w:r w:rsidR="003E309A">
              <w:rPr>
                <w:rFonts w:ascii="Times New Roman" w:hAnsi="Times New Roman"/>
                <w:b/>
                <w:sz w:val="24"/>
                <w:u w:val="single"/>
              </w:rPr>
              <w:t xml:space="preserve"> </w:t>
            </w:r>
            <w:r w:rsidRPr="0040604D">
              <w:rPr>
                <w:rFonts w:ascii="Times New Roman" w:hAnsi="Times New Roman"/>
                <w:b/>
                <w:sz w:val="24"/>
                <w:u w:val="single"/>
              </w:rPr>
              <w:t>due</w:t>
            </w:r>
          </w:p>
          <w:p w:rsidR="008C6B6B" w:rsidRPr="0040604D" w:rsidRDefault="00743492" w:rsidP="0057741E">
            <w:pPr>
              <w:rPr>
                <w:rFonts w:ascii="Times New Roman" w:hAnsi="Times New Roman"/>
                <w:bCs/>
                <w:sz w:val="24"/>
                <w:lang w:eastAsia="de-DE"/>
              </w:rPr>
            </w:pPr>
            <w:r>
              <w:rPr>
                <w:rStyle w:val="InstructionsTabelleberschrift"/>
                <w:rFonts w:ascii="Times New Roman" w:hAnsi="Times New Roman"/>
                <w:b w:val="0"/>
                <w:sz w:val="24"/>
                <w:u w:val="none"/>
                <w:lang w:eastAsia="de-DE"/>
              </w:rPr>
              <w:t>The</w:t>
            </w:r>
            <w:r w:rsidR="008C6B6B" w:rsidRPr="0040604D">
              <w:rPr>
                <w:rStyle w:val="InstructionsTabelleberschrift"/>
                <w:rFonts w:ascii="Times New Roman" w:hAnsi="Times New Roman"/>
                <w:b w:val="0"/>
                <w:sz w:val="24"/>
                <w:u w:val="none"/>
                <w:lang w:eastAsia="de-DE"/>
              </w:rPr>
              <w:t xml:space="preserve"> amount of </w:t>
            </w:r>
            <w:r w:rsidR="002963F5">
              <w:rPr>
                <w:rStyle w:val="InstructionsTabelleberschrift"/>
                <w:rFonts w:ascii="Times New Roman" w:hAnsi="Times New Roman"/>
                <w:b w:val="0"/>
                <w:sz w:val="24"/>
                <w:u w:val="none"/>
                <w:lang w:eastAsia="de-DE"/>
              </w:rPr>
              <w:t>liabilities resulting from securities issued</w:t>
            </w:r>
            <w:r w:rsidR="002963F5" w:rsidRPr="0040604D">
              <w:rPr>
                <w:rStyle w:val="InstructionsTabelleberschrift"/>
                <w:rFonts w:ascii="Times New Roman" w:hAnsi="Times New Roman"/>
                <w:b w:val="0"/>
                <w:sz w:val="24"/>
                <w:u w:val="none"/>
                <w:lang w:eastAsia="de-DE"/>
              </w:rPr>
              <w:t xml:space="preserve"> </w:t>
            </w:r>
            <w:r w:rsidR="008C6B6B" w:rsidRPr="0040604D">
              <w:rPr>
                <w:rStyle w:val="InstructionsTabelleberschrift"/>
                <w:rFonts w:ascii="Times New Roman" w:hAnsi="Times New Roman"/>
                <w:b w:val="0"/>
                <w:sz w:val="24"/>
                <w:u w:val="none"/>
                <w:lang w:eastAsia="de-DE"/>
              </w:rPr>
              <w:t xml:space="preserve">with an initial maturity date </w:t>
            </w:r>
            <w:r w:rsidR="00235ED5" w:rsidRPr="0040604D">
              <w:rPr>
                <w:rStyle w:val="InstructionsTabelleberschrift"/>
                <w:rFonts w:ascii="Times New Roman" w:hAnsi="Times New Roman"/>
                <w:b w:val="0"/>
                <w:sz w:val="24"/>
                <w:u w:val="none"/>
                <w:lang w:eastAsia="de-DE"/>
              </w:rPr>
              <w:t>equal to or longer</w:t>
            </w:r>
            <w:r w:rsidR="003E309A">
              <w:rPr>
                <w:rStyle w:val="InstructionsTabelleberschrift"/>
                <w:rFonts w:ascii="Times New Roman" w:hAnsi="Times New Roman"/>
                <w:b w:val="0"/>
                <w:sz w:val="24"/>
                <w:u w:val="none"/>
                <w:lang w:eastAsia="de-DE"/>
              </w:rPr>
              <w:t xml:space="preserve"> </w:t>
            </w:r>
            <w:r w:rsidR="008C6B6B" w:rsidRPr="0040604D">
              <w:rPr>
                <w:rFonts w:ascii="Times New Roman" w:hAnsi="Times New Roman"/>
                <w:sz w:val="24"/>
              </w:rPr>
              <w:t xml:space="preserve">than 1 year reported in line 1.1, </w:t>
            </w:r>
            <w:r>
              <w:rPr>
                <w:rFonts w:ascii="Times New Roman" w:hAnsi="Times New Roman"/>
                <w:sz w:val="24"/>
              </w:rPr>
              <w:t>which</w:t>
            </w:r>
            <w:r w:rsidR="008C6B6B" w:rsidRPr="0040604D">
              <w:rPr>
                <w:rFonts w:ascii="Times New Roman" w:hAnsi="Times New Roman"/>
                <w:sz w:val="24"/>
              </w:rPr>
              <w:t xml:space="preserve"> is</w:t>
            </w:r>
            <w:r w:rsidR="008C6B6B" w:rsidRPr="0040604D">
              <w:rPr>
                <w:rStyle w:val="InstructionsTabelleberschrift"/>
                <w:rFonts w:ascii="Times New Roman" w:hAnsi="Times New Roman"/>
                <w:b w:val="0"/>
                <w:sz w:val="24"/>
                <w:u w:val="none"/>
                <w:lang w:eastAsia="de-DE"/>
              </w:rPr>
              <w:t xml:space="preserve"> securiti</w:t>
            </w:r>
            <w:r w:rsidR="00843890" w:rsidRPr="0040604D">
              <w:rPr>
                <w:rStyle w:val="InstructionsTabelleberschrift"/>
                <w:rFonts w:ascii="Times New Roman" w:hAnsi="Times New Roman"/>
                <w:b w:val="0"/>
                <w:sz w:val="24"/>
                <w:u w:val="none"/>
                <w:lang w:eastAsia="de-DE"/>
              </w:rPr>
              <w:t>s</w:t>
            </w:r>
            <w:r w:rsidR="008C6B6B" w:rsidRPr="0040604D">
              <w:rPr>
                <w:rStyle w:val="InstructionsTabelleberschrift"/>
                <w:rFonts w:ascii="Times New Roman" w:hAnsi="Times New Roman"/>
                <w:b w:val="0"/>
                <w:sz w:val="24"/>
                <w:u w:val="none"/>
                <w:lang w:eastAsia="de-DE"/>
              </w:rPr>
              <w:t>ation transactions with third parties</w:t>
            </w:r>
            <w:r w:rsidR="00804914" w:rsidRPr="0040604D">
              <w:rPr>
                <w:rStyle w:val="InstructionsTabelleberschrift"/>
                <w:rFonts w:ascii="Times New Roman" w:hAnsi="Times New Roman"/>
                <w:b w:val="0"/>
                <w:sz w:val="24"/>
                <w:u w:val="none"/>
                <w:lang w:eastAsia="de-DE"/>
              </w:rPr>
              <w:t>, in</w:t>
            </w:r>
            <w:r w:rsidR="003E309A">
              <w:rPr>
                <w:rStyle w:val="InstructionsTabelleberschrift"/>
                <w:rFonts w:ascii="Times New Roman" w:hAnsi="Times New Roman"/>
                <w:b w:val="0"/>
                <w:sz w:val="24"/>
                <w:u w:val="none"/>
                <w:lang w:eastAsia="de-DE"/>
              </w:rPr>
              <w:t xml:space="preserve"> </w:t>
            </w:r>
            <w:r w:rsidR="00843890" w:rsidRPr="0040604D">
              <w:rPr>
                <w:rStyle w:val="InstructionsTabelleberschrift"/>
                <w:rFonts w:ascii="Times New Roman" w:hAnsi="Times New Roman"/>
                <w:b w:val="0"/>
                <w:sz w:val="24"/>
                <w:u w:val="none"/>
                <w:lang w:eastAsia="de-DE"/>
              </w:rPr>
              <w:t>accordance with Article 4(</w:t>
            </w:r>
            <w:r w:rsidR="002963F5">
              <w:rPr>
                <w:rStyle w:val="InstructionsTabelleberschrift"/>
                <w:rFonts w:ascii="Times New Roman" w:hAnsi="Times New Roman"/>
                <w:b w:val="0"/>
                <w:sz w:val="24"/>
                <w:u w:val="none"/>
                <w:lang w:eastAsia="de-DE"/>
              </w:rPr>
              <w:t>61</w:t>
            </w:r>
            <w:r w:rsidR="00843890" w:rsidRPr="0040604D">
              <w:rPr>
                <w:rStyle w:val="InstructionsTabelleberschrift"/>
                <w:rFonts w:ascii="Times New Roman" w:hAnsi="Times New Roman"/>
                <w:b w:val="0"/>
                <w:sz w:val="24"/>
                <w:u w:val="none"/>
                <w:lang w:eastAsia="de-DE"/>
              </w:rPr>
              <w:t xml:space="preserve">) </w:t>
            </w:r>
            <w:r w:rsidR="00843890" w:rsidRPr="0040604D">
              <w:rPr>
                <w:rStyle w:val="InstructionsTabelleberschrift"/>
                <w:rFonts w:ascii="Times New Roman" w:hAnsi="Times New Roman"/>
                <w:b w:val="0"/>
                <w:sz w:val="24"/>
                <w:u w:val="none"/>
                <w:lang w:eastAsia="de-DE"/>
              </w:rPr>
              <w:lastRenderedPageBreak/>
              <w:t xml:space="preserve">of </w:t>
            </w:r>
            <w:r w:rsidR="00893902" w:rsidRPr="0040604D">
              <w:rPr>
                <w:rFonts w:ascii="Times New Roman" w:hAnsi="Times New Roman"/>
                <w:sz w:val="24"/>
                <w:lang w:eastAsia="en-GB"/>
              </w:rPr>
              <w:t xml:space="preserve">Regulation </w:t>
            </w:r>
            <w:r w:rsidR="004A1C3C" w:rsidRPr="004A1C3C">
              <w:rPr>
                <w:rFonts w:ascii="Times New Roman" w:hAnsi="Times New Roman"/>
                <w:sz w:val="24"/>
                <w:lang w:eastAsia="en-GB"/>
              </w:rPr>
              <w:t>575/2013</w:t>
            </w:r>
            <w:r w:rsidR="00804914" w:rsidRPr="0040604D">
              <w:rPr>
                <w:rStyle w:val="InstructionsTabelleberschrift"/>
                <w:rFonts w:ascii="Times New Roman" w:hAnsi="Times New Roman"/>
                <w:b w:val="0"/>
                <w:sz w:val="24"/>
                <w:u w:val="none"/>
                <w:lang w:eastAsia="de-DE"/>
              </w:rPr>
              <w:t>.</w:t>
            </w:r>
          </w:p>
        </w:tc>
      </w:tr>
      <w:tr w:rsidR="008C6B6B" w:rsidRPr="0040604D" w:rsidTr="0021066C">
        <w:trPr>
          <w:trHeight w:val="1134"/>
        </w:trPr>
        <w:tc>
          <w:tcPr>
            <w:tcW w:w="828" w:type="dxa"/>
            <w:vAlign w:val="center"/>
          </w:tcPr>
          <w:p w:rsidR="001F2559"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lastRenderedPageBreak/>
              <w:t>070</w:t>
            </w:r>
          </w:p>
        </w:tc>
        <w:tc>
          <w:tcPr>
            <w:tcW w:w="7766" w:type="dxa"/>
            <w:gridSpan w:val="2"/>
            <w:shd w:val="clear" w:color="auto" w:fill="auto"/>
            <w:noWrap/>
          </w:tcPr>
          <w:p w:rsidR="008C6B6B" w:rsidRPr="0040604D" w:rsidRDefault="008C6B6B" w:rsidP="0057741E">
            <w:pPr>
              <w:rPr>
                <w:rFonts w:ascii="Times New Roman" w:hAnsi="Times New Roman"/>
                <w:b/>
                <w:sz w:val="24"/>
                <w:u w:val="single"/>
              </w:rPr>
            </w:pPr>
            <w:r w:rsidRPr="0040604D">
              <w:rPr>
                <w:rFonts w:ascii="Times New Roman" w:hAnsi="Times New Roman"/>
                <w:b/>
                <w:sz w:val="24"/>
                <w:u w:val="single"/>
              </w:rPr>
              <w:t>1.1.</w:t>
            </w:r>
            <w:r w:rsidR="004E78DB">
              <w:rPr>
                <w:rFonts w:ascii="Times New Roman" w:hAnsi="Times New Roman"/>
                <w:b/>
                <w:sz w:val="24"/>
                <w:u w:val="single"/>
              </w:rPr>
              <w:t>6</w:t>
            </w:r>
            <w:r w:rsidRPr="0040604D">
              <w:rPr>
                <w:rFonts w:ascii="Times New Roman" w:hAnsi="Times New Roman"/>
                <w:b/>
                <w:sz w:val="24"/>
                <w:u w:val="single"/>
              </w:rPr>
              <w:t xml:space="preserve"> short-term paper due</w:t>
            </w:r>
          </w:p>
          <w:p w:rsidR="008C6B6B" w:rsidRPr="0040604D" w:rsidRDefault="00743492" w:rsidP="00235ED5">
            <w:pPr>
              <w:rPr>
                <w:rFonts w:ascii="Times New Roman" w:hAnsi="Times New Roman"/>
                <w:b/>
                <w:sz w:val="24"/>
              </w:rPr>
            </w:pPr>
            <w:r>
              <w:rPr>
                <w:rStyle w:val="InstructionsTabelleberschrift"/>
                <w:rFonts w:ascii="Times New Roman" w:hAnsi="Times New Roman"/>
                <w:b w:val="0"/>
                <w:sz w:val="24"/>
                <w:u w:val="none"/>
                <w:lang w:eastAsia="de-DE"/>
              </w:rPr>
              <w:t>The</w:t>
            </w:r>
            <w:r w:rsidR="008C6B6B" w:rsidRPr="0040604D">
              <w:rPr>
                <w:rStyle w:val="InstructionsTabelleberschrift"/>
                <w:rFonts w:ascii="Times New Roman" w:hAnsi="Times New Roman"/>
                <w:b w:val="0"/>
                <w:sz w:val="24"/>
                <w:u w:val="none"/>
                <w:lang w:eastAsia="de-DE"/>
              </w:rPr>
              <w:t xml:space="preserve"> amount of </w:t>
            </w:r>
            <w:r w:rsidR="002963F5">
              <w:rPr>
                <w:rStyle w:val="InstructionsTabelleberschrift"/>
                <w:rFonts w:ascii="Times New Roman" w:hAnsi="Times New Roman"/>
                <w:b w:val="0"/>
                <w:sz w:val="24"/>
                <w:u w:val="none"/>
                <w:lang w:eastAsia="de-DE"/>
              </w:rPr>
              <w:t>liabilities resulting from securities issued</w:t>
            </w:r>
            <w:r w:rsidR="002963F5" w:rsidRPr="0040604D">
              <w:rPr>
                <w:rStyle w:val="InstructionsTabelleberschrift"/>
                <w:rFonts w:ascii="Times New Roman" w:hAnsi="Times New Roman"/>
                <w:b w:val="0"/>
                <w:sz w:val="24"/>
                <w:u w:val="none"/>
                <w:lang w:eastAsia="de-DE"/>
              </w:rPr>
              <w:t xml:space="preserve"> </w:t>
            </w:r>
            <w:r w:rsidR="008C6B6B" w:rsidRPr="0040604D">
              <w:rPr>
                <w:rStyle w:val="InstructionsTabelleberschrift"/>
                <w:rFonts w:ascii="Times New Roman" w:hAnsi="Times New Roman"/>
                <w:b w:val="0"/>
                <w:sz w:val="24"/>
                <w:u w:val="none"/>
                <w:lang w:eastAsia="de-DE"/>
              </w:rPr>
              <w:t xml:space="preserve">with an initial maturity date </w:t>
            </w:r>
            <w:r w:rsidR="00235ED5">
              <w:rPr>
                <w:rStyle w:val="InstructionsTabelleberschrift"/>
                <w:rFonts w:ascii="Times New Roman" w:hAnsi="Times New Roman"/>
                <w:b w:val="0"/>
                <w:sz w:val="24"/>
                <w:lang w:eastAsia="de-DE"/>
              </w:rPr>
              <w:t>less</w:t>
            </w:r>
            <w:r w:rsidR="00235ED5" w:rsidRPr="0040604D">
              <w:rPr>
                <w:rFonts w:ascii="Times New Roman" w:hAnsi="Times New Roman"/>
                <w:sz w:val="24"/>
                <w:u w:val="single"/>
              </w:rPr>
              <w:t xml:space="preserve"> </w:t>
            </w:r>
            <w:r w:rsidR="008C6B6B" w:rsidRPr="0040604D">
              <w:rPr>
                <w:rFonts w:ascii="Times New Roman" w:hAnsi="Times New Roman"/>
                <w:sz w:val="24"/>
              </w:rPr>
              <w:t xml:space="preserve">than 1 year reported in line 1.1, </w:t>
            </w:r>
            <w:r>
              <w:rPr>
                <w:rFonts w:ascii="Times New Roman" w:hAnsi="Times New Roman"/>
                <w:sz w:val="24"/>
              </w:rPr>
              <w:t>which</w:t>
            </w:r>
            <w:r w:rsidR="008C6B6B" w:rsidRPr="0040604D">
              <w:rPr>
                <w:rFonts w:ascii="Times New Roman" w:hAnsi="Times New Roman"/>
                <w:sz w:val="24"/>
              </w:rPr>
              <w:t xml:space="preserve"> is</w:t>
            </w:r>
            <w:r w:rsidR="008C6B6B" w:rsidRPr="0040604D">
              <w:rPr>
                <w:rStyle w:val="InstructionsTabelleberschrift"/>
                <w:rFonts w:ascii="Times New Roman" w:hAnsi="Times New Roman"/>
                <w:b w:val="0"/>
                <w:sz w:val="24"/>
                <w:u w:val="none"/>
                <w:lang w:eastAsia="de-DE"/>
              </w:rPr>
              <w:t xml:space="preserve"> short-term paper due. Issues sold at a discount </w:t>
            </w:r>
            <w:r w:rsidR="00FB2A54" w:rsidRPr="0040604D">
              <w:rPr>
                <w:rStyle w:val="InstructionsTabelleberschrift"/>
                <w:rFonts w:ascii="Times New Roman" w:hAnsi="Times New Roman"/>
                <w:b w:val="0"/>
                <w:sz w:val="24"/>
                <w:u w:val="none"/>
                <w:lang w:eastAsia="de-DE"/>
              </w:rPr>
              <w:t xml:space="preserve">shall </w:t>
            </w:r>
            <w:r w:rsidR="008C6B6B" w:rsidRPr="0040604D">
              <w:rPr>
                <w:rStyle w:val="InstructionsTabelleberschrift"/>
                <w:rFonts w:ascii="Times New Roman" w:hAnsi="Times New Roman"/>
                <w:b w:val="0"/>
                <w:sz w:val="24"/>
                <w:u w:val="none"/>
                <w:lang w:eastAsia="de-DE"/>
              </w:rPr>
              <w:t>be reported at their nominal amount at maturity.</w:t>
            </w:r>
          </w:p>
        </w:tc>
      </w:tr>
      <w:tr w:rsidR="00A72BB4" w:rsidRPr="0040604D" w:rsidTr="0021066C">
        <w:trPr>
          <w:trHeight w:val="1134"/>
        </w:trPr>
        <w:tc>
          <w:tcPr>
            <w:tcW w:w="828" w:type="dxa"/>
            <w:vAlign w:val="center"/>
          </w:tcPr>
          <w:p w:rsidR="00A72BB4"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080</w:t>
            </w:r>
          </w:p>
        </w:tc>
        <w:tc>
          <w:tcPr>
            <w:tcW w:w="7766" w:type="dxa"/>
            <w:gridSpan w:val="2"/>
            <w:shd w:val="clear" w:color="auto" w:fill="auto"/>
            <w:noWrap/>
          </w:tcPr>
          <w:p w:rsidR="00A72BB4" w:rsidRPr="0040604D" w:rsidRDefault="00A72BB4" w:rsidP="00A72BB4">
            <w:pPr>
              <w:rPr>
                <w:rFonts w:ascii="Times New Roman" w:hAnsi="Times New Roman"/>
                <w:b/>
                <w:sz w:val="24"/>
                <w:u w:val="single"/>
              </w:rPr>
            </w:pPr>
            <w:r w:rsidRPr="0040604D">
              <w:rPr>
                <w:rFonts w:ascii="Times New Roman" w:hAnsi="Times New Roman"/>
                <w:b/>
                <w:sz w:val="24"/>
                <w:u w:val="single"/>
              </w:rPr>
              <w:t>1.1.</w:t>
            </w:r>
            <w:r w:rsidR="00695BDE">
              <w:rPr>
                <w:rFonts w:ascii="Times New Roman" w:hAnsi="Times New Roman"/>
                <w:b/>
                <w:sz w:val="24"/>
                <w:u w:val="single"/>
              </w:rPr>
              <w:t>7</w:t>
            </w:r>
            <w:r>
              <w:rPr>
                <w:rFonts w:ascii="Times New Roman" w:hAnsi="Times New Roman"/>
                <w:b/>
                <w:sz w:val="24"/>
                <w:u w:val="single"/>
              </w:rPr>
              <w:t xml:space="preserve"> of which to intragroup entities</w:t>
            </w:r>
          </w:p>
          <w:p w:rsidR="00A72BB4" w:rsidRPr="0040604D" w:rsidRDefault="00743492" w:rsidP="00A72BB4">
            <w:pPr>
              <w:rPr>
                <w:rFonts w:ascii="Times New Roman" w:hAnsi="Times New Roman"/>
                <w:b/>
                <w:sz w:val="24"/>
                <w:u w:val="single"/>
              </w:rPr>
            </w:pPr>
            <w:r>
              <w:rPr>
                <w:rStyle w:val="InstructionsTabelleberschrift"/>
                <w:rFonts w:ascii="Times New Roman" w:hAnsi="Times New Roman"/>
                <w:b w:val="0"/>
                <w:sz w:val="24"/>
                <w:u w:val="none"/>
                <w:lang w:eastAsia="de-DE"/>
              </w:rPr>
              <w:t>The</w:t>
            </w:r>
            <w:r w:rsidR="00A72BB4" w:rsidRPr="0040604D">
              <w:rPr>
                <w:rStyle w:val="InstructionsTabelleberschrift"/>
                <w:rFonts w:ascii="Times New Roman" w:hAnsi="Times New Roman"/>
                <w:b w:val="0"/>
                <w:sz w:val="24"/>
                <w:u w:val="none"/>
                <w:lang w:eastAsia="de-DE"/>
              </w:rPr>
              <w:t xml:space="preserve"> amount of </w:t>
            </w:r>
            <w:r w:rsidR="002963F5">
              <w:rPr>
                <w:rStyle w:val="InstructionsTabelleberschrift"/>
                <w:rFonts w:ascii="Times New Roman" w:hAnsi="Times New Roman"/>
                <w:b w:val="0"/>
                <w:sz w:val="24"/>
                <w:u w:val="none"/>
                <w:lang w:eastAsia="de-DE"/>
              </w:rPr>
              <w:t>liabilities resulting from securities issued</w:t>
            </w:r>
            <w:r w:rsidR="002963F5" w:rsidRPr="0040604D">
              <w:rPr>
                <w:rStyle w:val="InstructionsTabelleberschrift"/>
                <w:rFonts w:ascii="Times New Roman" w:hAnsi="Times New Roman"/>
                <w:b w:val="0"/>
                <w:sz w:val="24"/>
                <w:u w:val="none"/>
                <w:lang w:eastAsia="de-DE"/>
              </w:rPr>
              <w:t xml:space="preserve"> </w:t>
            </w:r>
            <w:r w:rsidR="002963F5">
              <w:rPr>
                <w:rStyle w:val="InstructionsTabelleberschrift"/>
                <w:rFonts w:ascii="Times New Roman" w:hAnsi="Times New Roman"/>
                <w:b w:val="0"/>
                <w:sz w:val="24"/>
                <w:u w:val="none"/>
                <w:lang w:eastAsia="de-DE"/>
              </w:rPr>
              <w:t xml:space="preserve">due </w:t>
            </w:r>
            <w:r w:rsidR="00A72BB4" w:rsidRPr="0040604D">
              <w:rPr>
                <w:rFonts w:ascii="Times New Roman" w:hAnsi="Times New Roman"/>
                <w:sz w:val="24"/>
              </w:rPr>
              <w:t>reported in line 1.1,</w:t>
            </w:r>
            <w:r w:rsidR="00A72BB4">
              <w:rPr>
                <w:rFonts w:ascii="Times New Roman" w:hAnsi="Times New Roman"/>
                <w:sz w:val="24"/>
              </w:rPr>
              <w:t xml:space="preserve"> those to intragroup entities.</w:t>
            </w:r>
          </w:p>
        </w:tc>
      </w:tr>
      <w:tr w:rsidR="00A72BB4" w:rsidRPr="0040604D" w:rsidTr="0021066C">
        <w:trPr>
          <w:trHeight w:val="1134"/>
        </w:trPr>
        <w:tc>
          <w:tcPr>
            <w:tcW w:w="828" w:type="dxa"/>
            <w:vAlign w:val="center"/>
          </w:tcPr>
          <w:p w:rsidR="00A72BB4"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090</w:t>
            </w:r>
          </w:p>
        </w:tc>
        <w:tc>
          <w:tcPr>
            <w:tcW w:w="7766" w:type="dxa"/>
            <w:gridSpan w:val="2"/>
            <w:shd w:val="clear" w:color="auto" w:fill="auto"/>
            <w:noWrap/>
          </w:tcPr>
          <w:p w:rsidR="00A72BB4" w:rsidRDefault="00A72BB4" w:rsidP="00A72BB4">
            <w:pPr>
              <w:rPr>
                <w:rFonts w:ascii="Times New Roman" w:hAnsi="Times New Roman"/>
                <w:b/>
                <w:sz w:val="24"/>
                <w:u w:val="single"/>
              </w:rPr>
            </w:pPr>
            <w:r w:rsidRPr="00A72BB4">
              <w:rPr>
                <w:rFonts w:ascii="Times New Roman" w:hAnsi="Times New Roman"/>
                <w:b/>
                <w:sz w:val="24"/>
                <w:u w:val="single"/>
              </w:rPr>
              <w:t xml:space="preserve">1.1.8 of which </w:t>
            </w:r>
            <w:r>
              <w:rPr>
                <w:rFonts w:ascii="Times New Roman" w:hAnsi="Times New Roman"/>
                <w:b/>
                <w:sz w:val="24"/>
                <w:u w:val="single"/>
              </w:rPr>
              <w:t>debt securities issued for retail only</w:t>
            </w:r>
          </w:p>
          <w:p w:rsidR="00A72BB4" w:rsidRPr="0040604D" w:rsidRDefault="00743492" w:rsidP="004249E7">
            <w:pPr>
              <w:rPr>
                <w:rFonts w:ascii="Times New Roman" w:hAnsi="Times New Roman"/>
                <w:b/>
                <w:sz w:val="24"/>
                <w:u w:val="single"/>
              </w:rPr>
            </w:pPr>
            <w:r>
              <w:rPr>
                <w:rStyle w:val="InstructionsTabelleberschrift"/>
                <w:rFonts w:ascii="Times New Roman" w:hAnsi="Times New Roman"/>
                <w:b w:val="0"/>
                <w:sz w:val="24"/>
                <w:u w:val="none"/>
                <w:lang w:eastAsia="de-DE"/>
              </w:rPr>
              <w:t>The</w:t>
            </w:r>
            <w:r w:rsidR="00A72BB4" w:rsidRPr="0040604D">
              <w:rPr>
                <w:rStyle w:val="InstructionsTabelleberschrift"/>
                <w:rFonts w:ascii="Times New Roman" w:hAnsi="Times New Roman"/>
                <w:b w:val="0"/>
                <w:sz w:val="24"/>
                <w:u w:val="none"/>
                <w:lang w:eastAsia="de-DE"/>
              </w:rPr>
              <w:t xml:space="preserve"> amount of </w:t>
            </w:r>
            <w:r w:rsidR="002963F5">
              <w:rPr>
                <w:rStyle w:val="InstructionsTabelleberschrift"/>
                <w:rFonts w:ascii="Times New Roman" w:hAnsi="Times New Roman"/>
                <w:b w:val="0"/>
                <w:sz w:val="24"/>
                <w:u w:val="none"/>
                <w:lang w:eastAsia="de-DE"/>
              </w:rPr>
              <w:t>liabilities resulting from securities issued</w:t>
            </w:r>
            <w:r w:rsidR="00A72BB4" w:rsidRPr="0040604D">
              <w:rPr>
                <w:rStyle w:val="InstructionsTabelleberschrift"/>
                <w:rFonts w:ascii="Times New Roman" w:hAnsi="Times New Roman"/>
                <w:b w:val="0"/>
                <w:sz w:val="24"/>
                <w:u w:val="none"/>
                <w:lang w:eastAsia="de-DE"/>
              </w:rPr>
              <w:t xml:space="preserve"> </w:t>
            </w:r>
            <w:r w:rsidR="00A72BB4" w:rsidRPr="0040604D">
              <w:rPr>
                <w:rFonts w:ascii="Times New Roman" w:hAnsi="Times New Roman"/>
                <w:sz w:val="24"/>
              </w:rPr>
              <w:t>reported in line 1.1,</w:t>
            </w:r>
            <w:r w:rsidR="00A72BB4">
              <w:rPr>
                <w:rFonts w:ascii="Times New Roman" w:hAnsi="Times New Roman"/>
                <w:sz w:val="24"/>
              </w:rPr>
              <w:t xml:space="preserve"> those issued </w:t>
            </w:r>
            <w:r w:rsidR="004249E7">
              <w:rPr>
                <w:rFonts w:ascii="Times New Roman" w:hAnsi="Times New Roman"/>
                <w:sz w:val="24"/>
              </w:rPr>
              <w:t>to retail customers</w:t>
            </w:r>
            <w:r w:rsidR="00922D9F">
              <w:rPr>
                <w:rFonts w:ascii="Times New Roman" w:hAnsi="Times New Roman"/>
                <w:sz w:val="24"/>
              </w:rPr>
              <w:t xml:space="preserve"> only</w:t>
            </w:r>
            <w:r w:rsidR="00A72BB4">
              <w:rPr>
                <w:rFonts w:ascii="Times New Roman" w:hAnsi="Times New Roman"/>
                <w:sz w:val="24"/>
              </w:rPr>
              <w:t>.</w:t>
            </w:r>
          </w:p>
        </w:tc>
      </w:tr>
      <w:tr w:rsidR="008C6B6B" w:rsidRPr="0040604D" w:rsidTr="0021066C">
        <w:trPr>
          <w:trHeight w:val="709"/>
        </w:trPr>
        <w:tc>
          <w:tcPr>
            <w:tcW w:w="828" w:type="dxa"/>
            <w:vAlign w:val="center"/>
          </w:tcPr>
          <w:p w:rsidR="001F2559"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100</w:t>
            </w:r>
          </w:p>
        </w:tc>
        <w:tc>
          <w:tcPr>
            <w:tcW w:w="7766" w:type="dxa"/>
            <w:gridSpan w:val="2"/>
            <w:shd w:val="clear" w:color="auto" w:fill="auto"/>
            <w:noWrap/>
          </w:tcPr>
          <w:p w:rsidR="008C6B6B" w:rsidRPr="0040604D" w:rsidRDefault="008C6B6B" w:rsidP="0057741E">
            <w:pPr>
              <w:rPr>
                <w:rFonts w:ascii="Times New Roman" w:hAnsi="Times New Roman"/>
                <w:b/>
                <w:sz w:val="24"/>
                <w:u w:val="single"/>
              </w:rPr>
            </w:pPr>
            <w:r w:rsidRPr="0040604D">
              <w:rPr>
                <w:rFonts w:ascii="Times New Roman" w:hAnsi="Times New Roman"/>
                <w:b/>
                <w:sz w:val="24"/>
                <w:u w:val="single"/>
              </w:rPr>
              <w:t xml:space="preserve">1.2 Liabilities from secured lending and capital market driven transactions as defined in Article </w:t>
            </w:r>
            <w:r w:rsidR="00273B9D" w:rsidRPr="0040604D">
              <w:rPr>
                <w:rFonts w:ascii="Times New Roman" w:hAnsi="Times New Roman"/>
                <w:b/>
                <w:sz w:val="24"/>
                <w:u w:val="single"/>
              </w:rPr>
              <w:t>1</w:t>
            </w:r>
            <w:r w:rsidR="00273B9D">
              <w:rPr>
                <w:rFonts w:ascii="Times New Roman" w:hAnsi="Times New Roman"/>
                <w:b/>
                <w:sz w:val="24"/>
                <w:u w:val="single"/>
              </w:rPr>
              <w:t>92</w:t>
            </w:r>
            <w:r w:rsidR="00273B9D" w:rsidRPr="0040604D">
              <w:rPr>
                <w:rFonts w:ascii="Times New Roman" w:hAnsi="Times New Roman"/>
                <w:b/>
                <w:sz w:val="24"/>
                <w:u w:val="single"/>
              </w:rPr>
              <w:t xml:space="preserve"> </w:t>
            </w:r>
            <w:r w:rsidRPr="0040604D">
              <w:rPr>
                <w:rFonts w:ascii="Times New Roman" w:hAnsi="Times New Roman"/>
                <w:b/>
                <w:sz w:val="24"/>
                <w:u w:val="single"/>
              </w:rPr>
              <w:t xml:space="preserve">of </w:t>
            </w:r>
            <w:r w:rsidR="00F34CDC">
              <w:rPr>
                <w:rFonts w:ascii="Times New Roman" w:hAnsi="Times New Roman"/>
                <w:b/>
                <w:sz w:val="24"/>
                <w:u w:val="single"/>
              </w:rPr>
              <w:t xml:space="preserve">CRR, </w:t>
            </w:r>
            <w:r w:rsidRPr="0040604D">
              <w:rPr>
                <w:rFonts w:ascii="Times New Roman" w:hAnsi="Times New Roman"/>
                <w:b/>
                <w:sz w:val="24"/>
                <w:u w:val="single"/>
              </w:rPr>
              <w:t>collateralised by:</w:t>
            </w:r>
          </w:p>
          <w:p w:rsidR="008C6B6B" w:rsidRPr="0040604D" w:rsidRDefault="008C6B6B" w:rsidP="0057741E">
            <w:pPr>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b w:val="0"/>
                <w:sz w:val="24"/>
                <w:u w:val="none"/>
                <w:lang w:eastAsia="de-DE"/>
              </w:rPr>
              <w:t xml:space="preserve">Total amount of all cash outflows arising from secured lending and capital market driven transactions as defined in Article </w:t>
            </w:r>
            <w:r w:rsidR="00273B9D" w:rsidRPr="0040604D">
              <w:rPr>
                <w:rStyle w:val="InstructionsTabelleberschrift"/>
                <w:rFonts w:ascii="Times New Roman" w:hAnsi="Times New Roman"/>
                <w:b w:val="0"/>
                <w:sz w:val="24"/>
                <w:u w:val="none"/>
                <w:lang w:eastAsia="de-DE"/>
              </w:rPr>
              <w:t>1</w:t>
            </w:r>
            <w:r w:rsidR="00273B9D">
              <w:rPr>
                <w:rStyle w:val="InstructionsTabelleberschrift"/>
                <w:rFonts w:ascii="Times New Roman" w:hAnsi="Times New Roman"/>
                <w:b w:val="0"/>
                <w:sz w:val="24"/>
                <w:u w:val="none"/>
                <w:lang w:eastAsia="de-DE"/>
              </w:rPr>
              <w:t>92</w:t>
            </w:r>
            <w:r w:rsidR="002B27BD">
              <w:rPr>
                <w:rStyle w:val="InstructionsTabelleberschrift"/>
                <w:rFonts w:ascii="Times New Roman" w:hAnsi="Times New Roman"/>
                <w:b w:val="0"/>
                <w:sz w:val="24"/>
                <w:u w:val="none"/>
                <w:lang w:eastAsia="de-DE"/>
              </w:rPr>
              <w:t xml:space="preserve"> of </w:t>
            </w:r>
            <w:r w:rsidR="002B27BD" w:rsidRPr="008A1DB9">
              <w:rPr>
                <w:rStyle w:val="InstructionsTabelleberschrift"/>
                <w:rFonts w:ascii="Times New Roman" w:hAnsi="Times New Roman"/>
                <w:sz w:val="24"/>
                <w:u w:val="none"/>
                <w:lang w:eastAsia="de-DE"/>
              </w:rPr>
              <w:t>Regulation 575/2013</w:t>
            </w:r>
            <w:r w:rsidR="005608A0">
              <w:rPr>
                <w:rStyle w:val="InstructionsTabelleberschrift"/>
                <w:rFonts w:ascii="Times New Roman" w:hAnsi="Times New Roman"/>
                <w:b w:val="0"/>
                <w:sz w:val="24"/>
                <w:u w:val="none"/>
                <w:lang w:eastAsia="de-DE"/>
              </w:rPr>
              <w:t>.</w:t>
            </w:r>
          </w:p>
          <w:p w:rsidR="00B92324" w:rsidRDefault="005C2204" w:rsidP="00FB2A54">
            <w:pPr>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 xml:space="preserve">Note: Only cash flows are reported here, securities flows relating to </w:t>
            </w:r>
            <w:r w:rsidR="00D704B3">
              <w:rPr>
                <w:rStyle w:val="InstructionsTabelleberschrift"/>
                <w:rFonts w:ascii="Times New Roman" w:hAnsi="Times New Roman"/>
                <w:b w:val="0"/>
                <w:sz w:val="24"/>
                <w:u w:val="none"/>
                <w:lang w:eastAsia="de-DE"/>
              </w:rPr>
              <w:t xml:space="preserve">secured lending and capital market driven </w:t>
            </w:r>
            <w:r>
              <w:rPr>
                <w:rStyle w:val="InstructionsTabelleberschrift"/>
                <w:rFonts w:ascii="Times New Roman" w:hAnsi="Times New Roman"/>
                <w:b w:val="0"/>
                <w:sz w:val="24"/>
                <w:u w:val="none"/>
                <w:lang w:eastAsia="de-DE"/>
              </w:rPr>
              <w:t>transactions shall be reported in</w:t>
            </w:r>
            <w:r w:rsidR="00235ED5">
              <w:rPr>
                <w:rStyle w:val="InstructionsTabelleberschrift"/>
                <w:rFonts w:ascii="Times New Roman" w:hAnsi="Times New Roman"/>
                <w:b w:val="0"/>
                <w:sz w:val="24"/>
                <w:u w:val="none"/>
                <w:lang w:eastAsia="de-DE"/>
              </w:rPr>
              <w:t xml:space="preserve"> the</w:t>
            </w:r>
            <w:r>
              <w:rPr>
                <w:rStyle w:val="InstructionsTabelleberschrift"/>
                <w:rFonts w:ascii="Times New Roman" w:hAnsi="Times New Roman"/>
                <w:b w:val="0"/>
                <w:sz w:val="24"/>
                <w:u w:val="none"/>
                <w:lang w:eastAsia="de-DE"/>
              </w:rPr>
              <w:t xml:space="preserve"> </w:t>
            </w:r>
            <w:r w:rsidR="00983C01">
              <w:rPr>
                <w:rStyle w:val="InstructionsTabelleberschrift"/>
                <w:rFonts w:ascii="Times New Roman" w:hAnsi="Times New Roman"/>
                <w:b w:val="0"/>
                <w:sz w:val="24"/>
                <w:u w:val="none"/>
                <w:lang w:eastAsia="de-DE"/>
              </w:rPr>
              <w:t>“</w:t>
            </w:r>
            <w:r>
              <w:rPr>
                <w:rStyle w:val="InstructionsTabelleberschrift"/>
                <w:rFonts w:ascii="Times New Roman" w:hAnsi="Times New Roman"/>
                <w:b w:val="0"/>
                <w:sz w:val="24"/>
                <w:u w:val="none"/>
                <w:lang w:eastAsia="de-DE"/>
              </w:rPr>
              <w:t>counterbalancing capacity</w:t>
            </w:r>
            <w:r w:rsidR="00983C01">
              <w:rPr>
                <w:rStyle w:val="InstructionsTabelleberschrift"/>
                <w:rFonts w:ascii="Times New Roman" w:hAnsi="Times New Roman"/>
                <w:b w:val="0"/>
                <w:sz w:val="24"/>
                <w:u w:val="none"/>
                <w:lang w:eastAsia="de-DE"/>
              </w:rPr>
              <w:t xml:space="preserve">” </w:t>
            </w:r>
            <w:r w:rsidR="00235ED5">
              <w:rPr>
                <w:rStyle w:val="InstructionsTabelleberschrift"/>
                <w:rFonts w:ascii="Times New Roman" w:hAnsi="Times New Roman"/>
                <w:b w:val="0"/>
                <w:sz w:val="24"/>
                <w:u w:val="none"/>
                <w:lang w:eastAsia="de-DE"/>
              </w:rPr>
              <w:t>section</w:t>
            </w:r>
            <w:r>
              <w:rPr>
                <w:rStyle w:val="InstructionsTabelleberschrift"/>
                <w:rFonts w:ascii="Times New Roman" w:hAnsi="Times New Roman"/>
                <w:b w:val="0"/>
                <w:sz w:val="24"/>
                <w:u w:val="none"/>
                <w:lang w:eastAsia="de-DE"/>
              </w:rPr>
              <w:t>.</w:t>
            </w:r>
            <w:r w:rsidR="003E309A">
              <w:rPr>
                <w:rStyle w:val="InstructionsTabelleberschrift"/>
                <w:rFonts w:ascii="Times New Roman" w:hAnsi="Times New Roman"/>
                <w:b w:val="0"/>
                <w:sz w:val="24"/>
                <w:u w:val="none"/>
                <w:lang w:eastAsia="de-DE"/>
              </w:rPr>
              <w:t xml:space="preserve"> </w:t>
            </w:r>
          </w:p>
          <w:p w:rsidR="008C6B6B" w:rsidRPr="0040604D" w:rsidRDefault="008C6B6B" w:rsidP="00FB2A54">
            <w:pPr>
              <w:rPr>
                <w:rFonts w:ascii="Times New Roman" w:hAnsi="Times New Roman"/>
                <w:b/>
                <w:sz w:val="24"/>
                <w:u w:val="single"/>
              </w:rPr>
            </w:pPr>
          </w:p>
        </w:tc>
      </w:tr>
      <w:tr w:rsidR="00C6053E" w:rsidRPr="0040604D" w:rsidTr="0021066C">
        <w:trPr>
          <w:trHeight w:val="709"/>
        </w:trPr>
        <w:tc>
          <w:tcPr>
            <w:tcW w:w="828" w:type="dxa"/>
            <w:vAlign w:val="center"/>
          </w:tcPr>
          <w:p w:rsidR="00C6053E"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110</w:t>
            </w:r>
          </w:p>
        </w:tc>
        <w:tc>
          <w:tcPr>
            <w:tcW w:w="7766" w:type="dxa"/>
            <w:gridSpan w:val="2"/>
            <w:shd w:val="clear" w:color="auto" w:fill="auto"/>
            <w:noWrap/>
          </w:tcPr>
          <w:p w:rsidR="00C6053E" w:rsidRDefault="00C6053E" w:rsidP="00C6053E">
            <w:pPr>
              <w:rPr>
                <w:rFonts w:ascii="Times New Roman" w:hAnsi="Times New Roman"/>
                <w:b/>
                <w:sz w:val="24"/>
                <w:u w:val="single"/>
              </w:rPr>
            </w:pPr>
            <w:r w:rsidRPr="0040604D">
              <w:rPr>
                <w:rFonts w:ascii="Times New Roman" w:hAnsi="Times New Roman"/>
                <w:b/>
                <w:sz w:val="24"/>
                <w:u w:val="single"/>
              </w:rPr>
              <w:t>1.2.1</w:t>
            </w:r>
            <w:r w:rsidR="003E309A">
              <w:rPr>
                <w:rFonts w:ascii="Times New Roman" w:hAnsi="Times New Roman"/>
                <w:b/>
                <w:sz w:val="24"/>
                <w:u w:val="single"/>
              </w:rPr>
              <w:t xml:space="preserve"> </w:t>
            </w:r>
            <w:r>
              <w:rPr>
                <w:rFonts w:ascii="Times New Roman" w:hAnsi="Times New Roman"/>
                <w:b/>
                <w:sz w:val="24"/>
                <w:u w:val="single"/>
              </w:rPr>
              <w:t>C</w:t>
            </w:r>
            <w:r w:rsidR="002963F5">
              <w:rPr>
                <w:rFonts w:ascii="Times New Roman" w:hAnsi="Times New Roman"/>
                <w:b/>
                <w:sz w:val="24"/>
                <w:u w:val="single"/>
              </w:rPr>
              <w:t xml:space="preserve">entral </w:t>
            </w:r>
            <w:r>
              <w:rPr>
                <w:rFonts w:ascii="Times New Roman" w:hAnsi="Times New Roman"/>
                <w:b/>
                <w:sz w:val="24"/>
                <w:u w:val="single"/>
              </w:rPr>
              <w:t>B</w:t>
            </w:r>
            <w:r w:rsidR="002963F5">
              <w:rPr>
                <w:rFonts w:ascii="Times New Roman" w:hAnsi="Times New Roman"/>
                <w:b/>
                <w:sz w:val="24"/>
                <w:u w:val="single"/>
              </w:rPr>
              <w:t>ank</w:t>
            </w:r>
            <w:r>
              <w:rPr>
                <w:rFonts w:ascii="Times New Roman" w:hAnsi="Times New Roman"/>
                <w:b/>
                <w:sz w:val="24"/>
                <w:u w:val="single"/>
              </w:rPr>
              <w:t xml:space="preserve"> eligible assets</w:t>
            </w:r>
          </w:p>
          <w:p w:rsidR="00E53E59" w:rsidRPr="009920BE" w:rsidRDefault="00743492" w:rsidP="00C6053E">
            <w:pPr>
              <w:rPr>
                <w:rFonts w:ascii="Times New Roman" w:hAnsi="Times New Roman"/>
                <w:sz w:val="24"/>
              </w:rPr>
            </w:pPr>
            <w:r w:rsidRPr="009920BE">
              <w:rPr>
                <w:rFonts w:ascii="Times New Roman" w:hAnsi="Times New Roman"/>
                <w:sz w:val="24"/>
              </w:rPr>
              <w:t>The</w:t>
            </w:r>
            <w:r w:rsidR="008D6ECF" w:rsidRPr="009920BE">
              <w:rPr>
                <w:rFonts w:ascii="Times New Roman" w:hAnsi="Times New Roman"/>
                <w:sz w:val="24"/>
              </w:rPr>
              <w:t xml:space="preserve"> amount of cash outflows reported in item 1.2 </w:t>
            </w:r>
            <w:r w:rsidRPr="009920BE">
              <w:rPr>
                <w:rFonts w:ascii="Times New Roman" w:hAnsi="Times New Roman"/>
                <w:sz w:val="24"/>
              </w:rPr>
              <w:t>which</w:t>
            </w:r>
            <w:r w:rsidR="008D6ECF" w:rsidRPr="009920BE">
              <w:rPr>
                <w:rFonts w:ascii="Times New Roman" w:hAnsi="Times New Roman"/>
                <w:sz w:val="24"/>
              </w:rPr>
              <w:t xml:space="preserve"> is collateralised by central bank eligible assets. </w:t>
            </w:r>
          </w:p>
          <w:p w:rsidR="00DC1D2D" w:rsidRPr="009920BE" w:rsidRDefault="00DC1D2D" w:rsidP="00212FCC">
            <w:pPr>
              <w:rPr>
                <w:rFonts w:ascii="Times New Roman" w:hAnsi="Times New Roman"/>
                <w:sz w:val="24"/>
              </w:rPr>
            </w:pPr>
            <w:r w:rsidRPr="009920BE">
              <w:rPr>
                <w:rFonts w:ascii="Times New Roman" w:hAnsi="Times New Roman"/>
                <w:sz w:val="24"/>
              </w:rPr>
              <w:t xml:space="preserve">For central bank eligible assets, only those assets shall be included which are proven to be eligible collateral </w:t>
            </w:r>
            <w:r w:rsidR="00212FCC" w:rsidRPr="009920BE">
              <w:rPr>
                <w:rFonts w:ascii="Times New Roman" w:hAnsi="Times New Roman"/>
                <w:sz w:val="24"/>
              </w:rPr>
              <w:t xml:space="preserve">for standard liquidity operations of </w:t>
            </w:r>
            <w:r w:rsidRPr="009920BE">
              <w:rPr>
                <w:rFonts w:ascii="Times New Roman" w:hAnsi="Times New Roman"/>
                <w:sz w:val="24"/>
              </w:rPr>
              <w:t>a central bank in a Member State</w:t>
            </w:r>
            <w:r w:rsidR="00212FCC" w:rsidRPr="009920BE">
              <w:rPr>
                <w:rFonts w:ascii="Times New Roman" w:hAnsi="Times New Roman"/>
                <w:sz w:val="24"/>
              </w:rPr>
              <w:t xml:space="preserve"> </w:t>
            </w:r>
            <w:r w:rsidR="00EA3AE7" w:rsidRPr="009920BE">
              <w:rPr>
                <w:rFonts w:ascii="Times New Roman" w:hAnsi="Times New Roman"/>
                <w:sz w:val="24"/>
              </w:rPr>
              <w:t>or third country</w:t>
            </w:r>
            <w:r w:rsidRPr="009920BE">
              <w:rPr>
                <w:rFonts w:ascii="Times New Roman" w:hAnsi="Times New Roman"/>
                <w:sz w:val="24"/>
              </w:rPr>
              <w:t xml:space="preserve"> </w:t>
            </w:r>
            <w:r w:rsidR="002963F5" w:rsidRPr="009920BE">
              <w:rPr>
                <w:rFonts w:ascii="Times New Roman" w:hAnsi="Times New Roman"/>
                <w:sz w:val="24"/>
              </w:rPr>
              <w:t xml:space="preserve">including </w:t>
            </w:r>
            <w:r w:rsidRPr="009920BE">
              <w:rPr>
                <w:rFonts w:ascii="Times New Roman" w:hAnsi="Times New Roman"/>
                <w:sz w:val="24"/>
              </w:rPr>
              <w:t>credit claims</w:t>
            </w:r>
            <w:r w:rsidR="002963F5" w:rsidRPr="009920BE">
              <w:rPr>
                <w:rFonts w:ascii="Times New Roman" w:hAnsi="Times New Roman"/>
                <w:sz w:val="24"/>
              </w:rPr>
              <w:t>, if applicable</w:t>
            </w:r>
            <w:r w:rsidRPr="009920BE">
              <w:rPr>
                <w:rFonts w:ascii="Times New Roman" w:hAnsi="Times New Roman"/>
                <w:sz w:val="24"/>
              </w:rPr>
              <w:t>.</w:t>
            </w:r>
          </w:p>
          <w:p w:rsidR="00B14B42" w:rsidRPr="004C4F3B" w:rsidRDefault="00B14B42" w:rsidP="00B14B42">
            <w:pPr>
              <w:rPr>
                <w:rFonts w:ascii="Times New Roman" w:hAnsi="Times New Roman"/>
                <w:b/>
                <w:sz w:val="24"/>
                <w:u w:val="single"/>
              </w:rPr>
            </w:pPr>
            <w:r w:rsidRPr="004C4F3B">
              <w:rPr>
                <w:rStyle w:val="InstructionsTabelleberschrift"/>
                <w:rFonts w:ascii="Times New Roman" w:hAnsi="Times New Roman"/>
                <w:b w:val="0"/>
                <w:sz w:val="24"/>
                <w:u w:val="none"/>
                <w:lang w:eastAsia="de-DE"/>
              </w:rPr>
              <w:t>For assets denominated in a currency included in the ITS issued under Article 416 (5) Regulation 575/2013 as a currency with extremely narrow central bank eligibility, institutions shall report the relevant assets as central bank eligible</w:t>
            </w:r>
            <w:r w:rsidR="0051512B" w:rsidRPr="004C4F3B">
              <w:rPr>
                <w:rStyle w:val="InstructionsTabelleberschrift"/>
                <w:rFonts w:ascii="Times New Roman" w:hAnsi="Times New Roman"/>
                <w:b w:val="0"/>
                <w:sz w:val="24"/>
                <w:u w:val="none"/>
                <w:lang w:eastAsia="de-DE"/>
              </w:rPr>
              <w:t>.</w:t>
            </w:r>
          </w:p>
        </w:tc>
      </w:tr>
      <w:tr w:rsidR="008C6B6B" w:rsidRPr="0040604D" w:rsidTr="0021066C">
        <w:trPr>
          <w:trHeight w:val="1134"/>
        </w:trPr>
        <w:tc>
          <w:tcPr>
            <w:tcW w:w="828" w:type="dxa"/>
            <w:vAlign w:val="center"/>
          </w:tcPr>
          <w:p w:rsidR="001F2559"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120</w:t>
            </w:r>
          </w:p>
        </w:tc>
        <w:tc>
          <w:tcPr>
            <w:tcW w:w="7766" w:type="dxa"/>
            <w:gridSpan w:val="2"/>
            <w:shd w:val="clear" w:color="auto" w:fill="auto"/>
            <w:noWrap/>
          </w:tcPr>
          <w:p w:rsidR="008C6B6B" w:rsidRDefault="008C6B6B" w:rsidP="0057741E">
            <w:pPr>
              <w:rPr>
                <w:rFonts w:ascii="Times New Roman" w:hAnsi="Times New Roman"/>
                <w:b/>
                <w:sz w:val="24"/>
                <w:u w:val="single"/>
              </w:rPr>
            </w:pPr>
            <w:r w:rsidRPr="0040604D">
              <w:rPr>
                <w:rFonts w:ascii="Times New Roman" w:hAnsi="Times New Roman"/>
                <w:b/>
                <w:sz w:val="24"/>
                <w:u w:val="single"/>
              </w:rPr>
              <w:t>1.2.1</w:t>
            </w:r>
            <w:r w:rsidR="008B101A">
              <w:rPr>
                <w:rFonts w:ascii="Times New Roman" w:hAnsi="Times New Roman"/>
                <w:b/>
                <w:sz w:val="24"/>
                <w:u w:val="single"/>
              </w:rPr>
              <w:t>.1</w:t>
            </w:r>
            <w:r w:rsidR="003E309A">
              <w:rPr>
                <w:rFonts w:ascii="Times New Roman" w:hAnsi="Times New Roman"/>
                <w:b/>
                <w:sz w:val="24"/>
                <w:u w:val="single"/>
              </w:rPr>
              <w:t xml:space="preserve"> </w:t>
            </w:r>
            <w:r w:rsidRPr="0040604D">
              <w:rPr>
                <w:rFonts w:ascii="Times New Roman" w:hAnsi="Times New Roman"/>
                <w:b/>
                <w:sz w:val="24"/>
                <w:u w:val="single"/>
              </w:rPr>
              <w:t>securities with a 0% risk weight</w:t>
            </w:r>
            <w:r w:rsidR="00BA5304">
              <w:rPr>
                <w:rFonts w:ascii="Times New Roman" w:hAnsi="Times New Roman"/>
                <w:b/>
                <w:sz w:val="24"/>
                <w:u w:val="single"/>
              </w:rPr>
              <w:t xml:space="preserve"> </w:t>
            </w:r>
          </w:p>
          <w:p w:rsidR="00067872" w:rsidRPr="00067872" w:rsidRDefault="00067872" w:rsidP="0057741E">
            <w:pPr>
              <w:rPr>
                <w:rFonts w:ascii="Times New Roman" w:hAnsi="Times New Roman"/>
                <w:sz w:val="24"/>
                <w:lang w:val="cs-CZ"/>
              </w:rPr>
            </w:pPr>
            <w:r>
              <w:rPr>
                <w:rFonts w:ascii="Times New Roman" w:hAnsi="Times New Roman"/>
                <w:sz w:val="24"/>
              </w:rPr>
              <w:t>Point 3</w:t>
            </w:r>
            <w:r w:rsidR="002B1FDF" w:rsidRPr="002B1FDF">
              <w:rPr>
                <w:rFonts w:ascii="Times New Roman" w:hAnsi="Times New Roman"/>
                <w:sz w:val="24"/>
              </w:rPr>
              <w:t xml:space="preserve"> of </w:t>
            </w:r>
            <w:r>
              <w:rPr>
                <w:rFonts w:ascii="Times New Roman" w:hAnsi="Times New Roman"/>
                <w:sz w:val="24"/>
              </w:rPr>
              <w:t xml:space="preserve">Annex III of Regulation </w:t>
            </w:r>
            <w:r w:rsidR="00994617">
              <w:rPr>
                <w:rFonts w:ascii="Times New Roman" w:hAnsi="Times New Roman"/>
                <w:sz w:val="24"/>
              </w:rPr>
              <w:t xml:space="preserve">(EU) No </w:t>
            </w:r>
            <w:r>
              <w:rPr>
                <w:rFonts w:ascii="Times New Roman" w:hAnsi="Times New Roman"/>
                <w:sz w:val="24"/>
              </w:rPr>
              <w:t>575/2013</w:t>
            </w:r>
            <w:r w:rsidR="00DC6350">
              <w:rPr>
                <w:rFonts w:ascii="Times New Roman" w:hAnsi="Times New Roman"/>
                <w:sz w:val="24"/>
              </w:rPr>
              <w:t>.</w:t>
            </w:r>
          </w:p>
          <w:p w:rsidR="008C6B6B" w:rsidRPr="0040604D" w:rsidRDefault="00DE321C" w:rsidP="00DE321C">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8C6B6B" w:rsidRPr="0040604D">
              <w:rPr>
                <w:rStyle w:val="InstructionsTabelleberschrift"/>
                <w:rFonts w:ascii="Times New Roman" w:hAnsi="Times New Roman"/>
                <w:b w:val="0"/>
                <w:sz w:val="24"/>
                <w:u w:val="none"/>
                <w:lang w:eastAsia="de-DE"/>
              </w:rPr>
              <w:t>he amount of cash outflows arising from secured lending and capital market driven transactions reported in item 1.2,</w:t>
            </w:r>
            <w:r w:rsidR="001C3ABE">
              <w:rPr>
                <w:rStyle w:val="InstructionsTabelleberschrift"/>
                <w:rFonts w:ascii="Times New Roman" w:hAnsi="Times New Roman"/>
                <w:b w:val="0"/>
                <w:sz w:val="24"/>
                <w:u w:val="none"/>
                <w:lang w:eastAsia="de-DE"/>
              </w:rPr>
              <w:t>1</w:t>
            </w:r>
            <w:r w:rsidR="008C6B6B" w:rsidRPr="0040604D">
              <w:rPr>
                <w:rStyle w:val="InstructionsTabelleberschrift"/>
                <w:rFonts w:ascii="Times New Roman" w:hAnsi="Times New Roman"/>
                <w:b w:val="0"/>
                <w:sz w:val="24"/>
                <w:u w:val="none"/>
                <w:lang w:eastAsia="de-DE"/>
              </w:rPr>
              <w:t xml:space="preserve"> </w:t>
            </w:r>
            <w:r w:rsidR="00743492">
              <w:rPr>
                <w:rStyle w:val="InstructionsTabelleberschrift"/>
                <w:rFonts w:ascii="Times New Roman" w:hAnsi="Times New Roman"/>
                <w:b w:val="0"/>
                <w:sz w:val="24"/>
                <w:u w:val="none"/>
                <w:lang w:eastAsia="de-DE"/>
              </w:rPr>
              <w:t>which</w:t>
            </w:r>
            <w:r w:rsidR="008C6B6B" w:rsidRPr="0040604D">
              <w:rPr>
                <w:rStyle w:val="InstructionsTabelleberschrift"/>
                <w:rFonts w:ascii="Times New Roman" w:hAnsi="Times New Roman"/>
                <w:b w:val="0"/>
                <w:sz w:val="24"/>
                <w:u w:val="none"/>
                <w:lang w:eastAsia="de-DE"/>
              </w:rPr>
              <w:t xml:space="preserve"> is collateralised by securities with a 0% risk weight</w:t>
            </w:r>
            <w:r w:rsidR="00801EC5">
              <w:rPr>
                <w:rStyle w:val="InstructionsTabelleberschrift"/>
                <w:rFonts w:ascii="Times New Roman" w:hAnsi="Times New Roman"/>
                <w:b w:val="0"/>
                <w:sz w:val="24"/>
                <w:u w:val="none"/>
                <w:lang w:eastAsia="de-DE"/>
              </w:rPr>
              <w:t xml:space="preserve"> </w:t>
            </w:r>
            <w:r w:rsidR="00801EC5" w:rsidRPr="00801EC5">
              <w:rPr>
                <w:rFonts w:ascii="Times New Roman" w:hAnsi="Times New Roman"/>
                <w:sz w:val="24"/>
              </w:rPr>
              <w:t>under Chapter 2, Title II</w:t>
            </w:r>
            <w:r w:rsidR="002B1FDF" w:rsidRPr="002B1FDF">
              <w:t xml:space="preserve"> of </w:t>
            </w:r>
            <w:r w:rsidR="00801EC5" w:rsidRPr="00801EC5">
              <w:rPr>
                <w:rFonts w:ascii="Times New Roman" w:hAnsi="Times New Roman"/>
                <w:sz w:val="24"/>
              </w:rPr>
              <w:t xml:space="preserve">Part Three </w:t>
            </w:r>
            <w:r w:rsidR="00340D40">
              <w:rPr>
                <w:rFonts w:ascii="Times New Roman" w:hAnsi="Times New Roman"/>
                <w:sz w:val="24"/>
              </w:rPr>
              <w:t>of Regulation 575/2013</w:t>
            </w:r>
            <w:r w:rsidR="00DC6350">
              <w:rPr>
                <w:rFonts w:ascii="Times New Roman" w:hAnsi="Times New Roman"/>
                <w:sz w:val="24"/>
              </w:rPr>
              <w:t>.</w:t>
            </w:r>
          </w:p>
        </w:tc>
      </w:tr>
      <w:tr w:rsidR="008C6B6B" w:rsidRPr="0040604D" w:rsidTr="0021066C">
        <w:trPr>
          <w:trHeight w:val="1134"/>
        </w:trPr>
        <w:tc>
          <w:tcPr>
            <w:tcW w:w="828" w:type="dxa"/>
            <w:vAlign w:val="center"/>
          </w:tcPr>
          <w:p w:rsidR="001F2559"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lastRenderedPageBreak/>
              <w:t>130</w:t>
            </w:r>
          </w:p>
        </w:tc>
        <w:tc>
          <w:tcPr>
            <w:tcW w:w="7766" w:type="dxa"/>
            <w:gridSpan w:val="2"/>
            <w:shd w:val="clear" w:color="auto" w:fill="auto"/>
            <w:noWrap/>
          </w:tcPr>
          <w:p w:rsidR="008C6B6B" w:rsidRDefault="008C6B6B" w:rsidP="0057741E">
            <w:pPr>
              <w:rPr>
                <w:rFonts w:ascii="Times New Roman" w:hAnsi="Times New Roman"/>
                <w:b/>
                <w:sz w:val="24"/>
                <w:u w:val="single"/>
              </w:rPr>
            </w:pPr>
            <w:r w:rsidRPr="0040604D">
              <w:rPr>
                <w:rFonts w:ascii="Times New Roman" w:hAnsi="Times New Roman"/>
                <w:b/>
                <w:sz w:val="24"/>
                <w:u w:val="single"/>
              </w:rPr>
              <w:t>1.2.</w:t>
            </w:r>
            <w:r w:rsidR="002E4EDF">
              <w:rPr>
                <w:rFonts w:ascii="Times New Roman" w:hAnsi="Times New Roman"/>
                <w:b/>
                <w:sz w:val="24"/>
                <w:u w:val="single"/>
              </w:rPr>
              <w:t>1.</w:t>
            </w:r>
            <w:r w:rsidRPr="0040604D">
              <w:rPr>
                <w:rFonts w:ascii="Times New Roman" w:hAnsi="Times New Roman"/>
                <w:b/>
                <w:sz w:val="24"/>
                <w:u w:val="single"/>
              </w:rPr>
              <w:t>2</w:t>
            </w:r>
            <w:r w:rsidR="003E309A">
              <w:rPr>
                <w:rFonts w:ascii="Times New Roman" w:hAnsi="Times New Roman"/>
                <w:b/>
                <w:sz w:val="24"/>
                <w:u w:val="single"/>
              </w:rPr>
              <w:t xml:space="preserve"> </w:t>
            </w:r>
            <w:r w:rsidRPr="0040604D">
              <w:rPr>
                <w:rFonts w:ascii="Times New Roman" w:hAnsi="Times New Roman"/>
                <w:b/>
                <w:sz w:val="24"/>
                <w:u w:val="single"/>
              </w:rPr>
              <w:t>securities with a 20% risk weight</w:t>
            </w:r>
            <w:r w:rsidR="00BA5304">
              <w:rPr>
                <w:rFonts w:ascii="Times New Roman" w:hAnsi="Times New Roman"/>
                <w:b/>
                <w:sz w:val="24"/>
                <w:u w:val="single"/>
              </w:rPr>
              <w:t xml:space="preserve"> </w:t>
            </w:r>
          </w:p>
          <w:p w:rsidR="00067872" w:rsidRPr="00067872" w:rsidRDefault="00067872" w:rsidP="0057741E">
            <w:pPr>
              <w:rPr>
                <w:rFonts w:ascii="Times New Roman" w:hAnsi="Times New Roman"/>
                <w:sz w:val="24"/>
                <w:lang w:val="cs-CZ"/>
              </w:rPr>
            </w:pPr>
            <w:r>
              <w:rPr>
                <w:rFonts w:ascii="Times New Roman" w:hAnsi="Times New Roman"/>
                <w:sz w:val="24"/>
              </w:rPr>
              <w:t xml:space="preserve">Point </w:t>
            </w:r>
            <w:r w:rsidR="002B1FDF" w:rsidRPr="002B1FDF">
              <w:rPr>
                <w:rFonts w:ascii="Times New Roman" w:hAnsi="Times New Roman"/>
                <w:sz w:val="24"/>
              </w:rPr>
              <w:t xml:space="preserve">5 of </w:t>
            </w:r>
            <w:r>
              <w:rPr>
                <w:rFonts w:ascii="Times New Roman" w:hAnsi="Times New Roman"/>
                <w:sz w:val="24"/>
              </w:rPr>
              <w:t>Annex III of Regulation 575/2013</w:t>
            </w:r>
            <w:r w:rsidR="00DC6350">
              <w:rPr>
                <w:rFonts w:ascii="Times New Roman" w:hAnsi="Times New Roman"/>
                <w:sz w:val="24"/>
              </w:rPr>
              <w:t>.</w:t>
            </w:r>
          </w:p>
          <w:p w:rsidR="008C6B6B" w:rsidRPr="0040604D" w:rsidRDefault="00DE321C" w:rsidP="00DE321C">
            <w:pPr>
              <w:rPr>
                <w:rStyle w:val="InstructionsTabelleberschrift"/>
                <w:rFonts w:ascii="Times New Roman" w:hAnsi="Times New Roman"/>
                <w:sz w:val="24"/>
                <w:u w:val="none"/>
                <w:lang w:eastAsia="de-DE"/>
              </w:rPr>
            </w:pPr>
            <w:r>
              <w:rPr>
                <w:rStyle w:val="InstructionsTabelleberschrift"/>
                <w:rFonts w:ascii="Times New Roman" w:hAnsi="Times New Roman"/>
                <w:b w:val="0"/>
                <w:sz w:val="24"/>
                <w:u w:val="none"/>
                <w:lang w:eastAsia="de-DE"/>
              </w:rPr>
              <w:t>T</w:t>
            </w:r>
            <w:r w:rsidR="008C6B6B" w:rsidRPr="0040604D">
              <w:rPr>
                <w:rStyle w:val="InstructionsTabelleberschrift"/>
                <w:rFonts w:ascii="Times New Roman" w:hAnsi="Times New Roman"/>
                <w:b w:val="0"/>
                <w:sz w:val="24"/>
                <w:u w:val="none"/>
                <w:lang w:eastAsia="de-DE"/>
              </w:rPr>
              <w:t>he amount of cash outflows arising from secured lending and capital market driven transactions reported in item 1.2</w:t>
            </w:r>
            <w:r w:rsidR="002E4EDF">
              <w:rPr>
                <w:rStyle w:val="InstructionsTabelleberschrift"/>
                <w:rFonts w:ascii="Times New Roman" w:hAnsi="Times New Roman"/>
                <w:b w:val="0"/>
                <w:sz w:val="24"/>
                <w:u w:val="none"/>
                <w:lang w:eastAsia="de-DE"/>
              </w:rPr>
              <w:t>.</w:t>
            </w:r>
            <w:r w:rsidR="008C6B6B" w:rsidRPr="0040604D">
              <w:rPr>
                <w:rStyle w:val="InstructionsTabelleberschrift"/>
                <w:rFonts w:ascii="Times New Roman" w:hAnsi="Times New Roman"/>
                <w:b w:val="0"/>
                <w:sz w:val="24"/>
                <w:u w:val="none"/>
                <w:lang w:eastAsia="de-DE"/>
              </w:rPr>
              <w:t xml:space="preserve">1 </w:t>
            </w:r>
            <w:r w:rsidR="00743492">
              <w:rPr>
                <w:rStyle w:val="InstructionsTabelleberschrift"/>
                <w:rFonts w:ascii="Times New Roman" w:hAnsi="Times New Roman"/>
                <w:b w:val="0"/>
                <w:sz w:val="24"/>
                <w:u w:val="none"/>
                <w:lang w:eastAsia="de-DE"/>
              </w:rPr>
              <w:t>which</w:t>
            </w:r>
            <w:r w:rsidR="008C6B6B" w:rsidRPr="0040604D">
              <w:rPr>
                <w:rStyle w:val="InstructionsTabelleberschrift"/>
                <w:rFonts w:ascii="Times New Roman" w:hAnsi="Times New Roman"/>
                <w:b w:val="0"/>
                <w:sz w:val="24"/>
                <w:u w:val="none"/>
                <w:lang w:eastAsia="de-DE"/>
              </w:rPr>
              <w:t xml:space="preserve"> is collateralised by securities with a 20% risk weight</w:t>
            </w:r>
            <w:r w:rsidR="00801EC5">
              <w:rPr>
                <w:rStyle w:val="InstructionsTabelleberschrift"/>
                <w:rFonts w:ascii="Times New Roman" w:hAnsi="Times New Roman"/>
                <w:b w:val="0"/>
                <w:sz w:val="24"/>
                <w:u w:val="none"/>
                <w:lang w:eastAsia="de-DE"/>
              </w:rPr>
              <w:t xml:space="preserve"> </w:t>
            </w:r>
            <w:r w:rsidR="00801EC5" w:rsidRPr="00801EC5">
              <w:rPr>
                <w:rFonts w:ascii="Times New Roman" w:hAnsi="Times New Roman"/>
                <w:sz w:val="24"/>
              </w:rPr>
              <w:t>under Chapter 2, Title II</w:t>
            </w:r>
            <w:r w:rsidR="002B1FDF" w:rsidRPr="002B1FDF">
              <w:t xml:space="preserve"> of </w:t>
            </w:r>
            <w:r w:rsidR="00801EC5" w:rsidRPr="00801EC5">
              <w:rPr>
                <w:rFonts w:ascii="Times New Roman" w:hAnsi="Times New Roman"/>
                <w:sz w:val="24"/>
              </w:rPr>
              <w:t xml:space="preserve">Part Three </w:t>
            </w:r>
            <w:r w:rsidR="00340D40">
              <w:rPr>
                <w:rFonts w:ascii="Times New Roman" w:hAnsi="Times New Roman"/>
                <w:sz w:val="24"/>
              </w:rPr>
              <w:t xml:space="preserve">of Regulation </w:t>
            </w:r>
            <w:r w:rsidR="00994617">
              <w:rPr>
                <w:rFonts w:ascii="Times New Roman" w:hAnsi="Times New Roman"/>
                <w:sz w:val="24"/>
              </w:rPr>
              <w:t xml:space="preserve">(EU) No </w:t>
            </w:r>
            <w:r w:rsidR="00340D40">
              <w:rPr>
                <w:rFonts w:ascii="Times New Roman" w:hAnsi="Times New Roman"/>
                <w:sz w:val="24"/>
              </w:rPr>
              <w:t>575/2013</w:t>
            </w:r>
            <w:r w:rsidR="00DC6350">
              <w:rPr>
                <w:rFonts w:ascii="Times New Roman" w:hAnsi="Times New Roman"/>
                <w:sz w:val="24"/>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140</w:t>
            </w:r>
          </w:p>
        </w:tc>
        <w:tc>
          <w:tcPr>
            <w:tcW w:w="7766" w:type="dxa"/>
            <w:gridSpan w:val="2"/>
            <w:shd w:val="clear" w:color="auto" w:fill="auto"/>
            <w:noWrap/>
          </w:tcPr>
          <w:p w:rsidR="0085529D" w:rsidRDefault="00CA2D26">
            <w:pPr>
              <w:rPr>
                <w:rFonts w:ascii="Times New Roman" w:hAnsi="Times New Roman"/>
                <w:b/>
                <w:sz w:val="24"/>
                <w:u w:val="single"/>
              </w:rPr>
            </w:pPr>
            <w:r>
              <w:rPr>
                <w:rFonts w:ascii="Times New Roman" w:hAnsi="Times New Roman"/>
                <w:b/>
                <w:sz w:val="24"/>
                <w:u w:val="single"/>
              </w:rPr>
              <w:t xml:space="preserve">1.2.1.3 </w:t>
            </w:r>
            <w:r w:rsidR="009E264D" w:rsidRPr="0040604D">
              <w:rPr>
                <w:rFonts w:ascii="Times New Roman" w:hAnsi="Times New Roman"/>
                <w:b/>
                <w:sz w:val="24"/>
                <w:u w:val="single"/>
              </w:rPr>
              <w:t>bonds eligible for the treatment set out in Article 12</w:t>
            </w:r>
            <w:r w:rsidR="00B50B0E">
              <w:rPr>
                <w:rFonts w:ascii="Times New Roman" w:hAnsi="Times New Roman"/>
                <w:b/>
                <w:sz w:val="24"/>
                <w:u w:val="single"/>
              </w:rPr>
              <w:t>9</w:t>
            </w:r>
            <w:r w:rsidR="009E264D" w:rsidRPr="0040604D">
              <w:rPr>
                <w:rFonts w:ascii="Times New Roman" w:hAnsi="Times New Roman"/>
                <w:b/>
                <w:sz w:val="24"/>
                <w:u w:val="single"/>
              </w:rPr>
              <w:t>(</w:t>
            </w:r>
            <w:r w:rsidR="00B50B0E">
              <w:rPr>
                <w:rFonts w:ascii="Times New Roman" w:hAnsi="Times New Roman"/>
                <w:b/>
                <w:sz w:val="24"/>
                <w:u w:val="single"/>
              </w:rPr>
              <w:t>4</w:t>
            </w:r>
            <w:r w:rsidR="009E264D" w:rsidRPr="0040604D">
              <w:rPr>
                <w:rFonts w:ascii="Times New Roman" w:hAnsi="Times New Roman"/>
                <w:b/>
                <w:sz w:val="24"/>
                <w:u w:val="single"/>
              </w:rPr>
              <w:t>) or (</w:t>
            </w:r>
            <w:r w:rsidR="00B50B0E">
              <w:rPr>
                <w:rFonts w:ascii="Times New Roman" w:hAnsi="Times New Roman"/>
                <w:b/>
                <w:sz w:val="24"/>
                <w:u w:val="single"/>
              </w:rPr>
              <w:t>5</w:t>
            </w:r>
            <w:r w:rsidR="009E264D" w:rsidRPr="0040604D">
              <w:rPr>
                <w:rFonts w:ascii="Times New Roman" w:hAnsi="Times New Roman"/>
                <w:b/>
                <w:sz w:val="24"/>
                <w:u w:val="single"/>
              </w:rPr>
              <w:t xml:space="preserve">) of </w:t>
            </w:r>
            <w:r w:rsidR="00F34CDC">
              <w:rPr>
                <w:rFonts w:ascii="Times New Roman" w:hAnsi="Times New Roman"/>
                <w:b/>
                <w:sz w:val="24"/>
                <w:u w:val="single"/>
              </w:rPr>
              <w:t>CRR</w:t>
            </w:r>
            <w:r w:rsidR="003E7307" w:rsidRPr="003E7307">
              <w:rPr>
                <w:rFonts w:ascii="Times New Roman" w:hAnsi="Times New Roman"/>
                <w:b/>
                <w:sz w:val="24"/>
                <w:u w:val="single"/>
                <w:lang w:eastAsia="en-GB"/>
              </w:rPr>
              <w:t xml:space="preserve"> </w:t>
            </w:r>
          </w:p>
          <w:p w:rsidR="009E264D" w:rsidRPr="0040604D" w:rsidRDefault="00DE321C" w:rsidP="00DE321C">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he amount of cash outflows arising from secured lending and capital market driven transactions reported in item 1.2</w:t>
            </w:r>
            <w:r w:rsidR="00B50B0E">
              <w:rPr>
                <w:rStyle w:val="InstructionsTabelleberschrift"/>
                <w:rFonts w:ascii="Times New Roman" w:hAnsi="Times New Roman"/>
                <w:b w:val="0"/>
                <w:sz w:val="24"/>
                <w:u w:val="none"/>
                <w:lang w:eastAsia="de-DE"/>
              </w:rPr>
              <w:t>.1</w:t>
            </w:r>
            <w:r w:rsidR="009E264D" w:rsidRPr="0040604D">
              <w:rPr>
                <w:rStyle w:val="InstructionsTabelleberschrift"/>
                <w:rFonts w:ascii="Times New Roman" w:hAnsi="Times New Roman"/>
                <w:b w:val="0"/>
                <w:sz w:val="24"/>
                <w:u w:val="none"/>
                <w:lang w:eastAsia="de-DE"/>
              </w:rPr>
              <w:t xml:space="preserve">, </w:t>
            </w:r>
            <w:r w:rsidR="00743492">
              <w:rPr>
                <w:rStyle w:val="InstructionsTabelleberschrift"/>
                <w:rFonts w:ascii="Times New Roman" w:hAnsi="Times New Roman"/>
                <w:b w:val="0"/>
                <w:sz w:val="24"/>
                <w:u w:val="none"/>
                <w:lang w:eastAsia="de-DE"/>
              </w:rPr>
              <w:t>which</w:t>
            </w:r>
            <w:r w:rsidR="009E264D" w:rsidRPr="0040604D">
              <w:rPr>
                <w:rStyle w:val="InstructionsTabelleberschrift"/>
                <w:rFonts w:ascii="Times New Roman" w:hAnsi="Times New Roman"/>
                <w:b w:val="0"/>
                <w:sz w:val="24"/>
                <w:u w:val="none"/>
                <w:lang w:eastAsia="de-DE"/>
              </w:rPr>
              <w:t xml:space="preserve"> is collateralised by bonds eligible for the treatment set out in Article 12</w:t>
            </w:r>
            <w:r w:rsidR="00B50B0E">
              <w:rPr>
                <w:rStyle w:val="InstructionsTabelleberschrift"/>
                <w:rFonts w:ascii="Times New Roman" w:hAnsi="Times New Roman"/>
                <w:b w:val="0"/>
                <w:sz w:val="24"/>
                <w:u w:val="none"/>
                <w:lang w:eastAsia="de-DE"/>
              </w:rPr>
              <w:t>9</w:t>
            </w:r>
            <w:r w:rsidR="009E264D" w:rsidRPr="0040604D">
              <w:rPr>
                <w:rStyle w:val="InstructionsTabelleberschrift"/>
                <w:rFonts w:ascii="Times New Roman" w:hAnsi="Times New Roman"/>
                <w:b w:val="0"/>
                <w:sz w:val="24"/>
                <w:u w:val="none"/>
                <w:lang w:eastAsia="de-DE"/>
              </w:rPr>
              <w:t>(</w:t>
            </w:r>
            <w:r w:rsidR="00B50B0E">
              <w:rPr>
                <w:rStyle w:val="InstructionsTabelleberschrift"/>
                <w:rFonts w:ascii="Times New Roman" w:hAnsi="Times New Roman"/>
                <w:b w:val="0"/>
                <w:sz w:val="24"/>
                <w:u w:val="none"/>
                <w:lang w:eastAsia="de-DE"/>
              </w:rPr>
              <w:t>4</w:t>
            </w:r>
            <w:r w:rsidR="009E264D" w:rsidRPr="0040604D">
              <w:rPr>
                <w:rStyle w:val="InstructionsTabelleberschrift"/>
                <w:rFonts w:ascii="Times New Roman" w:hAnsi="Times New Roman"/>
                <w:b w:val="0"/>
                <w:sz w:val="24"/>
                <w:u w:val="none"/>
                <w:lang w:eastAsia="de-DE"/>
              </w:rPr>
              <w:t>) or (</w:t>
            </w:r>
            <w:r w:rsidR="00B50B0E">
              <w:rPr>
                <w:rStyle w:val="InstructionsTabelleberschrift"/>
                <w:rFonts w:ascii="Times New Roman" w:hAnsi="Times New Roman"/>
                <w:b w:val="0"/>
                <w:sz w:val="24"/>
                <w:u w:val="none"/>
                <w:lang w:eastAsia="de-DE"/>
              </w:rPr>
              <w:t>5</w:t>
            </w:r>
            <w:r w:rsidR="009E264D" w:rsidRPr="0040604D">
              <w:rPr>
                <w:rStyle w:val="InstructionsTabelleberschrift"/>
                <w:rFonts w:ascii="Times New Roman" w:hAnsi="Times New Roman"/>
                <w:b w:val="0"/>
                <w:sz w:val="24"/>
                <w:u w:val="none"/>
                <w:lang w:eastAsia="de-DE"/>
              </w:rPr>
              <w:t xml:space="preserve">) of </w:t>
            </w:r>
            <w:r w:rsidR="009E264D" w:rsidRPr="0040604D">
              <w:rPr>
                <w:rFonts w:ascii="Times New Roman" w:hAnsi="Times New Roman"/>
                <w:sz w:val="24"/>
                <w:lang w:eastAsia="en-GB"/>
              </w:rPr>
              <w:t>Regulation</w:t>
            </w:r>
            <w:r w:rsidR="00994617">
              <w:rPr>
                <w:rFonts w:ascii="Times New Roman" w:hAnsi="Times New Roman"/>
                <w:sz w:val="24"/>
                <w:lang w:eastAsia="en-GB"/>
              </w:rPr>
              <w:t xml:space="preserve"> (EU) No</w:t>
            </w:r>
            <w:r w:rsidR="009E264D" w:rsidRPr="0040604D">
              <w:rPr>
                <w:rFonts w:ascii="Times New Roman" w:hAnsi="Times New Roman"/>
                <w:sz w:val="24"/>
                <w:lang w:eastAsia="en-GB"/>
              </w:rPr>
              <w:t xml:space="preserve"> </w:t>
            </w:r>
            <w:r w:rsidR="00B50B0E">
              <w:rPr>
                <w:rFonts w:ascii="Times New Roman" w:hAnsi="Times New Roman"/>
                <w:sz w:val="24"/>
                <w:lang w:eastAsia="en-GB"/>
              </w:rPr>
              <w:t>575</w:t>
            </w:r>
            <w:r w:rsidR="009E264D" w:rsidRPr="0040604D">
              <w:rPr>
                <w:rFonts w:ascii="Times New Roman" w:hAnsi="Times New Roman"/>
                <w:sz w:val="24"/>
                <w:lang w:eastAsia="en-GB"/>
              </w:rPr>
              <w:t>/</w:t>
            </w:r>
            <w:r w:rsidR="00B50B0E">
              <w:rPr>
                <w:rFonts w:ascii="Times New Roman" w:hAnsi="Times New Roman"/>
                <w:sz w:val="24"/>
                <w:lang w:eastAsia="en-GB"/>
              </w:rPr>
              <w:t>2013</w:t>
            </w:r>
            <w:r w:rsidR="009E264D" w:rsidRPr="0040604D">
              <w:rPr>
                <w:rStyle w:val="InstructionsTabelleberschrift"/>
                <w:rFonts w:ascii="Times New Roman" w:hAnsi="Times New Roman"/>
                <w:b w:val="0"/>
                <w:sz w:val="24"/>
                <w:u w:val="none"/>
                <w:lang w:eastAsia="de-DE"/>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150</w:t>
            </w:r>
          </w:p>
        </w:tc>
        <w:tc>
          <w:tcPr>
            <w:tcW w:w="7766" w:type="dxa"/>
            <w:gridSpan w:val="2"/>
            <w:shd w:val="clear" w:color="auto" w:fill="auto"/>
            <w:noWrap/>
          </w:tcPr>
          <w:p w:rsidR="00B14B42" w:rsidRDefault="009E264D" w:rsidP="00EA3AE7">
            <w:pPr>
              <w:rPr>
                <w:rFonts w:ascii="Times New Roman" w:hAnsi="Times New Roman"/>
                <w:b/>
                <w:sz w:val="24"/>
                <w:u w:val="single"/>
              </w:rPr>
            </w:pPr>
            <w:r w:rsidRPr="0040604D">
              <w:rPr>
                <w:rFonts w:ascii="Times New Roman" w:hAnsi="Times New Roman"/>
                <w:b/>
                <w:sz w:val="24"/>
                <w:u w:val="single"/>
              </w:rPr>
              <w:t>1.2.</w:t>
            </w:r>
            <w:r w:rsidR="00CA2D26">
              <w:rPr>
                <w:rFonts w:ascii="Times New Roman" w:hAnsi="Times New Roman"/>
                <w:b/>
                <w:sz w:val="24"/>
                <w:u w:val="single"/>
              </w:rPr>
              <w:t>1.</w:t>
            </w:r>
            <w:r w:rsidRPr="0040604D">
              <w:rPr>
                <w:rFonts w:ascii="Times New Roman" w:hAnsi="Times New Roman"/>
                <w:b/>
                <w:sz w:val="24"/>
                <w:u w:val="single"/>
              </w:rPr>
              <w:t>3.1</w:t>
            </w:r>
            <w:r w:rsidR="003E309A">
              <w:rPr>
                <w:rFonts w:ascii="Times New Roman" w:hAnsi="Times New Roman"/>
                <w:b/>
                <w:sz w:val="24"/>
                <w:u w:val="single"/>
              </w:rPr>
              <w:t xml:space="preserve"> </w:t>
            </w:r>
            <w:r w:rsidRPr="0040604D">
              <w:rPr>
                <w:rFonts w:ascii="Times New Roman" w:hAnsi="Times New Roman"/>
                <w:b/>
                <w:sz w:val="24"/>
                <w:u w:val="single"/>
              </w:rPr>
              <w:t>credit quality step 1</w:t>
            </w:r>
          </w:p>
          <w:p w:rsidR="009E264D" w:rsidRPr="0040604D" w:rsidRDefault="00DE321C" w:rsidP="00DE321C">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he amount of cash outflows reported in item 1.2.</w:t>
            </w:r>
            <w:r w:rsidR="001E4878">
              <w:rPr>
                <w:rStyle w:val="InstructionsTabelleberschrift"/>
                <w:rFonts w:ascii="Times New Roman" w:hAnsi="Times New Roman"/>
                <w:b w:val="0"/>
                <w:sz w:val="24"/>
                <w:u w:val="none"/>
                <w:lang w:eastAsia="de-DE"/>
              </w:rPr>
              <w:t>1.</w:t>
            </w:r>
            <w:r w:rsidR="009E264D" w:rsidRPr="0040604D">
              <w:rPr>
                <w:rStyle w:val="InstructionsTabelleberschrift"/>
                <w:rFonts w:ascii="Times New Roman" w:hAnsi="Times New Roman"/>
                <w:b w:val="0"/>
                <w:sz w:val="24"/>
                <w:u w:val="none"/>
                <w:lang w:eastAsia="de-DE"/>
              </w:rPr>
              <w:t xml:space="preserve">3, </w:t>
            </w:r>
            <w:r w:rsidR="00743492">
              <w:rPr>
                <w:rStyle w:val="InstructionsTabelleberschrift"/>
                <w:rFonts w:ascii="Times New Roman" w:hAnsi="Times New Roman"/>
                <w:b w:val="0"/>
                <w:sz w:val="24"/>
                <w:u w:val="none"/>
                <w:lang w:eastAsia="de-DE"/>
              </w:rPr>
              <w:t>which</w:t>
            </w:r>
            <w:r w:rsidR="001E4878">
              <w:rPr>
                <w:rStyle w:val="InstructionsTabelleberschrift"/>
                <w:rFonts w:ascii="Times New Roman" w:hAnsi="Times New Roman"/>
                <w:b w:val="0"/>
                <w:sz w:val="24"/>
                <w:u w:val="none"/>
                <w:lang w:eastAsia="de-DE"/>
              </w:rPr>
              <w:t xml:space="preserve"> is collaterali</w:t>
            </w:r>
            <w:r w:rsidR="00EA3AE7">
              <w:rPr>
                <w:rStyle w:val="InstructionsTabelleberschrift"/>
                <w:rFonts w:ascii="Times New Roman" w:hAnsi="Times New Roman"/>
                <w:b w:val="0"/>
                <w:sz w:val="24"/>
                <w:u w:val="none"/>
                <w:lang w:eastAsia="de-DE"/>
              </w:rPr>
              <w:t>s</w:t>
            </w:r>
            <w:r w:rsidR="001E4878">
              <w:rPr>
                <w:rStyle w:val="InstructionsTabelleberschrift"/>
                <w:rFonts w:ascii="Times New Roman" w:hAnsi="Times New Roman"/>
                <w:b w:val="0"/>
                <w:sz w:val="24"/>
                <w:u w:val="none"/>
                <w:lang w:eastAsia="de-DE"/>
              </w:rPr>
              <w:t>ed by</w:t>
            </w:r>
            <w:r w:rsidR="009E264D" w:rsidRPr="0040604D">
              <w:rPr>
                <w:rStyle w:val="InstructionsTabelleberschrift"/>
                <w:rFonts w:ascii="Times New Roman" w:hAnsi="Times New Roman"/>
                <w:b w:val="0"/>
                <w:sz w:val="24"/>
                <w:u w:val="none"/>
                <w:lang w:eastAsia="de-DE"/>
              </w:rPr>
              <w:t xml:space="preserve"> </w:t>
            </w:r>
            <w:r w:rsidR="00F31837">
              <w:rPr>
                <w:rStyle w:val="InstructionsTabelleberschrift"/>
                <w:rFonts w:ascii="Times New Roman" w:hAnsi="Times New Roman"/>
                <w:b w:val="0"/>
                <w:sz w:val="24"/>
                <w:u w:val="none"/>
                <w:lang w:eastAsia="de-DE"/>
              </w:rPr>
              <w:t xml:space="preserve">bonds of </w:t>
            </w:r>
            <w:r w:rsidR="009E264D" w:rsidRPr="0040604D">
              <w:rPr>
                <w:rFonts w:ascii="Times New Roman" w:hAnsi="Times New Roman"/>
                <w:sz w:val="24"/>
              </w:rPr>
              <w:t>credit quality step 1</w:t>
            </w:r>
            <w:r w:rsidR="0056474F">
              <w:rPr>
                <w:rFonts w:ascii="Times New Roman" w:hAnsi="Times New Roman"/>
                <w:sz w:val="24"/>
              </w:rPr>
              <w:t xml:space="preserve"> under Chapter 2, Title II of Part Three </w:t>
            </w:r>
            <w:r w:rsidR="00340D40">
              <w:rPr>
                <w:rFonts w:ascii="Times New Roman" w:hAnsi="Times New Roman"/>
                <w:sz w:val="24"/>
              </w:rPr>
              <w:t xml:space="preserve">of Regulation </w:t>
            </w:r>
            <w:r w:rsidR="00994617">
              <w:rPr>
                <w:rFonts w:ascii="Times New Roman" w:hAnsi="Times New Roman"/>
                <w:sz w:val="24"/>
              </w:rPr>
              <w:t xml:space="preserve">(EU) No </w:t>
            </w:r>
            <w:r w:rsidR="00340D40">
              <w:rPr>
                <w:rFonts w:ascii="Times New Roman" w:hAnsi="Times New Roman"/>
                <w:sz w:val="24"/>
              </w:rPr>
              <w:t>575/2013</w:t>
            </w:r>
            <w:r w:rsidR="0056474F">
              <w:rPr>
                <w:rFonts w:ascii="Times New Roman" w:hAnsi="Times New Roman"/>
                <w:sz w:val="24"/>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160</w:t>
            </w:r>
          </w:p>
        </w:tc>
        <w:tc>
          <w:tcPr>
            <w:tcW w:w="7766" w:type="dxa"/>
            <w:gridSpan w:val="2"/>
            <w:shd w:val="clear" w:color="auto" w:fill="auto"/>
            <w:noWrap/>
          </w:tcPr>
          <w:p w:rsidR="0056474F" w:rsidRPr="0056474F" w:rsidRDefault="009E264D" w:rsidP="0057741E">
            <w:pPr>
              <w:rPr>
                <w:rFonts w:ascii="Times New Roman" w:hAnsi="Times New Roman"/>
                <w:sz w:val="24"/>
              </w:rPr>
            </w:pPr>
            <w:r w:rsidRPr="0040604D">
              <w:rPr>
                <w:rFonts w:ascii="Times New Roman" w:hAnsi="Times New Roman"/>
                <w:b/>
                <w:sz w:val="24"/>
                <w:u w:val="single"/>
              </w:rPr>
              <w:t>1.2.</w:t>
            </w:r>
            <w:r w:rsidR="00CA2D26">
              <w:rPr>
                <w:rFonts w:ascii="Times New Roman" w:hAnsi="Times New Roman"/>
                <w:b/>
                <w:sz w:val="24"/>
                <w:u w:val="single"/>
              </w:rPr>
              <w:t>1.</w:t>
            </w:r>
            <w:r w:rsidRPr="0040604D">
              <w:rPr>
                <w:rFonts w:ascii="Times New Roman" w:hAnsi="Times New Roman"/>
                <w:b/>
                <w:sz w:val="24"/>
                <w:u w:val="single"/>
              </w:rPr>
              <w:t>3.2</w:t>
            </w:r>
            <w:r w:rsidR="003E309A">
              <w:rPr>
                <w:rFonts w:ascii="Times New Roman" w:hAnsi="Times New Roman"/>
                <w:b/>
                <w:sz w:val="24"/>
                <w:u w:val="single"/>
              </w:rPr>
              <w:t xml:space="preserve"> </w:t>
            </w:r>
            <w:r w:rsidRPr="0040604D">
              <w:rPr>
                <w:rFonts w:ascii="Times New Roman" w:hAnsi="Times New Roman"/>
                <w:b/>
                <w:sz w:val="24"/>
                <w:u w:val="single"/>
              </w:rPr>
              <w:t>credit quality step 2</w:t>
            </w:r>
          </w:p>
          <w:p w:rsidR="009E264D" w:rsidRPr="0040604D" w:rsidRDefault="00B85053" w:rsidP="00B85053">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he amount of cash outflows reported in item 1.2.</w:t>
            </w:r>
            <w:r w:rsidR="001E4878">
              <w:rPr>
                <w:rStyle w:val="InstructionsTabelleberschrift"/>
                <w:rFonts w:ascii="Times New Roman" w:hAnsi="Times New Roman"/>
                <w:b w:val="0"/>
                <w:sz w:val="24"/>
                <w:u w:val="none"/>
                <w:lang w:eastAsia="de-DE"/>
              </w:rPr>
              <w:t>1.</w:t>
            </w:r>
            <w:r w:rsidR="009E264D" w:rsidRPr="0040604D">
              <w:rPr>
                <w:rStyle w:val="InstructionsTabelleberschrift"/>
                <w:rFonts w:ascii="Times New Roman" w:hAnsi="Times New Roman"/>
                <w:b w:val="0"/>
                <w:sz w:val="24"/>
                <w:u w:val="none"/>
                <w:lang w:eastAsia="de-DE"/>
              </w:rPr>
              <w:t xml:space="preserve">3, </w:t>
            </w:r>
            <w:r w:rsidR="00743492">
              <w:rPr>
                <w:rStyle w:val="InstructionsTabelleberschrift"/>
                <w:rFonts w:ascii="Times New Roman" w:hAnsi="Times New Roman"/>
                <w:b w:val="0"/>
                <w:sz w:val="24"/>
                <w:u w:val="none"/>
                <w:lang w:eastAsia="de-DE"/>
              </w:rPr>
              <w:t>which</w:t>
            </w:r>
            <w:r w:rsidR="001E4878">
              <w:rPr>
                <w:rStyle w:val="InstructionsTabelleberschrift"/>
                <w:rFonts w:ascii="Times New Roman" w:hAnsi="Times New Roman"/>
                <w:b w:val="0"/>
                <w:sz w:val="24"/>
                <w:u w:val="none"/>
                <w:lang w:eastAsia="de-DE"/>
              </w:rPr>
              <w:t xml:space="preserve"> is collaterali</w:t>
            </w:r>
            <w:r w:rsidR="00EA3AE7">
              <w:rPr>
                <w:rStyle w:val="InstructionsTabelleberschrift"/>
                <w:rFonts w:ascii="Times New Roman" w:hAnsi="Times New Roman"/>
                <w:b w:val="0"/>
                <w:sz w:val="24"/>
                <w:u w:val="none"/>
                <w:lang w:eastAsia="de-DE"/>
              </w:rPr>
              <w:t>s</w:t>
            </w:r>
            <w:r w:rsidR="001E4878">
              <w:rPr>
                <w:rStyle w:val="InstructionsTabelleberschrift"/>
                <w:rFonts w:ascii="Times New Roman" w:hAnsi="Times New Roman"/>
                <w:b w:val="0"/>
                <w:sz w:val="24"/>
                <w:u w:val="none"/>
                <w:lang w:eastAsia="de-DE"/>
              </w:rPr>
              <w:t>ed by</w:t>
            </w:r>
            <w:r w:rsidR="00F31837">
              <w:rPr>
                <w:rStyle w:val="InstructionsTabelleberschrift"/>
                <w:rFonts w:ascii="Times New Roman" w:hAnsi="Times New Roman"/>
                <w:b w:val="0"/>
                <w:sz w:val="24"/>
                <w:u w:val="none"/>
                <w:lang w:eastAsia="de-DE"/>
              </w:rPr>
              <w:t xml:space="preserve"> bonds of</w:t>
            </w:r>
            <w:r w:rsidR="009E264D" w:rsidRPr="0040604D">
              <w:rPr>
                <w:rStyle w:val="InstructionsTabelleberschrift"/>
                <w:rFonts w:ascii="Times New Roman" w:hAnsi="Times New Roman"/>
                <w:b w:val="0"/>
                <w:sz w:val="24"/>
                <w:u w:val="none"/>
                <w:lang w:eastAsia="de-DE"/>
              </w:rPr>
              <w:t xml:space="preserve"> </w:t>
            </w:r>
            <w:r w:rsidR="009E264D" w:rsidRPr="0040604D">
              <w:rPr>
                <w:rFonts w:ascii="Times New Roman" w:hAnsi="Times New Roman"/>
                <w:sz w:val="24"/>
              </w:rPr>
              <w:t>credit quality step 2</w:t>
            </w:r>
            <w:r w:rsidR="0056474F">
              <w:rPr>
                <w:rFonts w:ascii="Times New Roman" w:hAnsi="Times New Roman"/>
                <w:sz w:val="24"/>
              </w:rPr>
              <w:t xml:space="preserve"> under Chapter 2, Title II of Part Three</w:t>
            </w:r>
            <w:r w:rsidR="00340D40">
              <w:rPr>
                <w:rFonts w:ascii="Times New Roman" w:hAnsi="Times New Roman"/>
                <w:sz w:val="24"/>
              </w:rPr>
              <w:t xml:space="preserve"> of Regulation </w:t>
            </w:r>
            <w:r w:rsidR="00994617">
              <w:rPr>
                <w:rFonts w:ascii="Times New Roman" w:hAnsi="Times New Roman"/>
                <w:sz w:val="24"/>
              </w:rPr>
              <w:t xml:space="preserve">(EU) No </w:t>
            </w:r>
            <w:r w:rsidR="00340D40">
              <w:rPr>
                <w:rFonts w:ascii="Times New Roman" w:hAnsi="Times New Roman"/>
                <w:sz w:val="24"/>
              </w:rPr>
              <w:t>575/2013</w:t>
            </w:r>
            <w:r w:rsidR="0056474F">
              <w:rPr>
                <w:rFonts w:ascii="Times New Roman" w:hAnsi="Times New Roman"/>
                <w:sz w:val="24"/>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170</w:t>
            </w:r>
          </w:p>
        </w:tc>
        <w:tc>
          <w:tcPr>
            <w:tcW w:w="7766" w:type="dxa"/>
            <w:gridSpan w:val="2"/>
            <w:shd w:val="clear" w:color="auto" w:fill="auto"/>
            <w:noWrap/>
          </w:tcPr>
          <w:p w:rsidR="009E264D" w:rsidRPr="0040604D" w:rsidRDefault="009E264D" w:rsidP="004C12AE">
            <w:pPr>
              <w:rPr>
                <w:rFonts w:ascii="Times New Roman" w:hAnsi="Times New Roman"/>
                <w:b/>
                <w:sz w:val="24"/>
                <w:u w:val="single"/>
              </w:rPr>
            </w:pPr>
            <w:r w:rsidRPr="0040604D">
              <w:rPr>
                <w:rFonts w:ascii="Times New Roman" w:hAnsi="Times New Roman"/>
                <w:b/>
                <w:sz w:val="24"/>
                <w:u w:val="single"/>
              </w:rPr>
              <w:t>1.2.</w:t>
            </w:r>
            <w:r w:rsidR="00CA2D26">
              <w:rPr>
                <w:rFonts w:ascii="Times New Roman" w:hAnsi="Times New Roman"/>
                <w:b/>
                <w:sz w:val="24"/>
                <w:u w:val="single"/>
              </w:rPr>
              <w:t>1.</w:t>
            </w:r>
            <w:r w:rsidRPr="0040604D">
              <w:rPr>
                <w:rFonts w:ascii="Times New Roman" w:hAnsi="Times New Roman"/>
                <w:b/>
                <w:sz w:val="24"/>
                <w:u w:val="single"/>
              </w:rPr>
              <w:t>3.3</w:t>
            </w:r>
            <w:r w:rsidR="003E309A">
              <w:rPr>
                <w:rFonts w:ascii="Times New Roman" w:hAnsi="Times New Roman"/>
                <w:b/>
                <w:sz w:val="24"/>
                <w:u w:val="single"/>
              </w:rPr>
              <w:t xml:space="preserve"> </w:t>
            </w:r>
            <w:r w:rsidRPr="0040604D">
              <w:rPr>
                <w:rFonts w:ascii="Times New Roman" w:hAnsi="Times New Roman"/>
                <w:b/>
                <w:sz w:val="24"/>
                <w:u w:val="single"/>
              </w:rPr>
              <w:t>credit quality step 3</w:t>
            </w:r>
          </w:p>
          <w:p w:rsidR="009E264D" w:rsidRPr="0040604D" w:rsidRDefault="00B85053" w:rsidP="00B85053">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he amount of cash outflows reported in item 1.2.</w:t>
            </w:r>
            <w:r w:rsidR="001E4878">
              <w:rPr>
                <w:rStyle w:val="InstructionsTabelleberschrift"/>
                <w:rFonts w:ascii="Times New Roman" w:hAnsi="Times New Roman"/>
                <w:b w:val="0"/>
                <w:sz w:val="24"/>
                <w:u w:val="none"/>
                <w:lang w:eastAsia="de-DE"/>
              </w:rPr>
              <w:t>1.</w:t>
            </w:r>
            <w:r w:rsidR="009E264D" w:rsidRPr="0040604D">
              <w:rPr>
                <w:rStyle w:val="InstructionsTabelleberschrift"/>
                <w:rFonts w:ascii="Times New Roman" w:hAnsi="Times New Roman"/>
                <w:b w:val="0"/>
                <w:sz w:val="24"/>
                <w:u w:val="none"/>
                <w:lang w:eastAsia="de-DE"/>
              </w:rPr>
              <w:t xml:space="preserve">3, </w:t>
            </w:r>
            <w:r w:rsidR="00743492">
              <w:rPr>
                <w:rStyle w:val="InstructionsTabelleberschrift"/>
                <w:rFonts w:ascii="Times New Roman" w:hAnsi="Times New Roman"/>
                <w:b w:val="0"/>
                <w:sz w:val="24"/>
                <w:u w:val="none"/>
                <w:lang w:eastAsia="de-DE"/>
              </w:rPr>
              <w:t>which</w:t>
            </w:r>
            <w:r w:rsidR="001E4878">
              <w:rPr>
                <w:rStyle w:val="InstructionsTabelleberschrift"/>
                <w:rFonts w:ascii="Times New Roman" w:hAnsi="Times New Roman"/>
                <w:b w:val="0"/>
                <w:sz w:val="24"/>
                <w:u w:val="none"/>
                <w:lang w:eastAsia="de-DE"/>
              </w:rPr>
              <w:t xml:space="preserve"> is collaterali</w:t>
            </w:r>
            <w:r w:rsidR="00EA3AE7">
              <w:rPr>
                <w:rStyle w:val="InstructionsTabelleberschrift"/>
                <w:rFonts w:ascii="Times New Roman" w:hAnsi="Times New Roman"/>
                <w:b w:val="0"/>
                <w:sz w:val="24"/>
                <w:u w:val="none"/>
                <w:lang w:eastAsia="de-DE"/>
              </w:rPr>
              <w:t>s</w:t>
            </w:r>
            <w:r w:rsidR="001E4878">
              <w:rPr>
                <w:rStyle w:val="InstructionsTabelleberschrift"/>
                <w:rFonts w:ascii="Times New Roman" w:hAnsi="Times New Roman"/>
                <w:b w:val="0"/>
                <w:sz w:val="24"/>
                <w:u w:val="none"/>
                <w:lang w:eastAsia="de-DE"/>
              </w:rPr>
              <w:t>ed by</w:t>
            </w:r>
            <w:r w:rsidR="00F31837">
              <w:rPr>
                <w:rStyle w:val="InstructionsTabelleberschrift"/>
                <w:rFonts w:ascii="Times New Roman" w:hAnsi="Times New Roman"/>
                <w:b w:val="0"/>
                <w:sz w:val="24"/>
                <w:u w:val="none"/>
                <w:lang w:eastAsia="de-DE"/>
              </w:rPr>
              <w:t xml:space="preserve"> bonds of</w:t>
            </w:r>
            <w:r w:rsidR="003E309A">
              <w:rPr>
                <w:rStyle w:val="InstructionsTabelleberschrift"/>
                <w:rFonts w:ascii="Times New Roman" w:hAnsi="Times New Roman"/>
                <w:b w:val="0"/>
                <w:sz w:val="24"/>
                <w:u w:val="none"/>
                <w:lang w:eastAsia="de-DE"/>
              </w:rPr>
              <w:t xml:space="preserve"> </w:t>
            </w:r>
            <w:r w:rsidR="009E264D" w:rsidRPr="0040604D">
              <w:rPr>
                <w:rFonts w:ascii="Times New Roman" w:hAnsi="Times New Roman"/>
                <w:sz w:val="24"/>
              </w:rPr>
              <w:t>credit quality step 3</w:t>
            </w:r>
            <w:r w:rsidR="0056474F">
              <w:rPr>
                <w:rFonts w:ascii="Times New Roman" w:hAnsi="Times New Roman"/>
                <w:sz w:val="24"/>
              </w:rPr>
              <w:t xml:space="preserve"> under Chapter 2, Title II of Part Three </w:t>
            </w:r>
            <w:r w:rsidR="00340D40">
              <w:rPr>
                <w:rFonts w:ascii="Times New Roman" w:hAnsi="Times New Roman"/>
                <w:sz w:val="24"/>
              </w:rPr>
              <w:t xml:space="preserve">of Regulation </w:t>
            </w:r>
            <w:r w:rsidR="00994617">
              <w:rPr>
                <w:rFonts w:ascii="Times New Roman" w:hAnsi="Times New Roman"/>
                <w:sz w:val="24"/>
              </w:rPr>
              <w:t xml:space="preserve">(EU) No </w:t>
            </w:r>
            <w:r w:rsidR="00340D40">
              <w:rPr>
                <w:rFonts w:ascii="Times New Roman" w:hAnsi="Times New Roman"/>
                <w:sz w:val="24"/>
              </w:rPr>
              <w:t>575/2013</w:t>
            </w:r>
            <w:r w:rsidR="0056474F">
              <w:rPr>
                <w:rFonts w:ascii="Times New Roman" w:hAnsi="Times New Roman"/>
                <w:sz w:val="24"/>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180</w:t>
            </w:r>
          </w:p>
        </w:tc>
        <w:tc>
          <w:tcPr>
            <w:tcW w:w="7766" w:type="dxa"/>
            <w:gridSpan w:val="2"/>
            <w:shd w:val="clear" w:color="auto" w:fill="auto"/>
            <w:noWrap/>
          </w:tcPr>
          <w:p w:rsidR="009E264D" w:rsidRPr="0040604D" w:rsidRDefault="009E264D" w:rsidP="004C12AE">
            <w:pPr>
              <w:rPr>
                <w:rFonts w:ascii="Times New Roman" w:hAnsi="Times New Roman"/>
                <w:b/>
                <w:sz w:val="24"/>
                <w:u w:val="single"/>
              </w:rPr>
            </w:pPr>
            <w:r w:rsidRPr="0040604D">
              <w:rPr>
                <w:rFonts w:ascii="Times New Roman" w:hAnsi="Times New Roman"/>
                <w:b/>
                <w:sz w:val="24"/>
                <w:u w:val="single"/>
              </w:rPr>
              <w:t>1.2.</w:t>
            </w:r>
            <w:r w:rsidR="00CA2D26">
              <w:rPr>
                <w:rFonts w:ascii="Times New Roman" w:hAnsi="Times New Roman"/>
                <w:b/>
                <w:sz w:val="24"/>
                <w:u w:val="single"/>
              </w:rPr>
              <w:t>1.</w:t>
            </w:r>
            <w:r w:rsidRPr="0040604D">
              <w:rPr>
                <w:rFonts w:ascii="Times New Roman" w:hAnsi="Times New Roman"/>
                <w:b/>
                <w:sz w:val="24"/>
                <w:u w:val="single"/>
              </w:rPr>
              <w:t>4 bonds as defined in Article 52(4) of Directive 2009/65/EC other than those referred to in 1.2.</w:t>
            </w:r>
            <w:r w:rsidR="002D2625">
              <w:rPr>
                <w:rFonts w:ascii="Times New Roman" w:hAnsi="Times New Roman"/>
                <w:b/>
                <w:sz w:val="24"/>
                <w:u w:val="single"/>
              </w:rPr>
              <w:t>1.</w:t>
            </w:r>
            <w:r w:rsidRPr="0040604D">
              <w:rPr>
                <w:rFonts w:ascii="Times New Roman" w:hAnsi="Times New Roman"/>
                <w:b/>
                <w:sz w:val="24"/>
                <w:u w:val="single"/>
              </w:rPr>
              <w:t>3</w:t>
            </w:r>
          </w:p>
          <w:p w:rsidR="009E264D" w:rsidRPr="0040604D" w:rsidRDefault="00B85053" w:rsidP="00B85053">
            <w:pPr>
              <w:rPr>
                <w:rFonts w:ascii="Times New Roman" w:hAnsi="Times New Roman"/>
                <w:sz w:val="24"/>
                <w:u w:val="singl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he amount of cash outflows arising from secured lending and capital market driven transactions reported in item 1.2</w:t>
            </w:r>
            <w:r w:rsidR="00724BAE">
              <w:rPr>
                <w:rStyle w:val="InstructionsTabelleberschrift"/>
                <w:rFonts w:ascii="Times New Roman" w:hAnsi="Times New Roman"/>
                <w:b w:val="0"/>
                <w:sz w:val="24"/>
                <w:u w:val="none"/>
                <w:lang w:eastAsia="de-DE"/>
              </w:rPr>
              <w:t>.1</w:t>
            </w:r>
            <w:r w:rsidR="009E264D" w:rsidRPr="0040604D">
              <w:rPr>
                <w:rStyle w:val="InstructionsTabelleberschrift"/>
                <w:rFonts w:ascii="Times New Roman" w:hAnsi="Times New Roman"/>
                <w:b w:val="0"/>
                <w:sz w:val="24"/>
                <w:u w:val="none"/>
                <w:lang w:eastAsia="de-DE"/>
              </w:rPr>
              <w:t xml:space="preserve">, </w:t>
            </w:r>
            <w:r w:rsidR="00743492">
              <w:rPr>
                <w:rStyle w:val="InstructionsTabelleberschrift"/>
                <w:rFonts w:ascii="Times New Roman" w:hAnsi="Times New Roman"/>
                <w:b w:val="0"/>
                <w:sz w:val="24"/>
                <w:u w:val="none"/>
                <w:lang w:eastAsia="de-DE"/>
              </w:rPr>
              <w:t>which</w:t>
            </w:r>
            <w:r w:rsidR="009E264D" w:rsidRPr="0040604D">
              <w:rPr>
                <w:rStyle w:val="InstructionsTabelleberschrift"/>
                <w:rFonts w:ascii="Times New Roman" w:hAnsi="Times New Roman"/>
                <w:b w:val="0"/>
                <w:sz w:val="24"/>
                <w:u w:val="none"/>
                <w:lang w:eastAsia="de-DE"/>
              </w:rPr>
              <w:t xml:space="preserve"> is collateralised by </w:t>
            </w:r>
            <w:r w:rsidR="009E264D" w:rsidRPr="0040604D">
              <w:rPr>
                <w:rFonts w:ascii="Times New Roman" w:hAnsi="Times New Roman"/>
                <w:sz w:val="24"/>
              </w:rPr>
              <w:t>bonds as defined in Article 52(4) of Directive 2009/65/EC other than those referred to in 1.2.</w:t>
            </w:r>
            <w:r w:rsidR="00085880">
              <w:rPr>
                <w:rFonts w:ascii="Times New Roman" w:hAnsi="Times New Roman"/>
                <w:sz w:val="24"/>
              </w:rPr>
              <w:t>1.</w:t>
            </w:r>
            <w:r w:rsidR="009E264D" w:rsidRPr="0040604D">
              <w:rPr>
                <w:rFonts w:ascii="Times New Roman" w:hAnsi="Times New Roman"/>
                <w:sz w:val="24"/>
              </w:rPr>
              <w:t>3.</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190</w:t>
            </w:r>
          </w:p>
        </w:tc>
        <w:tc>
          <w:tcPr>
            <w:tcW w:w="7766" w:type="dxa"/>
            <w:gridSpan w:val="2"/>
            <w:shd w:val="clear" w:color="auto" w:fill="auto"/>
            <w:noWrap/>
          </w:tcPr>
          <w:p w:rsidR="009E264D" w:rsidRPr="0040604D" w:rsidRDefault="009E264D" w:rsidP="008B32E0">
            <w:pPr>
              <w:rPr>
                <w:rFonts w:ascii="Times New Roman" w:hAnsi="Times New Roman"/>
                <w:b/>
                <w:sz w:val="24"/>
                <w:u w:val="single"/>
              </w:rPr>
            </w:pPr>
            <w:r w:rsidRPr="0040604D">
              <w:rPr>
                <w:rFonts w:ascii="Times New Roman" w:hAnsi="Times New Roman"/>
                <w:b/>
                <w:sz w:val="24"/>
                <w:u w:val="single"/>
              </w:rPr>
              <w:t>1.2.</w:t>
            </w:r>
            <w:r w:rsidR="00CA2D26">
              <w:rPr>
                <w:rFonts w:ascii="Times New Roman" w:hAnsi="Times New Roman"/>
                <w:b/>
                <w:sz w:val="24"/>
                <w:u w:val="single"/>
              </w:rPr>
              <w:t>1.</w:t>
            </w:r>
            <w:r w:rsidRPr="0040604D">
              <w:rPr>
                <w:rFonts w:ascii="Times New Roman" w:hAnsi="Times New Roman"/>
                <w:b/>
                <w:sz w:val="24"/>
                <w:u w:val="single"/>
              </w:rPr>
              <w:t>4.1</w:t>
            </w:r>
            <w:r w:rsidR="003E309A">
              <w:rPr>
                <w:rFonts w:ascii="Times New Roman" w:hAnsi="Times New Roman"/>
                <w:b/>
                <w:sz w:val="24"/>
                <w:u w:val="single"/>
              </w:rPr>
              <w:t xml:space="preserve"> </w:t>
            </w:r>
            <w:r w:rsidRPr="0040604D">
              <w:rPr>
                <w:rFonts w:ascii="Times New Roman" w:hAnsi="Times New Roman"/>
                <w:b/>
                <w:sz w:val="24"/>
                <w:u w:val="single"/>
              </w:rPr>
              <w:t>credit quality step 1</w:t>
            </w:r>
          </w:p>
          <w:p w:rsidR="009E264D" w:rsidRPr="0040604D" w:rsidRDefault="00B85053" w:rsidP="00B85053">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 xml:space="preserve">he amount of cash outflows </w:t>
            </w:r>
            <w:r w:rsidR="001F54B3">
              <w:rPr>
                <w:rStyle w:val="InstructionsTabelleberschrift"/>
                <w:rFonts w:ascii="Times New Roman" w:hAnsi="Times New Roman"/>
                <w:b w:val="0"/>
                <w:sz w:val="24"/>
                <w:u w:val="none"/>
                <w:lang w:eastAsia="de-DE"/>
              </w:rPr>
              <w:t>reported</w:t>
            </w:r>
            <w:r w:rsidR="009E264D" w:rsidRPr="0040604D">
              <w:rPr>
                <w:rFonts w:ascii="Times New Roman" w:hAnsi="Times New Roman"/>
                <w:sz w:val="24"/>
              </w:rPr>
              <w:t xml:space="preserve"> in item 1.2</w:t>
            </w:r>
            <w:r w:rsidR="007E2BEF">
              <w:rPr>
                <w:rFonts w:ascii="Times New Roman" w:hAnsi="Times New Roman"/>
                <w:sz w:val="24"/>
              </w:rPr>
              <w:t>.1.</w:t>
            </w:r>
            <w:r w:rsidR="00AE58F7">
              <w:rPr>
                <w:rFonts w:ascii="Times New Roman" w:hAnsi="Times New Roman"/>
                <w:sz w:val="24"/>
              </w:rPr>
              <w:t>4</w:t>
            </w:r>
            <w:r w:rsidR="009E264D" w:rsidRPr="0040604D">
              <w:rPr>
                <w:rStyle w:val="InstructionsTabelleberschrift"/>
                <w:rFonts w:ascii="Times New Roman" w:hAnsi="Times New Roman"/>
                <w:b w:val="0"/>
                <w:sz w:val="24"/>
                <w:u w:val="none"/>
                <w:lang w:eastAsia="de-DE"/>
              </w:rPr>
              <w:t xml:space="preserve">, </w:t>
            </w:r>
            <w:r w:rsidR="00743492">
              <w:rPr>
                <w:rStyle w:val="InstructionsTabelleberschrift"/>
                <w:rFonts w:ascii="Times New Roman" w:hAnsi="Times New Roman"/>
                <w:b w:val="0"/>
                <w:sz w:val="24"/>
                <w:u w:val="none"/>
                <w:lang w:eastAsia="de-DE"/>
              </w:rPr>
              <w:t>which</w:t>
            </w:r>
            <w:r w:rsidR="001F54B3">
              <w:rPr>
                <w:rStyle w:val="InstructionsTabelleberschrift"/>
                <w:rFonts w:ascii="Times New Roman" w:hAnsi="Times New Roman"/>
                <w:b w:val="0"/>
                <w:sz w:val="24"/>
                <w:u w:val="none"/>
                <w:lang w:eastAsia="de-DE"/>
              </w:rPr>
              <w:t xml:space="preserve"> is </w:t>
            </w:r>
            <w:r w:rsidR="00EA3AE7">
              <w:rPr>
                <w:rStyle w:val="InstructionsTabelleberschrift"/>
                <w:rFonts w:ascii="Times New Roman" w:hAnsi="Times New Roman"/>
                <w:b w:val="0"/>
                <w:sz w:val="24"/>
                <w:u w:val="none"/>
                <w:lang w:eastAsia="de-DE"/>
              </w:rPr>
              <w:t xml:space="preserve">collateralised </w:t>
            </w:r>
            <w:r w:rsidR="001F54B3">
              <w:rPr>
                <w:rStyle w:val="InstructionsTabelleberschrift"/>
                <w:rFonts w:ascii="Times New Roman" w:hAnsi="Times New Roman"/>
                <w:b w:val="0"/>
                <w:sz w:val="24"/>
                <w:u w:val="none"/>
                <w:lang w:eastAsia="de-DE"/>
              </w:rPr>
              <w:t>by</w:t>
            </w:r>
            <w:r w:rsidR="009E264D" w:rsidRPr="0040604D">
              <w:rPr>
                <w:rStyle w:val="InstructionsTabelleberschrift"/>
                <w:rFonts w:ascii="Times New Roman" w:hAnsi="Times New Roman"/>
                <w:b w:val="0"/>
                <w:sz w:val="24"/>
                <w:u w:val="none"/>
                <w:lang w:eastAsia="de-DE"/>
              </w:rPr>
              <w:t xml:space="preserve"> </w:t>
            </w:r>
            <w:r w:rsidR="00F31837">
              <w:rPr>
                <w:rStyle w:val="InstructionsTabelleberschrift"/>
                <w:rFonts w:ascii="Times New Roman" w:hAnsi="Times New Roman"/>
                <w:b w:val="0"/>
                <w:sz w:val="24"/>
                <w:u w:val="none"/>
                <w:lang w:eastAsia="de-DE"/>
              </w:rPr>
              <w:t xml:space="preserve">bonds of </w:t>
            </w:r>
            <w:r w:rsidR="009E264D" w:rsidRPr="0040604D">
              <w:rPr>
                <w:rFonts w:ascii="Times New Roman" w:hAnsi="Times New Roman"/>
                <w:sz w:val="24"/>
              </w:rPr>
              <w:t>credit quality step 1</w:t>
            </w:r>
            <w:r w:rsidR="0056474F">
              <w:rPr>
                <w:rFonts w:ascii="Times New Roman" w:hAnsi="Times New Roman"/>
                <w:sz w:val="24"/>
              </w:rPr>
              <w:t xml:space="preserve"> under Chapter 2, Title II of Part Three</w:t>
            </w:r>
            <w:r w:rsidR="00CC03D0">
              <w:rPr>
                <w:rFonts w:ascii="Times New Roman" w:hAnsi="Times New Roman"/>
                <w:sz w:val="24"/>
              </w:rPr>
              <w:t xml:space="preserve"> of Regulation </w:t>
            </w:r>
            <w:r w:rsidR="00994617">
              <w:rPr>
                <w:rFonts w:ascii="Times New Roman" w:hAnsi="Times New Roman"/>
                <w:sz w:val="24"/>
              </w:rPr>
              <w:t xml:space="preserve">(EU) No </w:t>
            </w:r>
            <w:r w:rsidR="00CC03D0">
              <w:rPr>
                <w:rFonts w:ascii="Times New Roman" w:hAnsi="Times New Roman"/>
                <w:sz w:val="24"/>
              </w:rPr>
              <w:t>575/2013</w:t>
            </w:r>
            <w:r w:rsidR="0056474F">
              <w:rPr>
                <w:rFonts w:ascii="Times New Roman" w:hAnsi="Times New Roman"/>
                <w:sz w:val="24"/>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200</w:t>
            </w:r>
          </w:p>
        </w:tc>
        <w:tc>
          <w:tcPr>
            <w:tcW w:w="7766" w:type="dxa"/>
            <w:gridSpan w:val="2"/>
            <w:shd w:val="clear" w:color="auto" w:fill="auto"/>
            <w:noWrap/>
          </w:tcPr>
          <w:p w:rsidR="009E264D" w:rsidRPr="0040604D" w:rsidRDefault="009E264D" w:rsidP="008B32E0">
            <w:pPr>
              <w:rPr>
                <w:rFonts w:ascii="Times New Roman" w:hAnsi="Times New Roman"/>
                <w:b/>
                <w:sz w:val="24"/>
                <w:u w:val="single"/>
              </w:rPr>
            </w:pPr>
            <w:r w:rsidRPr="0040604D">
              <w:rPr>
                <w:rFonts w:ascii="Times New Roman" w:hAnsi="Times New Roman"/>
                <w:b/>
                <w:sz w:val="24"/>
                <w:u w:val="single"/>
              </w:rPr>
              <w:t>1.2.</w:t>
            </w:r>
            <w:r w:rsidR="00CA2D26">
              <w:rPr>
                <w:rFonts w:ascii="Times New Roman" w:hAnsi="Times New Roman"/>
                <w:b/>
                <w:sz w:val="24"/>
                <w:u w:val="single"/>
              </w:rPr>
              <w:t>1.</w:t>
            </w:r>
            <w:r w:rsidRPr="0040604D">
              <w:rPr>
                <w:rFonts w:ascii="Times New Roman" w:hAnsi="Times New Roman"/>
                <w:b/>
                <w:sz w:val="24"/>
                <w:u w:val="single"/>
              </w:rPr>
              <w:t>4.2</w:t>
            </w:r>
            <w:r w:rsidR="003E309A">
              <w:rPr>
                <w:rFonts w:ascii="Times New Roman" w:hAnsi="Times New Roman"/>
                <w:b/>
                <w:sz w:val="24"/>
                <w:u w:val="single"/>
              </w:rPr>
              <w:t xml:space="preserve"> </w:t>
            </w:r>
            <w:r w:rsidRPr="0040604D">
              <w:rPr>
                <w:rFonts w:ascii="Times New Roman" w:hAnsi="Times New Roman"/>
                <w:b/>
                <w:sz w:val="24"/>
                <w:u w:val="single"/>
              </w:rPr>
              <w:t>credit quality step 2</w:t>
            </w:r>
          </w:p>
          <w:p w:rsidR="009E264D" w:rsidRPr="0040604D" w:rsidRDefault="00B85053" w:rsidP="00B85053">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 xml:space="preserve">he amount of cash outflows </w:t>
            </w:r>
            <w:r w:rsidR="001F54B3">
              <w:rPr>
                <w:rStyle w:val="InstructionsTabelleberschrift"/>
                <w:rFonts w:ascii="Times New Roman" w:hAnsi="Times New Roman"/>
                <w:b w:val="0"/>
                <w:sz w:val="24"/>
                <w:u w:val="none"/>
                <w:lang w:eastAsia="de-DE"/>
              </w:rPr>
              <w:t>reported</w:t>
            </w:r>
            <w:r w:rsidR="009E264D" w:rsidRPr="0040604D">
              <w:rPr>
                <w:rFonts w:ascii="Times New Roman" w:hAnsi="Times New Roman"/>
                <w:sz w:val="24"/>
              </w:rPr>
              <w:t xml:space="preserve"> in 1.2.</w:t>
            </w:r>
            <w:r w:rsidR="007E2BEF">
              <w:rPr>
                <w:rFonts w:ascii="Times New Roman" w:hAnsi="Times New Roman"/>
                <w:sz w:val="24"/>
              </w:rPr>
              <w:t>1.</w:t>
            </w:r>
            <w:r w:rsidR="00AE58F7">
              <w:rPr>
                <w:rFonts w:ascii="Times New Roman" w:hAnsi="Times New Roman"/>
                <w:sz w:val="24"/>
              </w:rPr>
              <w:t>4</w:t>
            </w:r>
            <w:r w:rsidR="009E264D" w:rsidRPr="0040604D">
              <w:rPr>
                <w:rStyle w:val="InstructionsTabelleberschrift"/>
                <w:rFonts w:ascii="Times New Roman" w:hAnsi="Times New Roman"/>
                <w:b w:val="0"/>
                <w:sz w:val="24"/>
                <w:u w:val="none"/>
                <w:lang w:eastAsia="de-DE"/>
              </w:rPr>
              <w:t xml:space="preserve">, </w:t>
            </w:r>
            <w:r w:rsidR="00743492">
              <w:rPr>
                <w:rStyle w:val="InstructionsTabelleberschrift"/>
                <w:rFonts w:ascii="Times New Roman" w:hAnsi="Times New Roman"/>
                <w:b w:val="0"/>
                <w:sz w:val="24"/>
                <w:u w:val="none"/>
                <w:lang w:eastAsia="de-DE"/>
              </w:rPr>
              <w:t>which</w:t>
            </w:r>
            <w:r w:rsidR="001F54B3">
              <w:rPr>
                <w:rStyle w:val="InstructionsTabelleberschrift"/>
                <w:rFonts w:ascii="Times New Roman" w:hAnsi="Times New Roman"/>
                <w:b w:val="0"/>
                <w:sz w:val="24"/>
                <w:u w:val="none"/>
                <w:lang w:eastAsia="de-DE"/>
              </w:rPr>
              <w:t xml:space="preserve"> is collaterali</w:t>
            </w:r>
            <w:r w:rsidR="00EA3AE7">
              <w:rPr>
                <w:rStyle w:val="InstructionsTabelleberschrift"/>
                <w:rFonts w:ascii="Times New Roman" w:hAnsi="Times New Roman"/>
                <w:b w:val="0"/>
                <w:sz w:val="24"/>
                <w:u w:val="none"/>
                <w:lang w:eastAsia="de-DE"/>
              </w:rPr>
              <w:t>s</w:t>
            </w:r>
            <w:r w:rsidR="001F54B3">
              <w:rPr>
                <w:rStyle w:val="InstructionsTabelleberschrift"/>
                <w:rFonts w:ascii="Times New Roman" w:hAnsi="Times New Roman"/>
                <w:b w:val="0"/>
                <w:sz w:val="24"/>
                <w:u w:val="none"/>
                <w:lang w:eastAsia="de-DE"/>
              </w:rPr>
              <w:t>ed by</w:t>
            </w:r>
            <w:r w:rsidR="009E264D" w:rsidRPr="0040604D">
              <w:rPr>
                <w:rStyle w:val="InstructionsTabelleberschrift"/>
                <w:rFonts w:ascii="Times New Roman" w:hAnsi="Times New Roman"/>
                <w:b w:val="0"/>
                <w:sz w:val="24"/>
                <w:u w:val="none"/>
                <w:lang w:eastAsia="de-DE"/>
              </w:rPr>
              <w:t xml:space="preserve"> </w:t>
            </w:r>
            <w:r w:rsidR="00F31837">
              <w:rPr>
                <w:rStyle w:val="InstructionsTabelleberschrift"/>
                <w:rFonts w:ascii="Times New Roman" w:hAnsi="Times New Roman"/>
                <w:b w:val="0"/>
                <w:sz w:val="24"/>
                <w:u w:val="none"/>
                <w:lang w:eastAsia="de-DE"/>
              </w:rPr>
              <w:t xml:space="preserve">bonds of </w:t>
            </w:r>
            <w:r w:rsidR="009E264D" w:rsidRPr="0040604D">
              <w:rPr>
                <w:rFonts w:ascii="Times New Roman" w:hAnsi="Times New Roman"/>
                <w:sz w:val="24"/>
              </w:rPr>
              <w:t>credit quality step 2</w:t>
            </w:r>
            <w:r w:rsidR="0056474F">
              <w:rPr>
                <w:rFonts w:ascii="Times New Roman" w:hAnsi="Times New Roman"/>
                <w:sz w:val="24"/>
              </w:rPr>
              <w:t xml:space="preserve"> under Chapter 2, Title II of Part Three</w:t>
            </w:r>
            <w:r w:rsidR="00CC03D0">
              <w:rPr>
                <w:rFonts w:ascii="Times New Roman" w:hAnsi="Times New Roman"/>
                <w:sz w:val="24"/>
              </w:rPr>
              <w:t xml:space="preserve"> of Regulation </w:t>
            </w:r>
            <w:r w:rsidR="00994617">
              <w:rPr>
                <w:rFonts w:ascii="Times New Roman" w:hAnsi="Times New Roman"/>
                <w:sz w:val="24"/>
              </w:rPr>
              <w:t xml:space="preserve">(EU) No </w:t>
            </w:r>
            <w:r w:rsidR="00CC03D0">
              <w:rPr>
                <w:rFonts w:ascii="Times New Roman" w:hAnsi="Times New Roman"/>
                <w:sz w:val="24"/>
              </w:rPr>
              <w:t>575/2013</w:t>
            </w:r>
            <w:r w:rsidR="0056474F">
              <w:rPr>
                <w:rFonts w:ascii="Times New Roman" w:hAnsi="Times New Roman"/>
                <w:sz w:val="24"/>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lastRenderedPageBreak/>
              <w:t>210</w:t>
            </w:r>
          </w:p>
        </w:tc>
        <w:tc>
          <w:tcPr>
            <w:tcW w:w="7766" w:type="dxa"/>
            <w:gridSpan w:val="2"/>
            <w:shd w:val="clear" w:color="auto" w:fill="auto"/>
            <w:noWrap/>
          </w:tcPr>
          <w:p w:rsidR="009E264D" w:rsidRPr="0040604D" w:rsidRDefault="009E264D" w:rsidP="008B32E0">
            <w:pPr>
              <w:rPr>
                <w:rFonts w:ascii="Times New Roman" w:hAnsi="Times New Roman"/>
                <w:b/>
                <w:sz w:val="24"/>
                <w:u w:val="single"/>
              </w:rPr>
            </w:pPr>
            <w:r w:rsidRPr="0040604D">
              <w:rPr>
                <w:rFonts w:ascii="Times New Roman" w:hAnsi="Times New Roman"/>
                <w:b/>
                <w:sz w:val="24"/>
                <w:u w:val="single"/>
              </w:rPr>
              <w:t>1.2.</w:t>
            </w:r>
            <w:r w:rsidR="00CA2D26">
              <w:rPr>
                <w:rFonts w:ascii="Times New Roman" w:hAnsi="Times New Roman"/>
                <w:b/>
                <w:sz w:val="24"/>
                <w:u w:val="single"/>
              </w:rPr>
              <w:t>1.</w:t>
            </w:r>
            <w:r w:rsidRPr="0040604D">
              <w:rPr>
                <w:rFonts w:ascii="Times New Roman" w:hAnsi="Times New Roman"/>
                <w:b/>
                <w:sz w:val="24"/>
                <w:u w:val="single"/>
              </w:rPr>
              <w:t>4.3</w:t>
            </w:r>
            <w:r w:rsidR="003E309A">
              <w:rPr>
                <w:rFonts w:ascii="Times New Roman" w:hAnsi="Times New Roman"/>
                <w:b/>
                <w:sz w:val="24"/>
                <w:u w:val="single"/>
              </w:rPr>
              <w:t xml:space="preserve"> </w:t>
            </w:r>
            <w:r w:rsidRPr="0040604D">
              <w:rPr>
                <w:rFonts w:ascii="Times New Roman" w:hAnsi="Times New Roman"/>
                <w:b/>
                <w:sz w:val="24"/>
                <w:u w:val="single"/>
              </w:rPr>
              <w:t>credit quality step 3</w:t>
            </w:r>
          </w:p>
          <w:p w:rsidR="009E264D" w:rsidRPr="0040604D" w:rsidRDefault="00B85053" w:rsidP="00B85053">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 xml:space="preserve">he amount of cash </w:t>
            </w:r>
            <w:r w:rsidR="006A58E0" w:rsidRPr="0040604D">
              <w:rPr>
                <w:rStyle w:val="InstructionsTabelleberschrift"/>
                <w:rFonts w:ascii="Times New Roman" w:hAnsi="Times New Roman"/>
                <w:b w:val="0"/>
                <w:sz w:val="24"/>
                <w:u w:val="none"/>
                <w:lang w:eastAsia="de-DE"/>
              </w:rPr>
              <w:t xml:space="preserve">outflows </w:t>
            </w:r>
            <w:r w:rsidR="001F54B3">
              <w:rPr>
                <w:rStyle w:val="InstructionsTabelleberschrift"/>
                <w:rFonts w:ascii="Times New Roman" w:hAnsi="Times New Roman"/>
                <w:b w:val="0"/>
                <w:sz w:val="24"/>
                <w:u w:val="none"/>
                <w:lang w:eastAsia="de-DE"/>
              </w:rPr>
              <w:t>reported</w:t>
            </w:r>
            <w:r w:rsidR="002B1FDF" w:rsidRPr="002B1FDF">
              <w:rPr>
                <w:rStyle w:val="InstructionsTabelleberschrift"/>
                <w:rFonts w:ascii="Times New Roman" w:hAnsi="Times New Roman"/>
                <w:sz w:val="24"/>
                <w:u w:val="none"/>
              </w:rPr>
              <w:t xml:space="preserve"> </w:t>
            </w:r>
            <w:r w:rsidR="009E264D" w:rsidRPr="0040604D">
              <w:rPr>
                <w:rFonts w:ascii="Times New Roman" w:hAnsi="Times New Roman"/>
                <w:sz w:val="24"/>
              </w:rPr>
              <w:t>in 1.2.</w:t>
            </w:r>
            <w:r w:rsidR="007E2BEF">
              <w:rPr>
                <w:rFonts w:ascii="Times New Roman" w:hAnsi="Times New Roman"/>
                <w:sz w:val="24"/>
              </w:rPr>
              <w:t>1.</w:t>
            </w:r>
            <w:r w:rsidR="00AE58F7">
              <w:rPr>
                <w:rFonts w:ascii="Times New Roman" w:hAnsi="Times New Roman"/>
                <w:sz w:val="24"/>
              </w:rPr>
              <w:t>4</w:t>
            </w:r>
            <w:r w:rsidR="009E264D" w:rsidRPr="0040604D">
              <w:rPr>
                <w:rStyle w:val="InstructionsTabelleberschrift"/>
                <w:rFonts w:ascii="Times New Roman" w:hAnsi="Times New Roman"/>
                <w:b w:val="0"/>
                <w:sz w:val="24"/>
                <w:u w:val="none"/>
                <w:lang w:eastAsia="de-DE"/>
              </w:rPr>
              <w:t xml:space="preserve">, </w:t>
            </w:r>
            <w:r w:rsidR="00743492">
              <w:rPr>
                <w:rStyle w:val="InstructionsTabelleberschrift"/>
                <w:rFonts w:ascii="Times New Roman" w:hAnsi="Times New Roman"/>
                <w:b w:val="0"/>
                <w:sz w:val="24"/>
                <w:u w:val="none"/>
                <w:lang w:eastAsia="de-DE"/>
              </w:rPr>
              <w:t>which</w:t>
            </w:r>
            <w:r w:rsidR="001F54B3">
              <w:rPr>
                <w:rStyle w:val="InstructionsTabelleberschrift"/>
                <w:rFonts w:ascii="Times New Roman" w:hAnsi="Times New Roman"/>
                <w:b w:val="0"/>
                <w:sz w:val="24"/>
                <w:u w:val="none"/>
                <w:lang w:eastAsia="de-DE"/>
              </w:rPr>
              <w:t xml:space="preserve"> is collaterali</w:t>
            </w:r>
            <w:r w:rsidR="00EA3AE7">
              <w:rPr>
                <w:rStyle w:val="InstructionsTabelleberschrift"/>
                <w:rFonts w:ascii="Times New Roman" w:hAnsi="Times New Roman"/>
                <w:b w:val="0"/>
                <w:sz w:val="24"/>
                <w:u w:val="none"/>
                <w:lang w:eastAsia="de-DE"/>
              </w:rPr>
              <w:t>s</w:t>
            </w:r>
            <w:r w:rsidR="001F54B3">
              <w:rPr>
                <w:rStyle w:val="InstructionsTabelleberschrift"/>
                <w:rFonts w:ascii="Times New Roman" w:hAnsi="Times New Roman"/>
                <w:b w:val="0"/>
                <w:sz w:val="24"/>
                <w:u w:val="none"/>
                <w:lang w:eastAsia="de-DE"/>
              </w:rPr>
              <w:t>ed by</w:t>
            </w:r>
            <w:r w:rsidR="00F31837">
              <w:rPr>
                <w:rStyle w:val="InstructionsTabelleberschrift"/>
                <w:rFonts w:ascii="Times New Roman" w:hAnsi="Times New Roman"/>
                <w:b w:val="0"/>
                <w:sz w:val="24"/>
                <w:u w:val="none"/>
                <w:lang w:eastAsia="de-DE"/>
              </w:rPr>
              <w:t xml:space="preserve"> bonds of</w:t>
            </w:r>
            <w:r w:rsidR="009E264D" w:rsidRPr="0040604D">
              <w:rPr>
                <w:rStyle w:val="InstructionsTabelleberschrift"/>
                <w:rFonts w:ascii="Times New Roman" w:hAnsi="Times New Roman"/>
                <w:b w:val="0"/>
                <w:sz w:val="24"/>
                <w:u w:val="none"/>
                <w:lang w:eastAsia="de-DE"/>
              </w:rPr>
              <w:t xml:space="preserve"> </w:t>
            </w:r>
            <w:r w:rsidR="009E264D" w:rsidRPr="0040604D">
              <w:rPr>
                <w:rFonts w:ascii="Times New Roman" w:hAnsi="Times New Roman"/>
                <w:sz w:val="24"/>
              </w:rPr>
              <w:t>credit quality step 3</w:t>
            </w:r>
            <w:r w:rsidR="0056474F">
              <w:rPr>
                <w:rFonts w:ascii="Times New Roman" w:hAnsi="Times New Roman"/>
                <w:sz w:val="24"/>
              </w:rPr>
              <w:t xml:space="preserve"> under Chapter 2, Title II of Part Three </w:t>
            </w:r>
            <w:r w:rsidR="00CC03D0">
              <w:rPr>
                <w:rFonts w:ascii="Times New Roman" w:hAnsi="Times New Roman"/>
                <w:sz w:val="24"/>
              </w:rPr>
              <w:t xml:space="preserve">of Regulation </w:t>
            </w:r>
            <w:r w:rsidR="00994617">
              <w:rPr>
                <w:rFonts w:ascii="Times New Roman" w:hAnsi="Times New Roman"/>
                <w:sz w:val="24"/>
              </w:rPr>
              <w:t xml:space="preserve">(EU) No </w:t>
            </w:r>
            <w:r w:rsidR="00CC03D0">
              <w:rPr>
                <w:rFonts w:ascii="Times New Roman" w:hAnsi="Times New Roman"/>
                <w:sz w:val="24"/>
              </w:rPr>
              <w:t>575/2013</w:t>
            </w:r>
            <w:r w:rsidR="0056474F">
              <w:rPr>
                <w:rFonts w:ascii="Times New Roman" w:hAnsi="Times New Roman"/>
                <w:sz w:val="24"/>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220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1.2.</w:t>
            </w:r>
            <w:r w:rsidR="00560CC4">
              <w:rPr>
                <w:rFonts w:ascii="Times New Roman" w:hAnsi="Times New Roman"/>
                <w:b/>
                <w:sz w:val="24"/>
                <w:u w:val="single"/>
              </w:rPr>
              <w:t>1.</w:t>
            </w:r>
            <w:r w:rsidRPr="0040604D">
              <w:rPr>
                <w:rFonts w:ascii="Times New Roman" w:hAnsi="Times New Roman"/>
                <w:b/>
                <w:sz w:val="24"/>
                <w:u w:val="single"/>
              </w:rPr>
              <w:t>5</w:t>
            </w:r>
            <w:r w:rsidR="003E309A">
              <w:rPr>
                <w:rFonts w:ascii="Times New Roman" w:hAnsi="Times New Roman"/>
                <w:b/>
                <w:sz w:val="24"/>
                <w:u w:val="single"/>
              </w:rPr>
              <w:t xml:space="preserve"> </w:t>
            </w:r>
            <w:r w:rsidRPr="0040604D">
              <w:rPr>
                <w:rFonts w:ascii="Times New Roman" w:hAnsi="Times New Roman"/>
                <w:b/>
                <w:sz w:val="24"/>
                <w:u w:val="single"/>
              </w:rPr>
              <w:t>non financial corporate bonds</w:t>
            </w:r>
          </w:p>
          <w:p w:rsidR="009E264D" w:rsidRPr="0040604D" w:rsidRDefault="00B85053" w:rsidP="00B85053">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he amount of cash outflows arising from secured lending and capital market driven transactions reported in item 1.2</w:t>
            </w:r>
            <w:r w:rsidR="00990C79">
              <w:rPr>
                <w:rStyle w:val="InstructionsTabelleberschrift"/>
                <w:rFonts w:ascii="Times New Roman" w:hAnsi="Times New Roman"/>
                <w:b w:val="0"/>
                <w:sz w:val="24"/>
                <w:u w:val="none"/>
                <w:lang w:eastAsia="de-DE"/>
              </w:rPr>
              <w:t>.1</w:t>
            </w:r>
            <w:r w:rsidR="009E264D" w:rsidRPr="0040604D">
              <w:rPr>
                <w:rStyle w:val="InstructionsTabelleberschrift"/>
                <w:rFonts w:ascii="Times New Roman" w:hAnsi="Times New Roman"/>
                <w:b w:val="0"/>
                <w:sz w:val="24"/>
                <w:u w:val="none"/>
                <w:lang w:eastAsia="de-DE"/>
              </w:rPr>
              <w:t xml:space="preserve">, </w:t>
            </w:r>
            <w:r w:rsidR="00743492">
              <w:rPr>
                <w:rStyle w:val="InstructionsTabelleberschrift"/>
                <w:rFonts w:ascii="Times New Roman" w:hAnsi="Times New Roman"/>
                <w:b w:val="0"/>
                <w:sz w:val="24"/>
                <w:u w:val="none"/>
                <w:lang w:eastAsia="de-DE"/>
              </w:rPr>
              <w:t>which</w:t>
            </w:r>
            <w:r w:rsidR="009E264D" w:rsidRPr="0040604D">
              <w:rPr>
                <w:rStyle w:val="InstructionsTabelleberschrift"/>
                <w:rFonts w:ascii="Times New Roman" w:hAnsi="Times New Roman"/>
                <w:b w:val="0"/>
                <w:sz w:val="24"/>
                <w:u w:val="none"/>
                <w:lang w:eastAsia="de-DE"/>
              </w:rPr>
              <w:t xml:space="preserve"> is collateralised by </w:t>
            </w:r>
            <w:r w:rsidR="000A1E8B">
              <w:rPr>
                <w:rStyle w:val="InstructionsTabelleberschrift"/>
                <w:rFonts w:ascii="Times New Roman" w:hAnsi="Times New Roman"/>
                <w:b w:val="0"/>
                <w:sz w:val="24"/>
                <w:u w:val="none"/>
                <w:lang w:eastAsia="de-DE"/>
              </w:rPr>
              <w:t>non</w:t>
            </w:r>
            <w:r>
              <w:rPr>
                <w:rStyle w:val="InstructionsTabelleberschrift"/>
                <w:rFonts w:ascii="Times New Roman" w:hAnsi="Times New Roman"/>
                <w:b w:val="0"/>
                <w:sz w:val="24"/>
                <w:u w:val="none"/>
                <w:lang w:eastAsia="de-DE"/>
              </w:rPr>
              <w:t>-</w:t>
            </w:r>
            <w:r w:rsidR="000A1E8B">
              <w:rPr>
                <w:rStyle w:val="InstructionsTabelleberschrift"/>
                <w:rFonts w:ascii="Times New Roman" w:hAnsi="Times New Roman"/>
                <w:b w:val="0"/>
                <w:sz w:val="24"/>
                <w:u w:val="none"/>
                <w:lang w:eastAsia="de-DE"/>
              </w:rPr>
              <w:t xml:space="preserve">financial corporate </w:t>
            </w:r>
            <w:r w:rsidR="009E264D" w:rsidRPr="0040604D">
              <w:rPr>
                <w:rStyle w:val="InstructionsTabelleberschrift"/>
                <w:rFonts w:ascii="Times New Roman" w:hAnsi="Times New Roman"/>
                <w:b w:val="0"/>
                <w:sz w:val="24"/>
                <w:u w:val="none"/>
                <w:lang w:eastAsia="de-DE"/>
              </w:rPr>
              <w:t xml:space="preserve">bonds. </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230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1.2.</w:t>
            </w:r>
            <w:r w:rsidR="00560CC4">
              <w:rPr>
                <w:rFonts w:ascii="Times New Roman" w:hAnsi="Times New Roman"/>
                <w:b/>
                <w:sz w:val="24"/>
                <w:u w:val="single"/>
              </w:rPr>
              <w:t>1.</w:t>
            </w:r>
            <w:r w:rsidRPr="0040604D">
              <w:rPr>
                <w:rFonts w:ascii="Times New Roman" w:hAnsi="Times New Roman"/>
                <w:b/>
                <w:sz w:val="24"/>
                <w:u w:val="single"/>
              </w:rPr>
              <w:t>5.1</w:t>
            </w:r>
            <w:r w:rsidR="003E309A">
              <w:rPr>
                <w:rFonts w:ascii="Times New Roman" w:hAnsi="Times New Roman"/>
                <w:b/>
                <w:sz w:val="24"/>
                <w:u w:val="single"/>
              </w:rPr>
              <w:t xml:space="preserve"> </w:t>
            </w:r>
            <w:r w:rsidRPr="0040604D">
              <w:rPr>
                <w:rFonts w:ascii="Times New Roman" w:hAnsi="Times New Roman"/>
                <w:b/>
                <w:sz w:val="24"/>
                <w:u w:val="single"/>
              </w:rPr>
              <w:t>credit quality step 1</w:t>
            </w:r>
          </w:p>
          <w:p w:rsidR="009E264D" w:rsidRPr="0040604D" w:rsidRDefault="00B85053" w:rsidP="00B85053">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he amount of cash outflows reported in item 1.2</w:t>
            </w:r>
            <w:r w:rsidR="00F31837">
              <w:rPr>
                <w:rStyle w:val="InstructionsTabelleberschrift"/>
                <w:rFonts w:ascii="Times New Roman" w:hAnsi="Times New Roman"/>
                <w:b w:val="0"/>
                <w:sz w:val="24"/>
                <w:u w:val="none"/>
                <w:lang w:eastAsia="de-DE"/>
              </w:rPr>
              <w:t>.1</w:t>
            </w:r>
            <w:r w:rsidR="009E264D" w:rsidRPr="0040604D">
              <w:rPr>
                <w:rStyle w:val="InstructionsTabelleberschrift"/>
                <w:rFonts w:ascii="Times New Roman" w:hAnsi="Times New Roman"/>
                <w:b w:val="0"/>
                <w:sz w:val="24"/>
                <w:u w:val="none"/>
                <w:lang w:eastAsia="de-DE"/>
              </w:rPr>
              <w:t>.5, where the bonds are rated at credit quality step 1</w:t>
            </w:r>
            <w:r w:rsidR="0056474F">
              <w:rPr>
                <w:rFonts w:ascii="Times New Roman" w:hAnsi="Times New Roman"/>
                <w:sz w:val="24"/>
              </w:rPr>
              <w:t xml:space="preserve"> under Chapter 2, Title II of Part Three </w:t>
            </w:r>
            <w:r w:rsidR="00CC03D0">
              <w:rPr>
                <w:rFonts w:ascii="Times New Roman" w:hAnsi="Times New Roman"/>
                <w:sz w:val="24"/>
              </w:rPr>
              <w:t>of Regulation</w:t>
            </w:r>
            <w:r w:rsidR="00994617">
              <w:rPr>
                <w:rFonts w:ascii="Times New Roman" w:hAnsi="Times New Roman"/>
                <w:sz w:val="24"/>
              </w:rPr>
              <w:t xml:space="preserve"> (EU) No</w:t>
            </w:r>
            <w:r w:rsidR="00CC03D0">
              <w:rPr>
                <w:rFonts w:ascii="Times New Roman" w:hAnsi="Times New Roman"/>
                <w:sz w:val="24"/>
              </w:rPr>
              <w:t xml:space="preserve"> 575/2013</w:t>
            </w:r>
            <w:r w:rsidR="009E264D" w:rsidRPr="0040604D">
              <w:rPr>
                <w:rStyle w:val="InstructionsTabelleberschrift"/>
                <w:rFonts w:ascii="Times New Roman" w:hAnsi="Times New Roman"/>
                <w:b w:val="0"/>
                <w:sz w:val="24"/>
                <w:u w:val="none"/>
                <w:lang w:eastAsia="de-DE"/>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240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1.2.</w:t>
            </w:r>
            <w:r w:rsidR="00560CC4">
              <w:rPr>
                <w:rFonts w:ascii="Times New Roman" w:hAnsi="Times New Roman"/>
                <w:b/>
                <w:sz w:val="24"/>
                <w:u w:val="single"/>
              </w:rPr>
              <w:t>1.</w:t>
            </w:r>
            <w:r w:rsidRPr="0040604D">
              <w:rPr>
                <w:rFonts w:ascii="Times New Roman" w:hAnsi="Times New Roman"/>
                <w:b/>
                <w:sz w:val="24"/>
                <w:u w:val="single"/>
              </w:rPr>
              <w:t>5.2</w:t>
            </w:r>
            <w:r w:rsidR="003E309A">
              <w:rPr>
                <w:rFonts w:ascii="Times New Roman" w:hAnsi="Times New Roman"/>
                <w:b/>
                <w:sz w:val="24"/>
                <w:u w:val="single"/>
              </w:rPr>
              <w:t xml:space="preserve"> </w:t>
            </w:r>
            <w:r w:rsidRPr="0040604D">
              <w:rPr>
                <w:rFonts w:ascii="Times New Roman" w:hAnsi="Times New Roman"/>
                <w:b/>
                <w:sz w:val="24"/>
                <w:u w:val="single"/>
              </w:rPr>
              <w:t>credit quality step 2</w:t>
            </w:r>
          </w:p>
          <w:p w:rsidR="009E264D" w:rsidRPr="0040604D" w:rsidRDefault="00B85053" w:rsidP="00B85053">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he amount of cash outflows reported in item 1.2.</w:t>
            </w:r>
            <w:r w:rsidR="00F31837">
              <w:rPr>
                <w:rStyle w:val="InstructionsTabelleberschrift"/>
                <w:rFonts w:ascii="Times New Roman" w:hAnsi="Times New Roman"/>
                <w:b w:val="0"/>
                <w:sz w:val="24"/>
                <w:u w:val="none"/>
                <w:lang w:eastAsia="de-DE"/>
              </w:rPr>
              <w:t>1.</w:t>
            </w:r>
            <w:r w:rsidR="009E264D" w:rsidRPr="0040604D">
              <w:rPr>
                <w:rStyle w:val="InstructionsTabelleberschrift"/>
                <w:rFonts w:ascii="Times New Roman" w:hAnsi="Times New Roman"/>
                <w:b w:val="0"/>
                <w:sz w:val="24"/>
                <w:u w:val="none"/>
                <w:lang w:eastAsia="de-DE"/>
              </w:rPr>
              <w:t>5, where the bonds are rated at credit quality step 2</w:t>
            </w:r>
            <w:r w:rsidR="0056474F">
              <w:rPr>
                <w:rFonts w:ascii="Times New Roman" w:hAnsi="Times New Roman"/>
                <w:sz w:val="24"/>
              </w:rPr>
              <w:t xml:space="preserve"> under Chapter 2, Title II of Part Three </w:t>
            </w:r>
            <w:r w:rsidR="00CC03D0">
              <w:rPr>
                <w:rFonts w:ascii="Times New Roman" w:hAnsi="Times New Roman"/>
                <w:sz w:val="24"/>
              </w:rPr>
              <w:t xml:space="preserve">of Regulation </w:t>
            </w:r>
            <w:r w:rsidR="00994617">
              <w:rPr>
                <w:rFonts w:ascii="Times New Roman" w:hAnsi="Times New Roman"/>
                <w:sz w:val="24"/>
              </w:rPr>
              <w:t xml:space="preserve">(EU) No </w:t>
            </w:r>
            <w:r w:rsidR="00CC03D0">
              <w:rPr>
                <w:rFonts w:ascii="Times New Roman" w:hAnsi="Times New Roman"/>
                <w:sz w:val="24"/>
              </w:rPr>
              <w:t>575/2013</w:t>
            </w:r>
            <w:r w:rsidR="009E264D" w:rsidRPr="0040604D">
              <w:rPr>
                <w:rStyle w:val="InstructionsTabelleberschrift"/>
                <w:rFonts w:ascii="Times New Roman" w:hAnsi="Times New Roman"/>
                <w:b w:val="0"/>
                <w:sz w:val="24"/>
                <w:u w:val="none"/>
                <w:lang w:eastAsia="de-DE"/>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250</w:t>
            </w:r>
          </w:p>
        </w:tc>
        <w:tc>
          <w:tcPr>
            <w:tcW w:w="7766" w:type="dxa"/>
            <w:gridSpan w:val="2"/>
            <w:shd w:val="clear" w:color="auto" w:fill="auto"/>
            <w:noWrap/>
          </w:tcPr>
          <w:p w:rsidR="009E264D" w:rsidRPr="0040604D" w:rsidRDefault="009E264D" w:rsidP="004C12AE">
            <w:pPr>
              <w:rPr>
                <w:rFonts w:ascii="Times New Roman" w:hAnsi="Times New Roman"/>
                <w:b/>
                <w:sz w:val="24"/>
                <w:u w:val="single"/>
              </w:rPr>
            </w:pPr>
            <w:r w:rsidRPr="0040604D">
              <w:rPr>
                <w:rFonts w:ascii="Times New Roman" w:hAnsi="Times New Roman"/>
                <w:b/>
                <w:sz w:val="24"/>
                <w:u w:val="single"/>
              </w:rPr>
              <w:t>1.2.</w:t>
            </w:r>
            <w:r w:rsidR="00560CC4">
              <w:rPr>
                <w:rFonts w:ascii="Times New Roman" w:hAnsi="Times New Roman"/>
                <w:b/>
                <w:sz w:val="24"/>
                <w:u w:val="single"/>
              </w:rPr>
              <w:t>1.</w:t>
            </w:r>
            <w:r w:rsidRPr="0040604D">
              <w:rPr>
                <w:rFonts w:ascii="Times New Roman" w:hAnsi="Times New Roman"/>
                <w:b/>
                <w:sz w:val="24"/>
                <w:u w:val="single"/>
              </w:rPr>
              <w:t>5.3</w:t>
            </w:r>
            <w:r w:rsidR="003E309A">
              <w:rPr>
                <w:rFonts w:ascii="Times New Roman" w:hAnsi="Times New Roman"/>
                <w:b/>
                <w:sz w:val="24"/>
                <w:u w:val="single"/>
              </w:rPr>
              <w:t xml:space="preserve"> </w:t>
            </w:r>
            <w:r w:rsidRPr="0040604D">
              <w:rPr>
                <w:rFonts w:ascii="Times New Roman" w:hAnsi="Times New Roman"/>
                <w:b/>
                <w:sz w:val="24"/>
                <w:u w:val="single"/>
              </w:rPr>
              <w:t>credit quality step 3</w:t>
            </w:r>
          </w:p>
          <w:p w:rsidR="009E264D" w:rsidRPr="0040604D" w:rsidRDefault="00B85053" w:rsidP="00B85053">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he amount of cash outflows reported in item 1.2.</w:t>
            </w:r>
            <w:r w:rsidR="00F31837">
              <w:rPr>
                <w:rStyle w:val="InstructionsTabelleberschrift"/>
                <w:rFonts w:ascii="Times New Roman" w:hAnsi="Times New Roman"/>
                <w:b w:val="0"/>
                <w:sz w:val="24"/>
                <w:u w:val="none"/>
                <w:lang w:eastAsia="de-DE"/>
              </w:rPr>
              <w:t>1.</w:t>
            </w:r>
            <w:r w:rsidR="009E264D" w:rsidRPr="0040604D">
              <w:rPr>
                <w:rStyle w:val="InstructionsTabelleberschrift"/>
                <w:rFonts w:ascii="Times New Roman" w:hAnsi="Times New Roman"/>
                <w:b w:val="0"/>
                <w:sz w:val="24"/>
                <w:u w:val="none"/>
                <w:lang w:eastAsia="de-DE"/>
              </w:rPr>
              <w:t>5, where the bonds are rated at credit quality step 3</w:t>
            </w:r>
            <w:r w:rsidR="0056474F">
              <w:rPr>
                <w:rFonts w:ascii="Times New Roman" w:hAnsi="Times New Roman"/>
                <w:sz w:val="24"/>
              </w:rPr>
              <w:t xml:space="preserve"> under Chapter 2, Title II of Part Three </w:t>
            </w:r>
            <w:r w:rsidR="00CC03D0">
              <w:rPr>
                <w:rFonts w:ascii="Times New Roman" w:hAnsi="Times New Roman"/>
                <w:sz w:val="24"/>
              </w:rPr>
              <w:t xml:space="preserve">of Regulation </w:t>
            </w:r>
            <w:r w:rsidR="00994617">
              <w:rPr>
                <w:rFonts w:ascii="Times New Roman" w:hAnsi="Times New Roman"/>
                <w:sz w:val="24"/>
              </w:rPr>
              <w:t xml:space="preserve">(EU) No </w:t>
            </w:r>
            <w:r w:rsidR="00CC03D0">
              <w:rPr>
                <w:rFonts w:ascii="Times New Roman" w:hAnsi="Times New Roman"/>
                <w:sz w:val="24"/>
              </w:rPr>
              <w:t>575/2013</w:t>
            </w:r>
            <w:r w:rsidR="009E264D" w:rsidRPr="0040604D">
              <w:rPr>
                <w:rStyle w:val="InstructionsTabelleberschrift"/>
                <w:rFonts w:ascii="Times New Roman" w:hAnsi="Times New Roman"/>
                <w:b w:val="0"/>
                <w:sz w:val="24"/>
                <w:u w:val="none"/>
                <w:lang w:eastAsia="de-DE"/>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260</w:t>
            </w:r>
          </w:p>
        </w:tc>
        <w:tc>
          <w:tcPr>
            <w:tcW w:w="7766" w:type="dxa"/>
            <w:gridSpan w:val="2"/>
            <w:shd w:val="clear" w:color="auto" w:fill="auto"/>
            <w:noWrap/>
          </w:tcPr>
          <w:p w:rsidR="009E264D" w:rsidRPr="0040604D" w:rsidRDefault="009E264D" w:rsidP="004C12AE">
            <w:pPr>
              <w:rPr>
                <w:rFonts w:ascii="Times New Roman" w:hAnsi="Times New Roman"/>
                <w:b/>
                <w:sz w:val="24"/>
                <w:u w:val="single"/>
              </w:rPr>
            </w:pPr>
            <w:r w:rsidRPr="0040604D">
              <w:rPr>
                <w:rFonts w:ascii="Times New Roman" w:hAnsi="Times New Roman"/>
                <w:b/>
                <w:sz w:val="24"/>
                <w:u w:val="single"/>
              </w:rPr>
              <w:t>1.2.</w:t>
            </w:r>
            <w:r w:rsidR="00560CC4">
              <w:rPr>
                <w:rFonts w:ascii="Times New Roman" w:hAnsi="Times New Roman"/>
                <w:b/>
                <w:sz w:val="24"/>
                <w:u w:val="single"/>
              </w:rPr>
              <w:t>1.</w:t>
            </w:r>
            <w:r w:rsidRPr="0040604D">
              <w:rPr>
                <w:rFonts w:ascii="Times New Roman" w:hAnsi="Times New Roman"/>
                <w:b/>
                <w:sz w:val="24"/>
                <w:u w:val="single"/>
              </w:rPr>
              <w:t>6 residential mortgage backed securities of credit quality step 1</w:t>
            </w:r>
          </w:p>
          <w:p w:rsidR="009E264D" w:rsidRPr="0040604D" w:rsidRDefault="00B85053" w:rsidP="00B85053">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he amount of cash outflows arising from secured lending and capital market driven transactions reported in item 1.2</w:t>
            </w:r>
            <w:r w:rsidR="00560CC4">
              <w:rPr>
                <w:rStyle w:val="InstructionsTabelleberschrift"/>
                <w:rFonts w:ascii="Times New Roman" w:hAnsi="Times New Roman"/>
                <w:b w:val="0"/>
                <w:sz w:val="24"/>
                <w:u w:val="none"/>
                <w:lang w:eastAsia="de-DE"/>
              </w:rPr>
              <w:t>.1</w:t>
            </w:r>
            <w:r w:rsidR="009E264D" w:rsidRPr="0040604D">
              <w:rPr>
                <w:rStyle w:val="InstructionsTabelleberschrift"/>
                <w:rFonts w:ascii="Times New Roman" w:hAnsi="Times New Roman"/>
                <w:b w:val="0"/>
                <w:sz w:val="24"/>
                <w:u w:val="none"/>
                <w:lang w:eastAsia="de-DE"/>
              </w:rPr>
              <w:t xml:space="preserve">, </w:t>
            </w:r>
            <w:r w:rsidR="00743492">
              <w:rPr>
                <w:rStyle w:val="InstructionsTabelleberschrift"/>
                <w:rFonts w:ascii="Times New Roman" w:hAnsi="Times New Roman"/>
                <w:b w:val="0"/>
                <w:sz w:val="24"/>
                <w:u w:val="none"/>
                <w:lang w:eastAsia="de-DE"/>
              </w:rPr>
              <w:t>which</w:t>
            </w:r>
            <w:r w:rsidR="009E264D" w:rsidRPr="0040604D">
              <w:rPr>
                <w:rStyle w:val="InstructionsTabelleberschrift"/>
                <w:rFonts w:ascii="Times New Roman" w:hAnsi="Times New Roman"/>
                <w:b w:val="0"/>
                <w:sz w:val="24"/>
                <w:u w:val="none"/>
                <w:lang w:eastAsia="de-DE"/>
              </w:rPr>
              <w:t xml:space="preserve"> is collateralised by </w:t>
            </w:r>
            <w:r w:rsidR="009E264D" w:rsidRPr="0040604D">
              <w:rPr>
                <w:rFonts w:ascii="Times New Roman" w:hAnsi="Times New Roman"/>
                <w:sz w:val="24"/>
              </w:rPr>
              <w:t xml:space="preserve">residential mortgage backed securities rated </w:t>
            </w:r>
            <w:r w:rsidR="000A1E8B">
              <w:rPr>
                <w:rFonts w:ascii="Times New Roman" w:hAnsi="Times New Roman"/>
                <w:sz w:val="24"/>
              </w:rPr>
              <w:t>at</w:t>
            </w:r>
            <w:r w:rsidR="009E264D" w:rsidRPr="0040604D">
              <w:rPr>
                <w:rFonts w:ascii="Times New Roman" w:hAnsi="Times New Roman"/>
                <w:sz w:val="24"/>
              </w:rPr>
              <w:t xml:space="preserve"> credit quality step 1</w:t>
            </w:r>
            <w:r w:rsidR="00751E46">
              <w:rPr>
                <w:rFonts w:ascii="Times New Roman" w:hAnsi="Times New Roman"/>
                <w:sz w:val="24"/>
              </w:rPr>
              <w:t xml:space="preserve"> under Chapter 2, Title II of Part Three </w:t>
            </w:r>
            <w:r w:rsidR="00CC03D0">
              <w:rPr>
                <w:rFonts w:ascii="Times New Roman" w:hAnsi="Times New Roman"/>
                <w:sz w:val="24"/>
              </w:rPr>
              <w:t xml:space="preserve">of Regulation </w:t>
            </w:r>
            <w:r w:rsidR="00994617">
              <w:rPr>
                <w:rFonts w:ascii="Times New Roman" w:hAnsi="Times New Roman"/>
                <w:sz w:val="24"/>
              </w:rPr>
              <w:t xml:space="preserve">(EU) No </w:t>
            </w:r>
            <w:r w:rsidR="00CC03D0">
              <w:rPr>
                <w:rFonts w:ascii="Times New Roman" w:hAnsi="Times New Roman"/>
                <w:sz w:val="24"/>
              </w:rPr>
              <w:t>575/2013</w:t>
            </w:r>
            <w:r w:rsidR="00751E46">
              <w:rPr>
                <w:rFonts w:ascii="Times New Roman" w:hAnsi="Times New Roman"/>
                <w:sz w:val="24"/>
              </w:rPr>
              <w:t>.</w:t>
            </w:r>
          </w:p>
        </w:tc>
      </w:tr>
      <w:tr w:rsidR="00560CC4" w:rsidRPr="0040604D" w:rsidTr="0021066C">
        <w:trPr>
          <w:trHeight w:val="1134"/>
        </w:trPr>
        <w:tc>
          <w:tcPr>
            <w:tcW w:w="828" w:type="dxa"/>
            <w:vAlign w:val="center"/>
          </w:tcPr>
          <w:p w:rsidR="00560CC4"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270</w:t>
            </w:r>
          </w:p>
        </w:tc>
        <w:tc>
          <w:tcPr>
            <w:tcW w:w="7766" w:type="dxa"/>
            <w:gridSpan w:val="2"/>
            <w:shd w:val="clear" w:color="auto" w:fill="auto"/>
            <w:noWrap/>
          </w:tcPr>
          <w:p w:rsidR="00560CC4" w:rsidRDefault="00560CC4" w:rsidP="00560CC4">
            <w:pPr>
              <w:rPr>
                <w:rFonts w:ascii="Times New Roman" w:hAnsi="Times New Roman"/>
                <w:b/>
                <w:sz w:val="24"/>
                <w:u w:val="single"/>
              </w:rPr>
            </w:pPr>
            <w:r w:rsidRPr="0040604D">
              <w:rPr>
                <w:rFonts w:ascii="Times New Roman" w:hAnsi="Times New Roman"/>
                <w:b/>
                <w:sz w:val="24"/>
                <w:u w:val="single"/>
              </w:rPr>
              <w:t>1.2.</w:t>
            </w:r>
            <w:r>
              <w:rPr>
                <w:rFonts w:ascii="Times New Roman" w:hAnsi="Times New Roman"/>
                <w:b/>
                <w:sz w:val="24"/>
                <w:u w:val="single"/>
              </w:rPr>
              <w:t>1.</w:t>
            </w:r>
            <w:r w:rsidR="00902B35">
              <w:rPr>
                <w:rFonts w:ascii="Times New Roman" w:hAnsi="Times New Roman"/>
                <w:b/>
                <w:sz w:val="24"/>
                <w:u w:val="single"/>
              </w:rPr>
              <w:t>7</w:t>
            </w:r>
            <w:r w:rsidRPr="0040604D">
              <w:rPr>
                <w:rFonts w:ascii="Times New Roman" w:hAnsi="Times New Roman"/>
                <w:b/>
                <w:sz w:val="24"/>
                <w:u w:val="single"/>
              </w:rPr>
              <w:t xml:space="preserve"> </w:t>
            </w:r>
            <w:r>
              <w:rPr>
                <w:rFonts w:ascii="Times New Roman" w:hAnsi="Times New Roman"/>
                <w:b/>
                <w:sz w:val="24"/>
                <w:u w:val="single"/>
              </w:rPr>
              <w:t>other</w:t>
            </w:r>
            <w:r w:rsidR="00CF443C">
              <w:rPr>
                <w:rFonts w:ascii="Times New Roman" w:hAnsi="Times New Roman"/>
                <w:b/>
                <w:sz w:val="24"/>
                <w:u w:val="single"/>
              </w:rPr>
              <w:t xml:space="preserve"> assets</w:t>
            </w:r>
          </w:p>
          <w:p w:rsidR="00560CC4" w:rsidRPr="0040604D" w:rsidRDefault="00B85053" w:rsidP="00B85053">
            <w:pPr>
              <w:rPr>
                <w:rFonts w:ascii="Times New Roman" w:hAnsi="Times New Roman"/>
                <w:b/>
                <w:sz w:val="24"/>
                <w:u w:val="single"/>
              </w:rPr>
            </w:pPr>
            <w:r>
              <w:rPr>
                <w:rStyle w:val="InstructionsTabelleberschrift"/>
                <w:rFonts w:ascii="Times New Roman" w:hAnsi="Times New Roman"/>
                <w:b w:val="0"/>
                <w:sz w:val="24"/>
                <w:u w:val="none"/>
                <w:lang w:eastAsia="de-DE"/>
              </w:rPr>
              <w:t>T</w:t>
            </w:r>
            <w:r w:rsidR="00560CC4" w:rsidRPr="0040604D">
              <w:rPr>
                <w:rStyle w:val="InstructionsTabelleberschrift"/>
                <w:rFonts w:ascii="Times New Roman" w:hAnsi="Times New Roman"/>
                <w:b w:val="0"/>
                <w:sz w:val="24"/>
                <w:u w:val="none"/>
                <w:lang w:eastAsia="de-DE"/>
              </w:rPr>
              <w:t>he amount of cash outflows arising from secured lending and capital market driven transactions reported in item 1.2</w:t>
            </w:r>
            <w:r w:rsidR="00560CC4">
              <w:rPr>
                <w:rStyle w:val="InstructionsTabelleberschrift"/>
                <w:rFonts w:ascii="Times New Roman" w:hAnsi="Times New Roman"/>
                <w:b w:val="0"/>
                <w:sz w:val="24"/>
                <w:u w:val="none"/>
                <w:lang w:eastAsia="de-DE"/>
              </w:rPr>
              <w:t>.1</w:t>
            </w:r>
            <w:r w:rsidR="00600E5A">
              <w:rPr>
                <w:rStyle w:val="InstructionsTabelleberschrift"/>
                <w:rFonts w:ascii="Times New Roman" w:hAnsi="Times New Roman"/>
                <w:b w:val="0"/>
                <w:sz w:val="24"/>
                <w:u w:val="none"/>
                <w:lang w:eastAsia="de-DE"/>
              </w:rPr>
              <w:t xml:space="preserve">, </w:t>
            </w:r>
            <w:r w:rsidR="00743492">
              <w:rPr>
                <w:rStyle w:val="InstructionsTabelleberschrift"/>
                <w:rFonts w:ascii="Times New Roman" w:hAnsi="Times New Roman"/>
                <w:b w:val="0"/>
                <w:sz w:val="24"/>
                <w:u w:val="none"/>
                <w:lang w:eastAsia="de-DE"/>
              </w:rPr>
              <w:t>which</w:t>
            </w:r>
            <w:r w:rsidR="009B0276">
              <w:rPr>
                <w:rStyle w:val="InstructionsTabelleberschrift"/>
                <w:rFonts w:ascii="Times New Roman" w:hAnsi="Times New Roman"/>
                <w:b w:val="0"/>
                <w:sz w:val="24"/>
                <w:u w:val="none"/>
                <w:lang w:eastAsia="de-DE"/>
              </w:rPr>
              <w:t xml:space="preserve"> is collaterali</w:t>
            </w:r>
            <w:r w:rsidR="00EA3AE7">
              <w:rPr>
                <w:rStyle w:val="InstructionsTabelleberschrift"/>
                <w:rFonts w:ascii="Times New Roman" w:hAnsi="Times New Roman"/>
                <w:b w:val="0"/>
                <w:sz w:val="24"/>
                <w:u w:val="none"/>
                <w:lang w:eastAsia="de-DE"/>
              </w:rPr>
              <w:t>s</w:t>
            </w:r>
            <w:r w:rsidR="009B0276">
              <w:rPr>
                <w:rStyle w:val="InstructionsTabelleberschrift"/>
                <w:rFonts w:ascii="Times New Roman" w:hAnsi="Times New Roman"/>
                <w:b w:val="0"/>
                <w:sz w:val="24"/>
                <w:u w:val="none"/>
                <w:lang w:eastAsia="de-DE"/>
              </w:rPr>
              <w:t>ed by other assets.</w:t>
            </w:r>
          </w:p>
        </w:tc>
      </w:tr>
      <w:tr w:rsidR="00902B35" w:rsidRPr="0040604D" w:rsidTr="0021066C">
        <w:trPr>
          <w:trHeight w:val="1134"/>
        </w:trPr>
        <w:tc>
          <w:tcPr>
            <w:tcW w:w="828" w:type="dxa"/>
            <w:vAlign w:val="center"/>
          </w:tcPr>
          <w:p w:rsidR="00902B35"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280</w:t>
            </w:r>
          </w:p>
        </w:tc>
        <w:tc>
          <w:tcPr>
            <w:tcW w:w="7766" w:type="dxa"/>
            <w:gridSpan w:val="2"/>
            <w:shd w:val="clear" w:color="auto" w:fill="auto"/>
            <w:noWrap/>
          </w:tcPr>
          <w:p w:rsidR="00902B35" w:rsidRDefault="00902B35" w:rsidP="00902B35">
            <w:pPr>
              <w:rPr>
                <w:rFonts w:ascii="Times New Roman" w:hAnsi="Times New Roman"/>
                <w:sz w:val="24"/>
              </w:rPr>
            </w:pPr>
            <w:r>
              <w:rPr>
                <w:rFonts w:ascii="Times New Roman" w:hAnsi="Times New Roman"/>
                <w:b/>
                <w:sz w:val="24"/>
                <w:u w:val="single"/>
              </w:rPr>
              <w:t>1.2.1.8 of which central bank open market operations</w:t>
            </w:r>
          </w:p>
          <w:p w:rsidR="00902B35" w:rsidRPr="0040604D" w:rsidRDefault="00B85053" w:rsidP="00B85053">
            <w:pPr>
              <w:rPr>
                <w:rFonts w:ascii="Times New Roman" w:hAnsi="Times New Roman"/>
                <w:b/>
                <w:sz w:val="24"/>
                <w:u w:val="single"/>
              </w:rPr>
            </w:pPr>
            <w:r>
              <w:rPr>
                <w:rFonts w:ascii="Times New Roman" w:hAnsi="Times New Roman"/>
                <w:sz w:val="24"/>
              </w:rPr>
              <w:t>T</w:t>
            </w:r>
            <w:r w:rsidR="00902B35">
              <w:rPr>
                <w:rFonts w:ascii="Times New Roman" w:hAnsi="Times New Roman"/>
                <w:sz w:val="24"/>
              </w:rPr>
              <w:t>he amount of cash outflows reported in item 1.2.1 that arising from open market operations.</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290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1.2.</w:t>
            </w:r>
            <w:r w:rsidR="00560CC4">
              <w:rPr>
                <w:rFonts w:ascii="Times New Roman" w:hAnsi="Times New Roman"/>
                <w:b/>
                <w:sz w:val="24"/>
                <w:u w:val="single"/>
              </w:rPr>
              <w:t>2</w:t>
            </w:r>
            <w:r w:rsidR="003E309A">
              <w:rPr>
                <w:rFonts w:ascii="Times New Roman" w:hAnsi="Times New Roman"/>
                <w:b/>
                <w:sz w:val="24"/>
                <w:u w:val="single"/>
              </w:rPr>
              <w:t xml:space="preserve">   </w:t>
            </w:r>
            <w:r w:rsidRPr="0040604D">
              <w:rPr>
                <w:rFonts w:ascii="Times New Roman" w:hAnsi="Times New Roman"/>
                <w:b/>
                <w:sz w:val="24"/>
                <w:u w:val="single"/>
              </w:rPr>
              <w:t>non-central bank eligible but tradable assets</w:t>
            </w:r>
          </w:p>
          <w:p w:rsidR="009E264D" w:rsidRPr="0040604D" w:rsidRDefault="00B85053" w:rsidP="00787967">
            <w:pPr>
              <w:rPr>
                <w:rFonts w:ascii="Times New Roman" w:hAnsi="Times New Roman"/>
                <w:bCs/>
                <w:sz w:val="24"/>
                <w:lang w:eastAsia="de-D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 xml:space="preserve">he amount of cash outflows arising from secured lending and capital market driven transactions reported in item 1.2, </w:t>
            </w:r>
            <w:r w:rsidR="00743492">
              <w:rPr>
                <w:rStyle w:val="InstructionsTabelleberschrift"/>
                <w:rFonts w:ascii="Times New Roman" w:hAnsi="Times New Roman"/>
                <w:b w:val="0"/>
                <w:sz w:val="24"/>
                <w:u w:val="none"/>
                <w:lang w:eastAsia="de-DE"/>
              </w:rPr>
              <w:t>which</w:t>
            </w:r>
            <w:r w:rsidR="009E264D" w:rsidRPr="0040604D">
              <w:rPr>
                <w:rStyle w:val="InstructionsTabelleberschrift"/>
                <w:rFonts w:ascii="Times New Roman" w:hAnsi="Times New Roman"/>
                <w:b w:val="0"/>
                <w:sz w:val="24"/>
                <w:u w:val="none"/>
                <w:lang w:eastAsia="de-DE"/>
              </w:rPr>
              <w:t xml:space="preserve"> is collateralised by non-central bank eligible but tradable assets</w:t>
            </w:r>
            <w:r w:rsidR="00A700F3">
              <w:rPr>
                <w:rStyle w:val="InstructionsTabelleberschrift"/>
                <w:rFonts w:ascii="Times New Roman" w:hAnsi="Times New Roman"/>
                <w:b w:val="0"/>
                <w:sz w:val="24"/>
                <w:u w:val="none"/>
                <w:lang w:eastAsia="de-DE"/>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lastRenderedPageBreak/>
              <w:t>300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1.2.</w:t>
            </w:r>
            <w:r w:rsidR="00204D9A">
              <w:rPr>
                <w:rFonts w:ascii="Times New Roman" w:hAnsi="Times New Roman"/>
                <w:b/>
                <w:sz w:val="24"/>
                <w:u w:val="single"/>
              </w:rPr>
              <w:t>2</w:t>
            </w:r>
            <w:r w:rsidRPr="0040604D">
              <w:rPr>
                <w:rFonts w:ascii="Times New Roman" w:hAnsi="Times New Roman"/>
                <w:b/>
                <w:sz w:val="24"/>
                <w:u w:val="single"/>
              </w:rPr>
              <w:t>.1 equities listed on a recognised exchange, not self issued or issued by financial institutions</w:t>
            </w:r>
          </w:p>
          <w:p w:rsidR="00155E96" w:rsidRPr="00155E96" w:rsidRDefault="00155E96" w:rsidP="00155E96">
            <w:pPr>
              <w:rPr>
                <w:rStyle w:val="InstructionsTabelleberschrift"/>
                <w:rFonts w:ascii="Times New Roman" w:hAnsi="Times New Roman"/>
                <w:b w:val="0"/>
                <w:bCs w:val="0"/>
                <w:sz w:val="24"/>
                <w:u w:val="none"/>
                <w:lang w:val="cs-CZ"/>
              </w:rPr>
            </w:pPr>
            <w:r>
              <w:rPr>
                <w:rFonts w:ascii="Times New Roman" w:hAnsi="Times New Roman"/>
                <w:sz w:val="24"/>
              </w:rPr>
              <w:t xml:space="preserve">Point 11 of Annex III of Regulation </w:t>
            </w:r>
            <w:r w:rsidR="00994617">
              <w:rPr>
                <w:rFonts w:ascii="Times New Roman" w:hAnsi="Times New Roman"/>
                <w:sz w:val="24"/>
              </w:rPr>
              <w:t xml:space="preserve">(EU) No </w:t>
            </w:r>
            <w:r>
              <w:rPr>
                <w:rFonts w:ascii="Times New Roman" w:hAnsi="Times New Roman"/>
                <w:sz w:val="24"/>
              </w:rPr>
              <w:t>575/2013</w:t>
            </w:r>
            <w:r w:rsidR="00DC6350">
              <w:rPr>
                <w:rFonts w:ascii="Times New Roman" w:hAnsi="Times New Roman"/>
                <w:sz w:val="24"/>
              </w:rPr>
              <w:t>.</w:t>
            </w:r>
          </w:p>
          <w:p w:rsidR="009E264D" w:rsidRPr="0040604D" w:rsidRDefault="00B85053" w:rsidP="00CD413A">
            <w:pPr>
              <w:spacing w:before="0" w:after="0"/>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he amount of cash outflows reported in item 1.2.</w:t>
            </w:r>
            <w:r w:rsidR="00204D9A">
              <w:rPr>
                <w:rStyle w:val="InstructionsTabelleberschrift"/>
                <w:rFonts w:ascii="Times New Roman" w:hAnsi="Times New Roman"/>
                <w:b w:val="0"/>
                <w:sz w:val="24"/>
                <w:u w:val="none"/>
                <w:lang w:eastAsia="de-DE"/>
              </w:rPr>
              <w:t>2</w:t>
            </w:r>
            <w:r w:rsidR="009E264D" w:rsidRPr="0040604D">
              <w:rPr>
                <w:rStyle w:val="InstructionsTabelleberschrift"/>
                <w:rFonts w:ascii="Times New Roman" w:hAnsi="Times New Roman"/>
                <w:b w:val="0"/>
                <w:sz w:val="24"/>
                <w:u w:val="none"/>
                <w:lang w:eastAsia="de-DE"/>
              </w:rPr>
              <w:t xml:space="preserve">, </w:t>
            </w:r>
            <w:r w:rsidR="00743492">
              <w:rPr>
                <w:rStyle w:val="InstructionsTabelleberschrift"/>
                <w:rFonts w:ascii="Times New Roman" w:hAnsi="Times New Roman"/>
                <w:b w:val="0"/>
                <w:sz w:val="24"/>
                <w:u w:val="none"/>
                <w:lang w:eastAsia="de-DE"/>
              </w:rPr>
              <w:t>which</w:t>
            </w:r>
            <w:r w:rsidR="000502EB">
              <w:rPr>
                <w:rStyle w:val="InstructionsTabelleberschrift"/>
                <w:rFonts w:ascii="Times New Roman" w:hAnsi="Times New Roman"/>
                <w:b w:val="0"/>
                <w:sz w:val="24"/>
                <w:u w:val="none"/>
                <w:lang w:eastAsia="de-DE"/>
              </w:rPr>
              <w:t xml:space="preserve"> is</w:t>
            </w:r>
            <w:r w:rsidR="009E264D" w:rsidRPr="0040604D">
              <w:rPr>
                <w:rStyle w:val="InstructionsTabelleberschrift"/>
                <w:rFonts w:ascii="Times New Roman" w:hAnsi="Times New Roman"/>
                <w:b w:val="0"/>
                <w:sz w:val="24"/>
                <w:u w:val="none"/>
                <w:lang w:eastAsia="de-DE"/>
              </w:rPr>
              <w:t xml:space="preserve"> collateralised by equities listed on a recognised exchange</w:t>
            </w:r>
            <w:r w:rsidR="00DC6350">
              <w:rPr>
                <w:rStyle w:val="InstructionsTabelleberschrift"/>
                <w:rFonts w:ascii="Times New Roman" w:hAnsi="Times New Roman"/>
                <w:b w:val="0"/>
                <w:sz w:val="24"/>
                <w:u w:val="none"/>
                <w:lang w:eastAsia="de-DE"/>
              </w:rPr>
              <w:t>.</w:t>
            </w:r>
          </w:p>
          <w:p w:rsidR="009E264D" w:rsidRPr="0040604D" w:rsidRDefault="009E264D" w:rsidP="00CD413A">
            <w:pPr>
              <w:spacing w:before="0" w:after="0"/>
              <w:rPr>
                <w:rFonts w:ascii="Times New Roman" w:hAnsi="Times New Roman"/>
                <w:b/>
                <w:bCs/>
                <w:sz w:val="24"/>
                <w:u w:val="single"/>
                <w:lang w:eastAsia="de-DE"/>
              </w:rPr>
            </w:pP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310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1.2.</w:t>
            </w:r>
            <w:r w:rsidR="00204D9A">
              <w:rPr>
                <w:rFonts w:ascii="Times New Roman" w:hAnsi="Times New Roman"/>
                <w:b/>
                <w:sz w:val="24"/>
                <w:u w:val="single"/>
              </w:rPr>
              <w:t>2</w:t>
            </w:r>
            <w:r w:rsidRPr="0040604D">
              <w:rPr>
                <w:rFonts w:ascii="Times New Roman" w:hAnsi="Times New Roman"/>
                <w:b/>
                <w:sz w:val="24"/>
                <w:u w:val="single"/>
              </w:rPr>
              <w:t>.2 gold</w:t>
            </w:r>
          </w:p>
          <w:p w:rsidR="00155E96" w:rsidRPr="00155E96" w:rsidRDefault="00155E96" w:rsidP="00155E96">
            <w:pPr>
              <w:rPr>
                <w:rStyle w:val="InstructionsTabelleberschrift"/>
                <w:rFonts w:ascii="Times New Roman" w:hAnsi="Times New Roman"/>
                <w:b w:val="0"/>
                <w:bCs w:val="0"/>
                <w:sz w:val="24"/>
                <w:u w:val="none"/>
                <w:lang w:val="cs-CZ"/>
              </w:rPr>
            </w:pPr>
            <w:r>
              <w:rPr>
                <w:rFonts w:ascii="Times New Roman" w:hAnsi="Times New Roman"/>
                <w:sz w:val="24"/>
              </w:rPr>
              <w:t xml:space="preserve">Point 12 of Annex III of Regulation </w:t>
            </w:r>
            <w:r w:rsidR="00994617">
              <w:rPr>
                <w:rFonts w:ascii="Times New Roman" w:hAnsi="Times New Roman"/>
                <w:sz w:val="24"/>
              </w:rPr>
              <w:t xml:space="preserve">(EU) No </w:t>
            </w:r>
            <w:r>
              <w:rPr>
                <w:rFonts w:ascii="Times New Roman" w:hAnsi="Times New Roman"/>
                <w:sz w:val="24"/>
              </w:rPr>
              <w:t>575/2013</w:t>
            </w:r>
            <w:r w:rsidR="00DC6350">
              <w:rPr>
                <w:rFonts w:ascii="Times New Roman" w:hAnsi="Times New Roman"/>
                <w:sz w:val="24"/>
              </w:rPr>
              <w:t>.</w:t>
            </w:r>
          </w:p>
          <w:p w:rsidR="009E264D" w:rsidRPr="0040604D" w:rsidRDefault="00B85053" w:rsidP="00B85053">
            <w:pPr>
              <w:spacing w:before="0" w:after="0"/>
              <w:rPr>
                <w:rFonts w:ascii="Times New Roman" w:hAnsi="Times New Roman"/>
                <w:bCs/>
                <w:sz w:val="24"/>
                <w:lang w:eastAsia="de-DE"/>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he amount of cash outflows reported in item 1.2.</w:t>
            </w:r>
            <w:r w:rsidR="00204D9A">
              <w:rPr>
                <w:rStyle w:val="InstructionsTabelleberschrift"/>
                <w:rFonts w:ascii="Times New Roman" w:hAnsi="Times New Roman"/>
                <w:b w:val="0"/>
                <w:sz w:val="24"/>
                <w:u w:val="none"/>
                <w:lang w:eastAsia="de-DE"/>
              </w:rPr>
              <w:t>2</w:t>
            </w:r>
            <w:r w:rsidR="009E264D" w:rsidRPr="0040604D">
              <w:rPr>
                <w:rStyle w:val="InstructionsTabelleberschrift"/>
                <w:rFonts w:ascii="Times New Roman" w:hAnsi="Times New Roman"/>
                <w:b w:val="0"/>
                <w:sz w:val="24"/>
                <w:u w:val="none"/>
                <w:lang w:eastAsia="de-DE"/>
              </w:rPr>
              <w:t xml:space="preserve">, </w:t>
            </w:r>
            <w:r w:rsidR="00743492">
              <w:rPr>
                <w:rStyle w:val="InstructionsTabelleberschrift"/>
                <w:rFonts w:ascii="Times New Roman" w:hAnsi="Times New Roman"/>
                <w:b w:val="0"/>
                <w:sz w:val="24"/>
                <w:u w:val="none"/>
                <w:lang w:eastAsia="de-DE"/>
              </w:rPr>
              <w:t>which</w:t>
            </w:r>
            <w:r w:rsidR="009E264D" w:rsidRPr="0040604D">
              <w:rPr>
                <w:rStyle w:val="InstructionsTabelleberschrift"/>
                <w:rFonts w:ascii="Times New Roman" w:hAnsi="Times New Roman"/>
                <w:b w:val="0"/>
                <w:sz w:val="24"/>
                <w:u w:val="none"/>
                <w:lang w:eastAsia="de-DE"/>
              </w:rPr>
              <w:t xml:space="preserve"> is collateralised by gold listed on a recognised exchange</w:t>
            </w:r>
            <w:r w:rsidR="003E7307">
              <w:rPr>
                <w:rStyle w:val="InstructionsTabelleberschrift"/>
                <w:rFonts w:ascii="Times New Roman" w:hAnsi="Times New Roman"/>
                <w:b w:val="0"/>
                <w:sz w:val="24"/>
                <w:u w:val="none"/>
                <w:lang w:eastAsia="de-DE"/>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320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1.2.</w:t>
            </w:r>
            <w:r w:rsidR="000038B0">
              <w:rPr>
                <w:rFonts w:ascii="Times New Roman" w:hAnsi="Times New Roman"/>
                <w:b/>
                <w:sz w:val="24"/>
                <w:u w:val="single"/>
              </w:rPr>
              <w:t>2.3</w:t>
            </w:r>
            <w:r w:rsidR="003E309A">
              <w:rPr>
                <w:rFonts w:ascii="Times New Roman" w:hAnsi="Times New Roman"/>
                <w:b/>
                <w:sz w:val="24"/>
                <w:u w:val="single"/>
              </w:rPr>
              <w:t xml:space="preserve"> </w:t>
            </w:r>
            <w:r w:rsidRPr="0040604D">
              <w:rPr>
                <w:rFonts w:ascii="Times New Roman" w:hAnsi="Times New Roman"/>
                <w:b/>
                <w:sz w:val="24"/>
                <w:u w:val="single"/>
              </w:rPr>
              <w:t>other assets</w:t>
            </w:r>
          </w:p>
          <w:p w:rsidR="009E264D" w:rsidRPr="008A1DB9" w:rsidRDefault="00B85053" w:rsidP="00B85053">
            <w:pPr>
              <w:rPr>
                <w:rFonts w:ascii="Times New Roman" w:hAnsi="Times New Roman"/>
                <w:sz w:val="24"/>
              </w:rPr>
            </w:pPr>
            <w:r>
              <w:rPr>
                <w:rStyle w:val="InstructionsTabelleberschrift"/>
                <w:rFonts w:ascii="Times New Roman" w:hAnsi="Times New Roman"/>
                <w:b w:val="0"/>
                <w:sz w:val="24"/>
                <w:u w:val="none"/>
                <w:lang w:eastAsia="de-DE"/>
              </w:rPr>
              <w:t>T</w:t>
            </w:r>
            <w:r w:rsidR="009E264D" w:rsidRPr="0040604D">
              <w:rPr>
                <w:rStyle w:val="InstructionsTabelleberschrift"/>
                <w:rFonts w:ascii="Times New Roman" w:hAnsi="Times New Roman"/>
                <w:b w:val="0"/>
                <w:sz w:val="24"/>
                <w:u w:val="none"/>
                <w:lang w:eastAsia="de-DE"/>
              </w:rPr>
              <w:t>he amount of cash outflows reported in item 1.2</w:t>
            </w:r>
            <w:r w:rsidR="000038B0">
              <w:rPr>
                <w:rStyle w:val="InstructionsTabelleberschrift"/>
                <w:rFonts w:ascii="Times New Roman" w:hAnsi="Times New Roman"/>
                <w:b w:val="0"/>
                <w:sz w:val="24"/>
                <w:u w:val="none"/>
                <w:lang w:eastAsia="de-DE"/>
              </w:rPr>
              <w:t>.2</w:t>
            </w:r>
            <w:r>
              <w:rPr>
                <w:rStyle w:val="InstructionsTabelleberschrift"/>
                <w:rFonts w:ascii="Times New Roman" w:hAnsi="Times New Roman"/>
                <w:b w:val="0"/>
                <w:sz w:val="24"/>
                <w:u w:val="none"/>
                <w:lang w:eastAsia="de-DE"/>
              </w:rPr>
              <w:t>,</w:t>
            </w:r>
            <w:r w:rsidR="009E264D" w:rsidRPr="0040604D">
              <w:rPr>
                <w:rStyle w:val="InstructionsTabelleberschrift"/>
                <w:rFonts w:ascii="Times New Roman" w:hAnsi="Times New Roman"/>
                <w:b w:val="0"/>
                <w:sz w:val="24"/>
                <w:u w:val="none"/>
                <w:lang w:eastAsia="de-DE"/>
              </w:rPr>
              <w:t xml:space="preserve"> </w:t>
            </w:r>
            <w:r w:rsidR="00743492">
              <w:rPr>
                <w:rStyle w:val="InstructionsTabelleberschrift"/>
                <w:rFonts w:ascii="Times New Roman" w:hAnsi="Times New Roman"/>
                <w:b w:val="0"/>
                <w:sz w:val="24"/>
                <w:u w:val="none"/>
                <w:lang w:eastAsia="de-DE"/>
              </w:rPr>
              <w:t>which</w:t>
            </w:r>
            <w:r w:rsidR="009E264D" w:rsidRPr="0040604D">
              <w:rPr>
                <w:rStyle w:val="InstructionsTabelleberschrift"/>
                <w:rFonts w:ascii="Times New Roman" w:hAnsi="Times New Roman"/>
                <w:b w:val="0"/>
                <w:sz w:val="24"/>
                <w:u w:val="none"/>
                <w:lang w:eastAsia="de-DE"/>
              </w:rPr>
              <w:t xml:space="preserve"> is collateralised by all other assets not included in items 1.2.</w:t>
            </w:r>
            <w:r w:rsidR="008B16E3">
              <w:rPr>
                <w:rStyle w:val="InstructionsTabelleberschrift"/>
                <w:rFonts w:ascii="Times New Roman" w:hAnsi="Times New Roman"/>
                <w:b w:val="0"/>
                <w:sz w:val="24"/>
                <w:u w:val="none"/>
                <w:lang w:eastAsia="de-DE"/>
              </w:rPr>
              <w:t>2.</w:t>
            </w:r>
            <w:r w:rsidR="009E264D" w:rsidRPr="0040604D">
              <w:rPr>
                <w:rStyle w:val="InstructionsTabelleberschrift"/>
                <w:rFonts w:ascii="Times New Roman" w:hAnsi="Times New Roman"/>
                <w:b w:val="0"/>
                <w:sz w:val="24"/>
                <w:u w:val="none"/>
                <w:lang w:eastAsia="de-DE"/>
              </w:rPr>
              <w:t>1-1.2.</w:t>
            </w:r>
            <w:r w:rsidR="008B16E3">
              <w:rPr>
                <w:rStyle w:val="InstructionsTabelleberschrift"/>
                <w:rFonts w:ascii="Times New Roman" w:hAnsi="Times New Roman"/>
                <w:b w:val="0"/>
                <w:sz w:val="24"/>
                <w:u w:val="none"/>
                <w:lang w:eastAsia="de-DE"/>
              </w:rPr>
              <w:t>2.2.</w:t>
            </w:r>
          </w:p>
        </w:tc>
      </w:tr>
      <w:tr w:rsidR="009A5620" w:rsidRPr="0040604D" w:rsidTr="0021066C">
        <w:trPr>
          <w:trHeight w:val="1134"/>
        </w:trPr>
        <w:tc>
          <w:tcPr>
            <w:tcW w:w="828" w:type="dxa"/>
            <w:vAlign w:val="center"/>
          </w:tcPr>
          <w:p w:rsidR="009A5620"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330</w:t>
            </w:r>
          </w:p>
        </w:tc>
        <w:tc>
          <w:tcPr>
            <w:tcW w:w="7766" w:type="dxa"/>
            <w:gridSpan w:val="2"/>
            <w:shd w:val="clear" w:color="auto" w:fill="auto"/>
            <w:noWrap/>
          </w:tcPr>
          <w:p w:rsidR="009A5620" w:rsidRDefault="009A5620" w:rsidP="009A5620">
            <w:pPr>
              <w:rPr>
                <w:rFonts w:ascii="Times New Roman" w:hAnsi="Times New Roman"/>
                <w:b/>
                <w:sz w:val="24"/>
                <w:u w:val="single"/>
              </w:rPr>
            </w:pPr>
            <w:r w:rsidRPr="0040604D">
              <w:rPr>
                <w:rFonts w:ascii="Times New Roman" w:hAnsi="Times New Roman"/>
                <w:b/>
                <w:sz w:val="24"/>
                <w:u w:val="single"/>
              </w:rPr>
              <w:t>1.</w:t>
            </w:r>
            <w:r>
              <w:rPr>
                <w:rFonts w:ascii="Times New Roman" w:hAnsi="Times New Roman"/>
                <w:b/>
                <w:sz w:val="24"/>
                <w:u w:val="single"/>
              </w:rPr>
              <w:t xml:space="preserve">2.3 of which to intragroup entities </w:t>
            </w:r>
          </w:p>
          <w:p w:rsidR="009A5620" w:rsidRPr="008A1DB9" w:rsidRDefault="00B85053" w:rsidP="00B85053">
            <w:pPr>
              <w:rPr>
                <w:rFonts w:ascii="Times New Roman" w:hAnsi="Times New Roman"/>
                <w:sz w:val="24"/>
              </w:rPr>
            </w:pPr>
            <w:r>
              <w:rPr>
                <w:rFonts w:ascii="Times New Roman" w:hAnsi="Times New Roman"/>
                <w:sz w:val="24"/>
              </w:rPr>
              <w:t>T</w:t>
            </w:r>
            <w:r w:rsidR="009A5620" w:rsidRPr="009A5620">
              <w:rPr>
                <w:rFonts w:ascii="Times New Roman" w:hAnsi="Times New Roman"/>
                <w:sz w:val="24"/>
              </w:rPr>
              <w:t>he amount of</w:t>
            </w:r>
            <w:r w:rsidR="002B1FDF" w:rsidRPr="009920BE">
              <w:rPr>
                <w:rFonts w:ascii="Times New Roman" w:hAnsi="Times New Roman"/>
                <w:sz w:val="24"/>
              </w:rPr>
              <w:t xml:space="preserve"> cash outflows </w:t>
            </w:r>
            <w:r w:rsidR="009A5620">
              <w:rPr>
                <w:rFonts w:ascii="Times New Roman" w:hAnsi="Times New Roman"/>
                <w:sz w:val="24"/>
              </w:rPr>
              <w:t>reported in item 1.2 to intragroup entities</w:t>
            </w:r>
            <w:r w:rsidR="002B1FDF" w:rsidRPr="002B1FDF">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340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w:t>
            </w:r>
            <w:r w:rsidR="00423C2C">
              <w:rPr>
                <w:rFonts w:ascii="Times New Roman" w:hAnsi="Times New Roman"/>
                <w:b/>
                <w:sz w:val="24"/>
                <w:u w:val="single"/>
              </w:rPr>
              <w:t>3</w:t>
            </w:r>
            <w:r w:rsidRPr="0040604D">
              <w:rPr>
                <w:rFonts w:ascii="Times New Roman" w:hAnsi="Times New Roman"/>
                <w:b/>
                <w:sz w:val="24"/>
                <w:u w:val="single"/>
              </w:rPr>
              <w:t xml:space="preserve"> Liabilities not reported in 1.2, resulting from deposits by </w:t>
            </w:r>
            <w:r w:rsidR="000A1E8B">
              <w:rPr>
                <w:rFonts w:ascii="Times New Roman" w:hAnsi="Times New Roman"/>
                <w:b/>
                <w:sz w:val="24"/>
                <w:u w:val="single"/>
              </w:rPr>
              <w:t>customers</w:t>
            </w:r>
            <w:r w:rsidR="000A1E8B" w:rsidRPr="0040604D">
              <w:rPr>
                <w:rFonts w:ascii="Times New Roman" w:hAnsi="Times New Roman"/>
                <w:b/>
                <w:sz w:val="24"/>
                <w:u w:val="single"/>
              </w:rPr>
              <w:t xml:space="preserve"> </w:t>
            </w:r>
            <w:r w:rsidRPr="0040604D">
              <w:rPr>
                <w:rFonts w:ascii="Times New Roman" w:hAnsi="Times New Roman"/>
                <w:b/>
                <w:sz w:val="24"/>
                <w:u w:val="single"/>
              </w:rPr>
              <w:t>that are not financial customers</w:t>
            </w:r>
          </w:p>
          <w:p w:rsidR="0085529D" w:rsidRDefault="009E264D">
            <w:pPr>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b w:val="0"/>
                <w:sz w:val="24"/>
                <w:u w:val="none"/>
                <w:lang w:eastAsia="de-DE"/>
              </w:rPr>
              <w:t xml:space="preserve">Cash outflows arising from all </w:t>
            </w:r>
            <w:r w:rsidR="00024284">
              <w:rPr>
                <w:rStyle w:val="InstructionsTabelleberschrift"/>
                <w:rFonts w:ascii="Times New Roman" w:hAnsi="Times New Roman"/>
                <w:b w:val="0"/>
                <w:sz w:val="24"/>
                <w:u w:val="none"/>
                <w:lang w:eastAsia="de-DE"/>
              </w:rPr>
              <w:t>deposits</w:t>
            </w:r>
            <w:r w:rsidR="00024284" w:rsidRPr="0040604D">
              <w:rPr>
                <w:rStyle w:val="InstructionsTabelleberschrift"/>
                <w:rFonts w:ascii="Times New Roman" w:hAnsi="Times New Roman"/>
                <w:b w:val="0"/>
                <w:sz w:val="24"/>
                <w:u w:val="none"/>
                <w:lang w:eastAsia="de-DE"/>
              </w:rPr>
              <w:t xml:space="preserve"> </w:t>
            </w:r>
            <w:r w:rsidRPr="0040604D">
              <w:rPr>
                <w:rStyle w:val="InstructionsTabelleberschrift"/>
                <w:rFonts w:ascii="Times New Roman" w:hAnsi="Times New Roman"/>
                <w:b w:val="0"/>
                <w:sz w:val="24"/>
                <w:u w:val="none"/>
                <w:lang w:eastAsia="de-DE"/>
              </w:rPr>
              <w:t xml:space="preserve">provided by </w:t>
            </w:r>
            <w:r w:rsidR="000A1E8B">
              <w:rPr>
                <w:rStyle w:val="InstructionsTabelleberschrift"/>
                <w:rFonts w:ascii="Times New Roman" w:hAnsi="Times New Roman"/>
                <w:b w:val="0"/>
                <w:sz w:val="24"/>
                <w:u w:val="none"/>
                <w:lang w:eastAsia="de-DE"/>
              </w:rPr>
              <w:t>customers</w:t>
            </w:r>
            <w:r w:rsidRPr="0040604D">
              <w:rPr>
                <w:rStyle w:val="InstructionsTabelleberschrift"/>
                <w:rFonts w:ascii="Times New Roman" w:hAnsi="Times New Roman"/>
                <w:b w:val="0"/>
                <w:sz w:val="24"/>
                <w:u w:val="none"/>
                <w:lang w:eastAsia="de-DE"/>
              </w:rPr>
              <w:t xml:space="preserve"> that are not financial customers</w:t>
            </w:r>
            <w:r w:rsidR="00423C2C">
              <w:rPr>
                <w:rStyle w:val="InstructionsTabelleberschrift"/>
                <w:rFonts w:ascii="Times New Roman" w:hAnsi="Times New Roman"/>
                <w:b w:val="0"/>
                <w:sz w:val="24"/>
                <w:u w:val="none"/>
                <w:lang w:eastAsia="de-DE"/>
              </w:rPr>
              <w:t xml:space="preserve"> with the exception of outflows </w:t>
            </w:r>
            <w:r w:rsidRPr="0040604D">
              <w:rPr>
                <w:rStyle w:val="InstructionsTabelleberschrift"/>
                <w:rFonts w:ascii="Times New Roman" w:hAnsi="Times New Roman"/>
                <w:b w:val="0"/>
                <w:sz w:val="24"/>
                <w:u w:val="none"/>
                <w:lang w:eastAsia="de-DE"/>
              </w:rPr>
              <w:t>reported in item 1.2</w:t>
            </w:r>
            <w:r w:rsidR="00DC29A9">
              <w:rPr>
                <w:rStyle w:val="InstructionsTabelleberschrift"/>
                <w:rFonts w:ascii="Times New Roman" w:hAnsi="Times New Roman"/>
                <w:b w:val="0"/>
                <w:sz w:val="24"/>
                <w:u w:val="none"/>
                <w:lang w:eastAsia="de-DE"/>
              </w:rPr>
              <w:t>.</w:t>
            </w:r>
            <w:r w:rsidR="00423C2C">
              <w:rPr>
                <w:rStyle w:val="InstructionsTabelleberschrift"/>
                <w:rFonts w:ascii="Times New Roman" w:hAnsi="Times New Roman"/>
                <w:b w:val="0"/>
                <w:sz w:val="24"/>
                <w:u w:val="none"/>
                <w:lang w:eastAsia="de-DE"/>
              </w:rPr>
              <w:t xml:space="preserve"> </w:t>
            </w:r>
            <w:r w:rsidR="00B4290D">
              <w:rPr>
                <w:rStyle w:val="InstructionsTabelleberschrift"/>
                <w:rFonts w:ascii="Times New Roman" w:hAnsi="Times New Roman"/>
                <w:b w:val="0"/>
                <w:sz w:val="24"/>
                <w:u w:val="none"/>
                <w:lang w:eastAsia="de-DE"/>
              </w:rPr>
              <w:t>Cash outflows arising from derivative transactions shall be reported in items 1.5 or 1.6.</w:t>
            </w:r>
          </w:p>
          <w:p w:rsidR="0085529D" w:rsidRPr="008A1DB9" w:rsidRDefault="009E264D" w:rsidP="00DC29A9">
            <w:pPr>
              <w:spacing w:before="0" w:after="0"/>
              <w:rPr>
                <w:rFonts w:ascii="Times New Roman" w:hAnsi="Times New Roman"/>
                <w:sz w:val="24"/>
              </w:rPr>
            </w:pPr>
            <w:bookmarkStart w:id="5" w:name="_DV_M6019"/>
            <w:bookmarkStart w:id="6" w:name="_DV_M6020"/>
            <w:bookmarkEnd w:id="5"/>
            <w:bookmarkEnd w:id="6"/>
            <w:r w:rsidRPr="0040604D">
              <w:rPr>
                <w:rStyle w:val="InstructionsTabelleberschrift"/>
                <w:rFonts w:ascii="Times New Roman" w:hAnsi="Times New Roman"/>
                <w:b w:val="0"/>
                <w:sz w:val="24"/>
                <w:u w:val="none"/>
                <w:lang w:eastAsia="de-DE"/>
              </w:rPr>
              <w:t>Deposits shall be reported according to their earliest possible contractual maturity date. Sight deposits or non-maturity deposits shall be reported in the ‘open maturity’ bucket.</w:t>
            </w:r>
            <w:r w:rsidR="001C44AD">
              <w:rPr>
                <w:rStyle w:val="InstructionsTabelleberschrift"/>
                <w:rFonts w:ascii="Times New Roman" w:hAnsi="Times New Roman"/>
                <w:b w:val="0"/>
                <w:sz w:val="24"/>
                <w:u w:val="none"/>
                <w:lang w:eastAsia="de-DE"/>
              </w:rPr>
              <w:t xml:space="preserve"> </w:t>
            </w:r>
            <w:r w:rsidR="00DC29A9">
              <w:rPr>
                <w:rStyle w:val="InstructionsTabelleberschrift"/>
                <w:rFonts w:ascii="Times New Roman" w:hAnsi="Times New Roman"/>
                <w:b w:val="0"/>
                <w:sz w:val="24"/>
                <w:u w:val="none"/>
                <w:lang w:eastAsia="de-DE"/>
              </w:rPr>
              <w:t>A s</w:t>
            </w:r>
            <w:r w:rsidR="001C44AD">
              <w:rPr>
                <w:rStyle w:val="InstructionsTabelleberschrift"/>
                <w:rFonts w:ascii="Times New Roman" w:hAnsi="Times New Roman"/>
                <w:b w:val="0"/>
                <w:sz w:val="24"/>
                <w:u w:val="none"/>
                <w:lang w:eastAsia="de-DE"/>
              </w:rPr>
              <w:t>ight deposit is a deposit that can be withdrawn immediately without notice</w:t>
            </w:r>
            <w:r w:rsidR="00E50088">
              <w:rPr>
                <w:rStyle w:val="InstructionsTabelleberschrift"/>
                <w:rFonts w:ascii="Times New Roman" w:hAnsi="Times New Roman"/>
                <w:b w:val="0"/>
                <w:sz w:val="24"/>
                <w:u w:val="none"/>
                <w:lang w:eastAsia="de-DE"/>
              </w:rPr>
              <w:t>.</w:t>
            </w:r>
            <w:r w:rsidR="001C44AD">
              <w:rPr>
                <w:rStyle w:val="InstructionsTabelleberschrift"/>
                <w:rFonts w:ascii="Times New Roman" w:hAnsi="Times New Roman"/>
                <w:b w:val="0"/>
                <w:sz w:val="24"/>
                <w:u w:val="none"/>
                <w:lang w:eastAsia="de-DE"/>
              </w:rPr>
              <w:t xml:space="preserve"> </w:t>
            </w:r>
          </w:p>
        </w:tc>
      </w:tr>
      <w:tr w:rsidR="00481671" w:rsidRPr="0040604D" w:rsidTr="0021066C">
        <w:trPr>
          <w:trHeight w:val="1134"/>
        </w:trPr>
        <w:tc>
          <w:tcPr>
            <w:tcW w:w="828" w:type="dxa"/>
            <w:vAlign w:val="center"/>
          </w:tcPr>
          <w:p w:rsidR="00481671"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350</w:t>
            </w:r>
          </w:p>
        </w:tc>
        <w:tc>
          <w:tcPr>
            <w:tcW w:w="7766" w:type="dxa"/>
            <w:gridSpan w:val="2"/>
            <w:shd w:val="clear" w:color="auto" w:fill="auto"/>
            <w:noWrap/>
          </w:tcPr>
          <w:p w:rsidR="00481671" w:rsidRPr="0040604D" w:rsidRDefault="00481671" w:rsidP="00481671">
            <w:pPr>
              <w:rPr>
                <w:rFonts w:ascii="Times New Roman" w:hAnsi="Times New Roman"/>
                <w:b/>
                <w:sz w:val="24"/>
                <w:u w:val="single"/>
              </w:rPr>
            </w:pPr>
            <w:r w:rsidRPr="0040604D">
              <w:rPr>
                <w:rFonts w:ascii="Times New Roman" w:hAnsi="Times New Roman"/>
                <w:b/>
                <w:sz w:val="24"/>
                <w:u w:val="single"/>
              </w:rPr>
              <w:t>1.</w:t>
            </w:r>
            <w:r>
              <w:rPr>
                <w:rFonts w:ascii="Times New Roman" w:hAnsi="Times New Roman"/>
                <w:b/>
                <w:sz w:val="24"/>
                <w:u w:val="single"/>
              </w:rPr>
              <w:t xml:space="preserve">3.1 </w:t>
            </w:r>
            <w:r w:rsidR="001E26C9">
              <w:rPr>
                <w:rFonts w:ascii="Times New Roman" w:hAnsi="Times New Roman"/>
                <w:b/>
                <w:sz w:val="24"/>
                <w:u w:val="single"/>
              </w:rPr>
              <w:t xml:space="preserve">by </w:t>
            </w:r>
            <w:r>
              <w:rPr>
                <w:rFonts w:ascii="Times New Roman" w:hAnsi="Times New Roman"/>
                <w:b/>
                <w:sz w:val="24"/>
                <w:u w:val="single"/>
              </w:rPr>
              <w:t>retail customers</w:t>
            </w:r>
          </w:p>
          <w:p w:rsidR="00EC65DE" w:rsidRPr="001F3C44" w:rsidRDefault="00743492" w:rsidP="00EC65DE">
            <w:pPr>
              <w:spacing w:before="0" w:after="0"/>
              <w:rPr>
                <w:rStyle w:val="InstructionsTabelleberschrift"/>
                <w:rFonts w:ascii="Times New Roman" w:hAnsi="Times New Roman"/>
                <w:sz w:val="24"/>
                <w:u w:val="none"/>
                <w:lang w:eastAsia="de-DE"/>
              </w:rPr>
            </w:pPr>
            <w:r w:rsidRPr="009920BE">
              <w:rPr>
                <w:rFonts w:ascii="Times New Roman" w:hAnsi="Times New Roman"/>
                <w:sz w:val="24"/>
              </w:rPr>
              <w:t>T</w:t>
            </w:r>
            <w:r w:rsidR="00EC65DE" w:rsidRPr="009920BE">
              <w:rPr>
                <w:rFonts w:ascii="Times New Roman" w:hAnsi="Times New Roman"/>
                <w:sz w:val="24"/>
              </w:rPr>
              <w:t xml:space="preserve">he amount of cash outflows reported in item 1.3 </w:t>
            </w:r>
            <w:r w:rsidRPr="009920BE">
              <w:rPr>
                <w:rFonts w:ascii="Times New Roman" w:hAnsi="Times New Roman"/>
                <w:sz w:val="24"/>
              </w:rPr>
              <w:t>which</w:t>
            </w:r>
            <w:r w:rsidR="00F34CDC" w:rsidRPr="009920BE">
              <w:rPr>
                <w:rFonts w:ascii="Times New Roman" w:hAnsi="Times New Roman"/>
                <w:sz w:val="24"/>
              </w:rPr>
              <w:t xml:space="preserve"> </w:t>
            </w:r>
            <w:r w:rsidR="000502EB" w:rsidRPr="009920BE">
              <w:rPr>
                <w:rFonts w:ascii="Times New Roman" w:hAnsi="Times New Roman"/>
                <w:sz w:val="24"/>
              </w:rPr>
              <w:t>derive</w:t>
            </w:r>
            <w:r w:rsidR="00DC6350">
              <w:rPr>
                <w:rFonts w:ascii="Times New Roman" w:hAnsi="Times New Roman"/>
                <w:sz w:val="24"/>
              </w:rPr>
              <w:t>s</w:t>
            </w:r>
            <w:r w:rsidR="003E309A">
              <w:rPr>
                <w:rFonts w:ascii="Times New Roman" w:hAnsi="Times New Roman"/>
                <w:sz w:val="24"/>
                <w:u w:val="single"/>
              </w:rPr>
              <w:t xml:space="preserve"> </w:t>
            </w:r>
            <w:r w:rsidR="00EC65DE" w:rsidRPr="001F3C44">
              <w:rPr>
                <w:rStyle w:val="InstructionsTabelleberschrift"/>
                <w:rFonts w:ascii="Times New Roman" w:hAnsi="Times New Roman"/>
                <w:b w:val="0"/>
                <w:sz w:val="24"/>
                <w:u w:val="none"/>
                <w:lang w:eastAsia="de-DE"/>
              </w:rPr>
              <w:t>from all retail deposits, in accor</w:t>
            </w:r>
            <w:r w:rsidR="001F3C44" w:rsidRPr="00DD1EF8">
              <w:rPr>
                <w:rStyle w:val="InstructionsTabelleberschrift"/>
                <w:rFonts w:ascii="Times New Roman" w:hAnsi="Times New Roman"/>
                <w:b w:val="0"/>
                <w:sz w:val="24"/>
                <w:u w:val="none"/>
                <w:lang w:eastAsia="de-DE"/>
              </w:rPr>
              <w:t xml:space="preserve">dance with Article 411(2) of Regulation </w:t>
            </w:r>
            <w:r w:rsidR="00994617">
              <w:rPr>
                <w:rFonts w:ascii="Times New Roman" w:hAnsi="Times New Roman"/>
                <w:sz w:val="24"/>
              </w:rPr>
              <w:t>(EU) No</w:t>
            </w:r>
            <w:r w:rsidR="00994617" w:rsidRPr="00024284">
              <w:rPr>
                <w:rStyle w:val="InstructionsTabelleberschrift"/>
                <w:rFonts w:ascii="Times New Roman" w:hAnsi="Times New Roman"/>
                <w:b w:val="0"/>
                <w:sz w:val="24"/>
                <w:u w:val="none"/>
                <w:lang w:eastAsia="de-DE"/>
              </w:rPr>
              <w:t xml:space="preserve"> </w:t>
            </w:r>
            <w:r w:rsidR="001F3C44" w:rsidRPr="00024284">
              <w:rPr>
                <w:rStyle w:val="InstructionsTabelleberschrift"/>
                <w:rFonts w:ascii="Times New Roman" w:hAnsi="Times New Roman"/>
                <w:b w:val="0"/>
                <w:sz w:val="24"/>
                <w:u w:val="none"/>
                <w:lang w:eastAsia="de-DE"/>
              </w:rPr>
              <w:t>575</w:t>
            </w:r>
            <w:r w:rsidR="001F3C44" w:rsidRPr="005D3867">
              <w:rPr>
                <w:rStyle w:val="InstructionsTabelleberschrift"/>
                <w:rFonts w:ascii="Times New Roman" w:hAnsi="Times New Roman"/>
                <w:b w:val="0"/>
                <w:sz w:val="24"/>
                <w:u w:val="none"/>
                <w:lang w:eastAsia="de-DE"/>
              </w:rPr>
              <w:t>/2013</w:t>
            </w:r>
            <w:r w:rsidR="00EC65DE" w:rsidRPr="006F11B5">
              <w:rPr>
                <w:rStyle w:val="InstructionsTabelleberschrift"/>
                <w:rFonts w:ascii="Times New Roman" w:hAnsi="Times New Roman"/>
                <w:b w:val="0"/>
                <w:sz w:val="24"/>
                <w:u w:val="none"/>
                <w:lang w:eastAsia="de-DE"/>
              </w:rPr>
              <w:t>.</w:t>
            </w:r>
          </w:p>
          <w:p w:rsidR="00481671" w:rsidRPr="0040604D" w:rsidRDefault="00481671" w:rsidP="0057741E">
            <w:pPr>
              <w:rPr>
                <w:rFonts w:ascii="Times New Roman" w:hAnsi="Times New Roman"/>
                <w:b/>
                <w:sz w:val="24"/>
                <w:u w:val="single"/>
              </w:rPr>
            </w:pP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360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w:t>
            </w:r>
            <w:r w:rsidR="009577E2">
              <w:rPr>
                <w:rFonts w:ascii="Times New Roman" w:hAnsi="Times New Roman"/>
                <w:b/>
                <w:sz w:val="24"/>
                <w:u w:val="single"/>
              </w:rPr>
              <w:t>3.2</w:t>
            </w:r>
            <w:r w:rsidRPr="0040604D">
              <w:rPr>
                <w:rFonts w:ascii="Times New Roman" w:hAnsi="Times New Roman"/>
                <w:b/>
                <w:sz w:val="24"/>
                <w:u w:val="single"/>
              </w:rPr>
              <w:t xml:space="preserve"> </w:t>
            </w:r>
            <w:r w:rsidR="001E26C9">
              <w:rPr>
                <w:rFonts w:ascii="Times New Roman" w:hAnsi="Times New Roman"/>
                <w:b/>
                <w:sz w:val="24"/>
                <w:u w:val="single"/>
              </w:rPr>
              <w:t xml:space="preserve">by </w:t>
            </w:r>
            <w:r w:rsidRPr="0040604D">
              <w:rPr>
                <w:rFonts w:ascii="Times New Roman" w:hAnsi="Times New Roman"/>
                <w:b/>
                <w:sz w:val="24"/>
                <w:u w:val="single"/>
              </w:rPr>
              <w:t>non-financial corporate customers</w:t>
            </w:r>
          </w:p>
          <w:p w:rsidR="009E264D" w:rsidRPr="0040604D" w:rsidRDefault="00743492" w:rsidP="00743492">
            <w:pPr>
              <w:rPr>
                <w:rFonts w:ascii="Times New Roman" w:hAnsi="Times New Roman"/>
                <w:sz w:val="24"/>
              </w:rPr>
            </w:pPr>
            <w:r>
              <w:rPr>
                <w:rFonts w:ascii="Times New Roman" w:hAnsi="Times New Roman"/>
                <w:sz w:val="24"/>
              </w:rPr>
              <w:t>T</w:t>
            </w:r>
            <w:r w:rsidR="009E264D" w:rsidRPr="0040604D">
              <w:rPr>
                <w:rFonts w:ascii="Times New Roman" w:hAnsi="Times New Roman"/>
                <w:sz w:val="24"/>
              </w:rPr>
              <w:t xml:space="preserve">he amount of </w:t>
            </w:r>
            <w:r w:rsidR="009E264D">
              <w:rPr>
                <w:rFonts w:ascii="Times New Roman" w:hAnsi="Times New Roman"/>
                <w:sz w:val="24"/>
              </w:rPr>
              <w:t xml:space="preserve">cash outflows </w:t>
            </w:r>
            <w:r w:rsidR="009E264D" w:rsidRPr="0040604D">
              <w:rPr>
                <w:rFonts w:ascii="Times New Roman" w:hAnsi="Times New Roman"/>
                <w:sz w:val="24"/>
              </w:rPr>
              <w:t>reported in item 1.</w:t>
            </w:r>
            <w:r w:rsidR="009577E2">
              <w:rPr>
                <w:rFonts w:ascii="Times New Roman" w:hAnsi="Times New Roman"/>
                <w:sz w:val="24"/>
              </w:rPr>
              <w:t>3</w:t>
            </w:r>
            <w:r w:rsidR="009E264D" w:rsidRPr="0040604D">
              <w:rPr>
                <w:rFonts w:ascii="Times New Roman" w:hAnsi="Times New Roman"/>
                <w:sz w:val="24"/>
              </w:rPr>
              <w:t xml:space="preserve">, </w:t>
            </w:r>
            <w:r>
              <w:rPr>
                <w:rFonts w:ascii="Times New Roman" w:hAnsi="Times New Roman"/>
                <w:sz w:val="24"/>
              </w:rPr>
              <w:t>which</w:t>
            </w:r>
            <w:r w:rsidR="009E264D" w:rsidRPr="0040604D">
              <w:rPr>
                <w:rFonts w:ascii="Times New Roman" w:hAnsi="Times New Roman"/>
                <w:sz w:val="24"/>
              </w:rPr>
              <w:t xml:space="preserve"> </w:t>
            </w:r>
            <w:r w:rsidR="009577E2">
              <w:rPr>
                <w:rFonts w:ascii="Times New Roman" w:hAnsi="Times New Roman"/>
                <w:sz w:val="24"/>
              </w:rPr>
              <w:t>derive</w:t>
            </w:r>
            <w:r w:rsidR="00DC6350">
              <w:rPr>
                <w:rFonts w:ascii="Times New Roman" w:hAnsi="Times New Roman"/>
                <w:sz w:val="24"/>
              </w:rPr>
              <w:t>s</w:t>
            </w:r>
            <w:r w:rsidR="009577E2">
              <w:rPr>
                <w:rFonts w:ascii="Times New Roman" w:hAnsi="Times New Roman"/>
                <w:sz w:val="24"/>
              </w:rPr>
              <w:t xml:space="preserve"> from</w:t>
            </w:r>
            <w:r w:rsidR="009E264D" w:rsidRPr="0040604D">
              <w:rPr>
                <w:rFonts w:ascii="Times New Roman" w:hAnsi="Times New Roman"/>
                <w:sz w:val="24"/>
              </w:rPr>
              <w:t xml:space="preserve"> non-financial corporate customers.</w:t>
            </w:r>
          </w:p>
        </w:tc>
      </w:tr>
      <w:tr w:rsidR="009E264D" w:rsidRPr="0040604D" w:rsidTr="008A1DB9">
        <w:trPr>
          <w:trHeight w:val="819"/>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370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w:t>
            </w:r>
            <w:r w:rsidR="009577E2">
              <w:rPr>
                <w:rFonts w:ascii="Times New Roman" w:hAnsi="Times New Roman"/>
                <w:b/>
                <w:sz w:val="24"/>
                <w:u w:val="single"/>
              </w:rPr>
              <w:t>3.2.1</w:t>
            </w:r>
            <w:r w:rsidRPr="0040604D">
              <w:rPr>
                <w:rFonts w:ascii="Times New Roman" w:hAnsi="Times New Roman"/>
                <w:b/>
                <w:sz w:val="24"/>
                <w:u w:val="single"/>
              </w:rPr>
              <w:t xml:space="preserve"> of which are intragroup entities</w:t>
            </w:r>
          </w:p>
          <w:p w:rsidR="009E264D" w:rsidRPr="0040604D" w:rsidRDefault="00743492" w:rsidP="00743492">
            <w:pPr>
              <w:rPr>
                <w:rFonts w:ascii="Times New Roman" w:hAnsi="Times New Roman"/>
                <w:b/>
                <w:sz w:val="24"/>
                <w:u w:val="single"/>
              </w:rPr>
            </w:pPr>
            <w:r>
              <w:rPr>
                <w:rFonts w:ascii="Times New Roman" w:hAnsi="Times New Roman"/>
                <w:sz w:val="24"/>
              </w:rPr>
              <w:t>T</w:t>
            </w:r>
            <w:r w:rsidR="009E264D" w:rsidRPr="0040604D">
              <w:rPr>
                <w:rFonts w:ascii="Times New Roman" w:hAnsi="Times New Roman"/>
                <w:sz w:val="24"/>
              </w:rPr>
              <w:t xml:space="preserve">he amount of </w:t>
            </w:r>
            <w:r w:rsidR="009E264D">
              <w:rPr>
                <w:rFonts w:ascii="Times New Roman" w:hAnsi="Times New Roman"/>
                <w:sz w:val="24"/>
              </w:rPr>
              <w:t xml:space="preserve">cash outflows </w:t>
            </w:r>
            <w:r w:rsidR="009E264D" w:rsidRPr="0040604D">
              <w:rPr>
                <w:rFonts w:ascii="Times New Roman" w:hAnsi="Times New Roman"/>
                <w:sz w:val="24"/>
              </w:rPr>
              <w:t>reported in item 1.</w:t>
            </w:r>
            <w:r w:rsidR="009577E2">
              <w:rPr>
                <w:rFonts w:ascii="Times New Roman" w:hAnsi="Times New Roman"/>
                <w:sz w:val="24"/>
              </w:rPr>
              <w:t>3.2</w:t>
            </w:r>
            <w:r w:rsidR="009E264D" w:rsidRPr="0040604D">
              <w:rPr>
                <w:rFonts w:ascii="Times New Roman" w:hAnsi="Times New Roman"/>
                <w:sz w:val="24"/>
              </w:rPr>
              <w:t xml:space="preserve">, </w:t>
            </w:r>
            <w:r>
              <w:rPr>
                <w:rFonts w:ascii="Times New Roman" w:hAnsi="Times New Roman"/>
                <w:sz w:val="24"/>
              </w:rPr>
              <w:t>which</w:t>
            </w:r>
            <w:r w:rsidR="009E264D" w:rsidRPr="0040604D">
              <w:rPr>
                <w:rFonts w:ascii="Times New Roman" w:hAnsi="Times New Roman"/>
                <w:sz w:val="24"/>
              </w:rPr>
              <w:t xml:space="preserve"> derive</w:t>
            </w:r>
            <w:r w:rsidR="00DC6350">
              <w:rPr>
                <w:rFonts w:ascii="Times New Roman" w:hAnsi="Times New Roman"/>
                <w:sz w:val="24"/>
              </w:rPr>
              <w:t>s</w:t>
            </w:r>
            <w:r w:rsidR="009E264D" w:rsidRPr="0040604D">
              <w:rPr>
                <w:rFonts w:ascii="Times New Roman" w:hAnsi="Times New Roman"/>
                <w:sz w:val="24"/>
              </w:rPr>
              <w:t xml:space="preserve"> from intragroup entities.</w:t>
            </w:r>
          </w:p>
        </w:tc>
      </w:tr>
      <w:tr w:rsidR="009577E2" w:rsidRPr="0040604D" w:rsidTr="0021066C">
        <w:trPr>
          <w:trHeight w:val="819"/>
        </w:trPr>
        <w:tc>
          <w:tcPr>
            <w:tcW w:w="828" w:type="dxa"/>
            <w:vAlign w:val="center"/>
          </w:tcPr>
          <w:p w:rsidR="009577E2"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380</w:t>
            </w:r>
          </w:p>
        </w:tc>
        <w:tc>
          <w:tcPr>
            <w:tcW w:w="7766" w:type="dxa"/>
            <w:gridSpan w:val="2"/>
            <w:shd w:val="clear" w:color="auto" w:fill="auto"/>
            <w:noWrap/>
          </w:tcPr>
          <w:p w:rsidR="009577E2" w:rsidRDefault="009577E2" w:rsidP="009577E2">
            <w:pPr>
              <w:rPr>
                <w:rFonts w:ascii="Times New Roman" w:hAnsi="Times New Roman"/>
                <w:b/>
                <w:sz w:val="24"/>
                <w:u w:val="single"/>
              </w:rPr>
            </w:pPr>
            <w:r w:rsidRPr="0040604D">
              <w:rPr>
                <w:rFonts w:ascii="Times New Roman" w:hAnsi="Times New Roman"/>
                <w:b/>
                <w:sz w:val="24"/>
                <w:u w:val="single"/>
              </w:rPr>
              <w:t>1.</w:t>
            </w:r>
            <w:r>
              <w:rPr>
                <w:rFonts w:ascii="Times New Roman" w:hAnsi="Times New Roman"/>
                <w:b/>
                <w:sz w:val="24"/>
                <w:u w:val="single"/>
              </w:rPr>
              <w:t xml:space="preserve">3.3 </w:t>
            </w:r>
            <w:r w:rsidR="001E26C9">
              <w:rPr>
                <w:rFonts w:ascii="Times New Roman" w:hAnsi="Times New Roman"/>
                <w:b/>
                <w:sz w:val="24"/>
                <w:u w:val="single"/>
              </w:rPr>
              <w:t xml:space="preserve">by </w:t>
            </w:r>
            <w:r>
              <w:rPr>
                <w:rFonts w:ascii="Times New Roman" w:hAnsi="Times New Roman"/>
                <w:b/>
                <w:sz w:val="24"/>
                <w:u w:val="single"/>
              </w:rPr>
              <w:t>central banks</w:t>
            </w:r>
          </w:p>
          <w:p w:rsidR="009577E2" w:rsidRPr="009577E2" w:rsidRDefault="00743492" w:rsidP="00743492">
            <w:pPr>
              <w:rPr>
                <w:rFonts w:ascii="Times New Roman" w:hAnsi="Times New Roman"/>
                <w:sz w:val="24"/>
              </w:rPr>
            </w:pPr>
            <w:r>
              <w:rPr>
                <w:rFonts w:ascii="Times New Roman" w:hAnsi="Times New Roman"/>
                <w:sz w:val="24"/>
              </w:rPr>
              <w:t>T</w:t>
            </w:r>
            <w:r w:rsidR="009577E2" w:rsidRPr="009577E2">
              <w:rPr>
                <w:rFonts w:ascii="Times New Roman" w:hAnsi="Times New Roman"/>
                <w:sz w:val="24"/>
              </w:rPr>
              <w:t>he amount of cash outflows reported in item 1.3</w:t>
            </w:r>
            <w:r>
              <w:rPr>
                <w:rFonts w:ascii="Times New Roman" w:hAnsi="Times New Roman"/>
                <w:sz w:val="24"/>
              </w:rPr>
              <w:t>,</w:t>
            </w:r>
            <w:r w:rsidR="009577E2" w:rsidRPr="009577E2">
              <w:rPr>
                <w:rFonts w:ascii="Times New Roman" w:hAnsi="Times New Roman"/>
                <w:sz w:val="24"/>
              </w:rPr>
              <w:t xml:space="preserve"> </w:t>
            </w:r>
            <w:r>
              <w:rPr>
                <w:rFonts w:ascii="Times New Roman" w:hAnsi="Times New Roman"/>
                <w:sz w:val="24"/>
              </w:rPr>
              <w:t>which</w:t>
            </w:r>
            <w:r w:rsidR="009577E2" w:rsidRPr="009577E2">
              <w:rPr>
                <w:rFonts w:ascii="Times New Roman" w:hAnsi="Times New Roman"/>
                <w:sz w:val="24"/>
              </w:rPr>
              <w:t xml:space="preserve"> derive</w:t>
            </w:r>
            <w:r w:rsidR="00DC6350">
              <w:rPr>
                <w:rFonts w:ascii="Times New Roman" w:hAnsi="Times New Roman"/>
                <w:sz w:val="24"/>
              </w:rPr>
              <w:t>s</w:t>
            </w:r>
            <w:r w:rsidR="009577E2" w:rsidRPr="009577E2">
              <w:rPr>
                <w:rFonts w:ascii="Times New Roman" w:hAnsi="Times New Roman"/>
                <w:sz w:val="24"/>
              </w:rPr>
              <w:t xml:space="preserve"> from central </w:t>
            </w:r>
            <w:r w:rsidR="009577E2" w:rsidRPr="009577E2">
              <w:rPr>
                <w:rFonts w:ascii="Times New Roman" w:hAnsi="Times New Roman"/>
                <w:sz w:val="24"/>
              </w:rPr>
              <w:lastRenderedPageBreak/>
              <w:t>banks.</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lastRenderedPageBreak/>
              <w:t>390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w:t>
            </w:r>
            <w:r w:rsidR="00B02200">
              <w:rPr>
                <w:rFonts w:ascii="Times New Roman" w:hAnsi="Times New Roman"/>
                <w:b/>
                <w:sz w:val="24"/>
                <w:u w:val="single"/>
              </w:rPr>
              <w:t>3.4</w:t>
            </w:r>
            <w:r w:rsidR="003E309A">
              <w:rPr>
                <w:rFonts w:ascii="Times New Roman" w:hAnsi="Times New Roman"/>
                <w:b/>
                <w:sz w:val="24"/>
                <w:u w:val="single"/>
              </w:rPr>
              <w:t xml:space="preserve"> </w:t>
            </w:r>
            <w:r w:rsidR="001E26C9">
              <w:rPr>
                <w:rFonts w:ascii="Times New Roman" w:hAnsi="Times New Roman"/>
                <w:b/>
                <w:sz w:val="24"/>
                <w:u w:val="single"/>
              </w:rPr>
              <w:t xml:space="preserve">by </w:t>
            </w:r>
            <w:r w:rsidRPr="0040604D">
              <w:rPr>
                <w:rFonts w:ascii="Times New Roman" w:hAnsi="Times New Roman"/>
                <w:b/>
                <w:sz w:val="24"/>
                <w:u w:val="single"/>
              </w:rPr>
              <w:t xml:space="preserve">other entities </w:t>
            </w:r>
          </w:p>
          <w:p w:rsidR="009E264D" w:rsidRPr="0040604D" w:rsidRDefault="00743492" w:rsidP="00DC6350">
            <w:pPr>
              <w:rPr>
                <w:rFonts w:ascii="Times New Roman" w:hAnsi="Times New Roman"/>
                <w:b/>
                <w:sz w:val="24"/>
                <w:u w:val="single"/>
              </w:rPr>
            </w:pPr>
            <w:r>
              <w:rPr>
                <w:rFonts w:ascii="Times New Roman" w:hAnsi="Times New Roman"/>
                <w:sz w:val="24"/>
              </w:rPr>
              <w:t>T</w:t>
            </w:r>
            <w:r w:rsidR="009E264D" w:rsidRPr="0040604D">
              <w:rPr>
                <w:rFonts w:ascii="Times New Roman" w:hAnsi="Times New Roman"/>
                <w:sz w:val="24"/>
              </w:rPr>
              <w:t xml:space="preserve">he amount of </w:t>
            </w:r>
            <w:r w:rsidR="009E264D">
              <w:rPr>
                <w:rFonts w:ascii="Times New Roman" w:hAnsi="Times New Roman"/>
                <w:sz w:val="24"/>
              </w:rPr>
              <w:t xml:space="preserve">cash outflows </w:t>
            </w:r>
            <w:r w:rsidR="009E264D" w:rsidRPr="0040604D">
              <w:rPr>
                <w:rFonts w:ascii="Times New Roman" w:hAnsi="Times New Roman"/>
                <w:sz w:val="24"/>
              </w:rPr>
              <w:t>reported in item 1.</w:t>
            </w:r>
            <w:r w:rsidR="00B02200">
              <w:rPr>
                <w:rFonts w:ascii="Times New Roman" w:hAnsi="Times New Roman"/>
                <w:sz w:val="24"/>
              </w:rPr>
              <w:t>3</w:t>
            </w:r>
            <w:r w:rsidR="009E264D" w:rsidRPr="0040604D">
              <w:rPr>
                <w:rFonts w:ascii="Times New Roman" w:hAnsi="Times New Roman"/>
                <w:sz w:val="24"/>
              </w:rPr>
              <w:t xml:space="preserve">, </w:t>
            </w:r>
            <w:r>
              <w:rPr>
                <w:rFonts w:ascii="Times New Roman" w:hAnsi="Times New Roman"/>
                <w:sz w:val="24"/>
              </w:rPr>
              <w:t>which</w:t>
            </w:r>
            <w:r w:rsidR="009E264D" w:rsidRPr="0040604D">
              <w:rPr>
                <w:rFonts w:ascii="Times New Roman" w:hAnsi="Times New Roman"/>
                <w:sz w:val="24"/>
              </w:rPr>
              <w:t xml:space="preserve"> </w:t>
            </w:r>
            <w:r w:rsidR="00DC6350">
              <w:rPr>
                <w:rFonts w:ascii="Times New Roman" w:hAnsi="Times New Roman"/>
                <w:sz w:val="24"/>
              </w:rPr>
              <w:t>is</w:t>
            </w:r>
            <w:r w:rsidR="00DC6350" w:rsidRPr="0040604D">
              <w:rPr>
                <w:rFonts w:ascii="Times New Roman" w:hAnsi="Times New Roman"/>
                <w:sz w:val="24"/>
              </w:rPr>
              <w:t xml:space="preserve"> </w:t>
            </w:r>
            <w:r w:rsidR="009E264D" w:rsidRPr="0040604D">
              <w:rPr>
                <w:rFonts w:ascii="Times New Roman" w:hAnsi="Times New Roman"/>
                <w:sz w:val="24"/>
              </w:rPr>
              <w:t xml:space="preserve">provided by </w:t>
            </w:r>
            <w:r w:rsidR="00B02200">
              <w:rPr>
                <w:rFonts w:ascii="Times New Roman" w:hAnsi="Times New Roman"/>
                <w:sz w:val="24"/>
              </w:rPr>
              <w:t>customers</w:t>
            </w:r>
            <w:r w:rsidR="00B02200" w:rsidRPr="0040604D">
              <w:rPr>
                <w:rFonts w:ascii="Times New Roman" w:hAnsi="Times New Roman"/>
                <w:sz w:val="24"/>
              </w:rPr>
              <w:t xml:space="preserve"> </w:t>
            </w:r>
            <w:r w:rsidR="009E264D" w:rsidRPr="0040604D">
              <w:rPr>
                <w:rFonts w:ascii="Times New Roman" w:hAnsi="Times New Roman"/>
                <w:sz w:val="24"/>
              </w:rPr>
              <w:t xml:space="preserve">other than </w:t>
            </w:r>
            <w:r w:rsidR="00B02200">
              <w:rPr>
                <w:rFonts w:ascii="Times New Roman" w:hAnsi="Times New Roman"/>
                <w:sz w:val="24"/>
              </w:rPr>
              <w:t>retail customers, non-financial corporate customers or central banks.</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400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w:t>
            </w:r>
            <w:r w:rsidR="00B02200">
              <w:rPr>
                <w:rFonts w:ascii="Times New Roman" w:hAnsi="Times New Roman"/>
                <w:b/>
                <w:sz w:val="24"/>
                <w:u w:val="single"/>
              </w:rPr>
              <w:t>3.4.1</w:t>
            </w:r>
            <w:r w:rsidR="003E309A">
              <w:rPr>
                <w:rFonts w:ascii="Times New Roman" w:hAnsi="Times New Roman"/>
                <w:b/>
                <w:sz w:val="24"/>
                <w:u w:val="single"/>
              </w:rPr>
              <w:t xml:space="preserve"> </w:t>
            </w:r>
            <w:r w:rsidRPr="0040604D">
              <w:rPr>
                <w:rFonts w:ascii="Times New Roman" w:hAnsi="Times New Roman"/>
                <w:b/>
                <w:sz w:val="24"/>
                <w:u w:val="single"/>
              </w:rPr>
              <w:t>of which are intragroup entities</w:t>
            </w:r>
          </w:p>
          <w:p w:rsidR="009E264D" w:rsidRPr="0040604D" w:rsidRDefault="00743492" w:rsidP="00743492">
            <w:pPr>
              <w:rPr>
                <w:rFonts w:ascii="Times New Roman" w:hAnsi="Times New Roman"/>
                <w:b/>
                <w:sz w:val="24"/>
                <w:u w:val="single"/>
              </w:rPr>
            </w:pPr>
            <w:r>
              <w:rPr>
                <w:rFonts w:ascii="Times New Roman" w:hAnsi="Times New Roman"/>
                <w:sz w:val="24"/>
              </w:rPr>
              <w:t>T</w:t>
            </w:r>
            <w:r w:rsidR="009E264D" w:rsidRPr="0040604D">
              <w:rPr>
                <w:rFonts w:ascii="Times New Roman" w:hAnsi="Times New Roman"/>
                <w:sz w:val="24"/>
              </w:rPr>
              <w:t xml:space="preserve">he amount of </w:t>
            </w:r>
            <w:r w:rsidR="009E264D">
              <w:rPr>
                <w:rFonts w:ascii="Times New Roman" w:hAnsi="Times New Roman"/>
                <w:sz w:val="24"/>
              </w:rPr>
              <w:t>cash outflows</w:t>
            </w:r>
            <w:r w:rsidR="009E264D" w:rsidRPr="0040604D">
              <w:rPr>
                <w:rFonts w:ascii="Times New Roman" w:hAnsi="Times New Roman"/>
                <w:sz w:val="24"/>
              </w:rPr>
              <w:t xml:space="preserve"> reported in item 1.</w:t>
            </w:r>
            <w:r w:rsidR="00B02200">
              <w:rPr>
                <w:rFonts w:ascii="Times New Roman" w:hAnsi="Times New Roman"/>
                <w:sz w:val="24"/>
              </w:rPr>
              <w:t>3.4</w:t>
            </w:r>
            <w:r w:rsidR="009E264D" w:rsidRPr="0040604D">
              <w:rPr>
                <w:rFonts w:ascii="Times New Roman" w:hAnsi="Times New Roman"/>
                <w:sz w:val="24"/>
              </w:rPr>
              <w:t xml:space="preserve">, </w:t>
            </w:r>
            <w:r>
              <w:rPr>
                <w:rFonts w:ascii="Times New Roman" w:hAnsi="Times New Roman"/>
                <w:sz w:val="24"/>
              </w:rPr>
              <w:t>which</w:t>
            </w:r>
            <w:r w:rsidR="009E264D" w:rsidRPr="0040604D">
              <w:rPr>
                <w:rFonts w:ascii="Times New Roman" w:hAnsi="Times New Roman"/>
                <w:sz w:val="24"/>
              </w:rPr>
              <w:t xml:space="preserve"> derive</w:t>
            </w:r>
            <w:r w:rsidR="00DC6350">
              <w:rPr>
                <w:rFonts w:ascii="Times New Roman" w:hAnsi="Times New Roman"/>
                <w:sz w:val="24"/>
              </w:rPr>
              <w:t>s</w:t>
            </w:r>
            <w:r w:rsidR="009E264D" w:rsidRPr="0040604D">
              <w:rPr>
                <w:rFonts w:ascii="Times New Roman" w:hAnsi="Times New Roman"/>
                <w:sz w:val="24"/>
              </w:rPr>
              <w:t xml:space="preserve"> from intragroup entities.</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410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w:t>
            </w:r>
            <w:r w:rsidR="00B02200">
              <w:rPr>
                <w:rFonts w:ascii="Times New Roman" w:hAnsi="Times New Roman"/>
                <w:b/>
                <w:sz w:val="24"/>
                <w:u w:val="single"/>
              </w:rPr>
              <w:t>3.4.2</w:t>
            </w:r>
            <w:r w:rsidR="003E309A">
              <w:rPr>
                <w:rFonts w:ascii="Times New Roman" w:hAnsi="Times New Roman"/>
                <w:b/>
                <w:sz w:val="24"/>
                <w:u w:val="single"/>
              </w:rPr>
              <w:t xml:space="preserve"> </w:t>
            </w:r>
            <w:r w:rsidRPr="0040604D">
              <w:rPr>
                <w:rFonts w:ascii="Times New Roman" w:hAnsi="Times New Roman"/>
                <w:b/>
                <w:sz w:val="24"/>
                <w:u w:val="single"/>
              </w:rPr>
              <w:t>of which are public sector entities</w:t>
            </w:r>
          </w:p>
          <w:p w:rsidR="009E264D" w:rsidRPr="0040604D" w:rsidRDefault="00743492" w:rsidP="00743492">
            <w:pPr>
              <w:rPr>
                <w:rFonts w:ascii="Times New Roman" w:hAnsi="Times New Roman"/>
                <w:b/>
                <w:sz w:val="24"/>
                <w:u w:val="single"/>
              </w:rPr>
            </w:pPr>
            <w:r>
              <w:rPr>
                <w:rFonts w:ascii="Times New Roman" w:hAnsi="Times New Roman"/>
                <w:sz w:val="24"/>
              </w:rPr>
              <w:t>T</w:t>
            </w:r>
            <w:r w:rsidR="009E264D" w:rsidRPr="0040604D">
              <w:rPr>
                <w:rFonts w:ascii="Times New Roman" w:hAnsi="Times New Roman"/>
                <w:sz w:val="24"/>
              </w:rPr>
              <w:t xml:space="preserve">he amount of </w:t>
            </w:r>
            <w:r w:rsidR="009E264D">
              <w:rPr>
                <w:rFonts w:ascii="Times New Roman" w:hAnsi="Times New Roman"/>
                <w:sz w:val="24"/>
              </w:rPr>
              <w:t>cash outflows</w:t>
            </w:r>
            <w:r w:rsidR="009E264D" w:rsidRPr="0040604D">
              <w:rPr>
                <w:rFonts w:ascii="Times New Roman" w:hAnsi="Times New Roman"/>
                <w:sz w:val="24"/>
              </w:rPr>
              <w:t xml:space="preserve"> reported in item 1.</w:t>
            </w:r>
            <w:r w:rsidR="00B02200">
              <w:rPr>
                <w:rFonts w:ascii="Times New Roman" w:hAnsi="Times New Roman"/>
                <w:sz w:val="24"/>
              </w:rPr>
              <w:t>3.4</w:t>
            </w:r>
            <w:r w:rsidR="009E264D" w:rsidRPr="0040604D">
              <w:rPr>
                <w:rFonts w:ascii="Times New Roman" w:hAnsi="Times New Roman"/>
                <w:sz w:val="24"/>
              </w:rPr>
              <w:t xml:space="preserve">, </w:t>
            </w:r>
            <w:r>
              <w:rPr>
                <w:rFonts w:ascii="Times New Roman" w:hAnsi="Times New Roman"/>
                <w:sz w:val="24"/>
              </w:rPr>
              <w:t>which</w:t>
            </w:r>
            <w:r w:rsidR="009E264D" w:rsidRPr="0040604D">
              <w:rPr>
                <w:rFonts w:ascii="Times New Roman" w:hAnsi="Times New Roman"/>
                <w:sz w:val="24"/>
              </w:rPr>
              <w:t xml:space="preserve"> derive</w:t>
            </w:r>
            <w:r w:rsidR="00DC6350">
              <w:rPr>
                <w:rFonts w:ascii="Times New Roman" w:hAnsi="Times New Roman"/>
                <w:sz w:val="24"/>
              </w:rPr>
              <w:t>s</w:t>
            </w:r>
            <w:r w:rsidR="009E264D" w:rsidRPr="0040604D">
              <w:rPr>
                <w:rFonts w:ascii="Times New Roman" w:hAnsi="Times New Roman"/>
                <w:sz w:val="24"/>
              </w:rPr>
              <w:t xml:space="preserve"> from public sector entities.</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eastAsiaTheme="majorEastAsia" w:hAnsi="Times New Roman"/>
                <w:b w:val="0"/>
                <w:sz w:val="24"/>
                <w:u w:val="none"/>
                <w:lang w:eastAsia="de-DE"/>
              </w:rPr>
            </w:pPr>
            <w:r>
              <w:rPr>
                <w:rStyle w:val="InstructionsTabelleberschrift"/>
                <w:rFonts w:ascii="Times New Roman" w:eastAsiaTheme="majorEastAsia" w:hAnsi="Times New Roman"/>
                <w:b w:val="0"/>
                <w:sz w:val="24"/>
                <w:u w:val="none"/>
                <w:lang w:eastAsia="de-DE"/>
              </w:rPr>
              <w:t>420</w:t>
            </w:r>
          </w:p>
        </w:tc>
        <w:tc>
          <w:tcPr>
            <w:tcW w:w="7766" w:type="dxa"/>
            <w:gridSpan w:val="2"/>
            <w:shd w:val="clear" w:color="auto" w:fill="auto"/>
            <w:noWrap/>
          </w:tcPr>
          <w:p w:rsidR="009E264D" w:rsidRDefault="009E264D" w:rsidP="0057741E">
            <w:pPr>
              <w:rPr>
                <w:rFonts w:ascii="Times New Roman" w:hAnsi="Times New Roman"/>
                <w:b/>
                <w:sz w:val="24"/>
                <w:u w:val="single"/>
              </w:rPr>
            </w:pPr>
            <w:r w:rsidRPr="0040604D">
              <w:rPr>
                <w:rFonts w:ascii="Times New Roman" w:hAnsi="Times New Roman"/>
                <w:b/>
                <w:sz w:val="24"/>
                <w:u w:val="single"/>
              </w:rPr>
              <w:t>1.</w:t>
            </w:r>
            <w:r w:rsidR="00887ECC">
              <w:rPr>
                <w:rFonts w:ascii="Times New Roman" w:hAnsi="Times New Roman"/>
                <w:b/>
                <w:sz w:val="24"/>
                <w:u w:val="single"/>
              </w:rPr>
              <w:t>4</w:t>
            </w:r>
            <w:r w:rsidRPr="0040604D">
              <w:rPr>
                <w:rFonts w:ascii="Times New Roman" w:hAnsi="Times New Roman"/>
                <w:b/>
                <w:sz w:val="24"/>
                <w:u w:val="single"/>
              </w:rPr>
              <w:t xml:space="preserve"> Liabilities not reported in 1.2, resulting from deposits by c</w:t>
            </w:r>
            <w:r w:rsidR="000852A1">
              <w:rPr>
                <w:rFonts w:ascii="Times New Roman" w:hAnsi="Times New Roman"/>
                <w:b/>
                <w:sz w:val="24"/>
                <w:u w:val="single"/>
              </w:rPr>
              <w:t>ustomers</w:t>
            </w:r>
            <w:r w:rsidRPr="0040604D">
              <w:rPr>
                <w:rFonts w:ascii="Times New Roman" w:hAnsi="Times New Roman"/>
                <w:b/>
                <w:sz w:val="24"/>
                <w:u w:val="single"/>
              </w:rPr>
              <w:t xml:space="preserve"> that are financial customers</w:t>
            </w:r>
          </w:p>
          <w:p w:rsidR="00A12578" w:rsidRDefault="00A12578" w:rsidP="009920BE">
            <w:r w:rsidRPr="008A1DB9">
              <w:rPr>
                <w:rFonts w:ascii="Times New Roman" w:hAnsi="Times New Roman"/>
                <w:sz w:val="24"/>
                <w:u w:val="single"/>
              </w:rPr>
              <w:t>Cash outflows arising from all deposits provided by c</w:t>
            </w:r>
            <w:r w:rsidR="00086CCB">
              <w:rPr>
                <w:rFonts w:ascii="Times New Roman" w:hAnsi="Times New Roman"/>
                <w:sz w:val="24"/>
                <w:u w:val="single"/>
              </w:rPr>
              <w:t>ustomer</w:t>
            </w:r>
            <w:r w:rsidRPr="008A1DB9">
              <w:rPr>
                <w:rFonts w:ascii="Times New Roman" w:hAnsi="Times New Roman"/>
                <w:sz w:val="24"/>
                <w:u w:val="single"/>
              </w:rPr>
              <w:t xml:space="preserve">s that are financial customers in accordance with Article </w:t>
            </w:r>
            <w:r w:rsidR="006439CE" w:rsidRPr="00B4290D">
              <w:rPr>
                <w:rFonts w:ascii="Times New Roman" w:hAnsi="Times New Roman"/>
                <w:sz w:val="24"/>
                <w:u w:val="single"/>
              </w:rPr>
              <w:t>411</w:t>
            </w:r>
            <w:r w:rsidRPr="008A1DB9">
              <w:rPr>
                <w:rFonts w:ascii="Times New Roman" w:hAnsi="Times New Roman"/>
                <w:sz w:val="24"/>
                <w:u w:val="single"/>
              </w:rPr>
              <w:t xml:space="preserve">(1) of Regulation </w:t>
            </w:r>
            <w:r w:rsidR="00994617">
              <w:rPr>
                <w:rFonts w:ascii="Times New Roman" w:hAnsi="Times New Roman"/>
                <w:sz w:val="24"/>
              </w:rPr>
              <w:t>(EU) No</w:t>
            </w:r>
            <w:r w:rsidR="00994617" w:rsidRPr="00B4290D">
              <w:rPr>
                <w:rFonts w:ascii="Times New Roman" w:hAnsi="Times New Roman"/>
                <w:sz w:val="24"/>
                <w:u w:val="single"/>
              </w:rPr>
              <w:t xml:space="preserve"> </w:t>
            </w:r>
            <w:r w:rsidR="006439CE" w:rsidRPr="00B4290D">
              <w:rPr>
                <w:rFonts w:ascii="Times New Roman" w:hAnsi="Times New Roman"/>
                <w:sz w:val="24"/>
                <w:u w:val="single"/>
              </w:rPr>
              <w:t>575/2013</w:t>
            </w:r>
            <w:r w:rsidR="006439CE" w:rsidRPr="00B4290D">
              <w:rPr>
                <w:rFonts w:ascii="Times New Roman" w:hAnsi="Times New Roman"/>
                <w:b/>
                <w:sz w:val="24"/>
                <w:u w:val="single"/>
              </w:rPr>
              <w:t>.</w:t>
            </w:r>
            <w:r w:rsidR="00B4290D">
              <w:rPr>
                <w:rStyle w:val="InstructionsTabelleberschrift"/>
                <w:rFonts w:ascii="Times New Roman" w:hAnsi="Times New Roman"/>
                <w:b w:val="0"/>
                <w:sz w:val="24"/>
                <w:u w:val="none"/>
                <w:lang w:eastAsia="de-DE"/>
              </w:rPr>
              <w:t xml:space="preserve"> Cash outflows arising from derivative transactions shall be reported in items 1.5 or 1.6.</w:t>
            </w:r>
          </w:p>
        </w:tc>
      </w:tr>
      <w:tr w:rsidR="009E264D" w:rsidRPr="0040604D" w:rsidTr="0021066C">
        <w:trPr>
          <w:trHeight w:val="709"/>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430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w:t>
            </w:r>
            <w:r w:rsidR="00B23E9F">
              <w:rPr>
                <w:rFonts w:ascii="Times New Roman" w:hAnsi="Times New Roman"/>
                <w:b/>
                <w:sz w:val="24"/>
                <w:u w:val="single"/>
              </w:rPr>
              <w:t>4</w:t>
            </w:r>
            <w:r w:rsidRPr="0040604D">
              <w:rPr>
                <w:rFonts w:ascii="Times New Roman" w:hAnsi="Times New Roman"/>
                <w:b/>
                <w:sz w:val="24"/>
                <w:u w:val="single"/>
              </w:rPr>
              <w:t xml:space="preserve">.1 </w:t>
            </w:r>
            <w:r w:rsidR="001E26C9">
              <w:rPr>
                <w:rFonts w:ascii="Times New Roman" w:hAnsi="Times New Roman"/>
                <w:b/>
                <w:sz w:val="24"/>
                <w:u w:val="single"/>
              </w:rPr>
              <w:t xml:space="preserve">by </w:t>
            </w:r>
            <w:r w:rsidRPr="0040604D">
              <w:rPr>
                <w:rFonts w:ascii="Times New Roman" w:hAnsi="Times New Roman"/>
                <w:b/>
                <w:sz w:val="24"/>
                <w:u w:val="single"/>
              </w:rPr>
              <w:t>credit institutions</w:t>
            </w:r>
          </w:p>
          <w:p w:rsidR="009E264D" w:rsidRPr="0040604D" w:rsidRDefault="00743492" w:rsidP="0057741E">
            <w:pPr>
              <w:rPr>
                <w:rFonts w:ascii="Times New Roman" w:hAnsi="Times New Roman"/>
                <w:sz w:val="24"/>
              </w:rPr>
            </w:pPr>
            <w:r>
              <w:rPr>
                <w:rFonts w:ascii="Times New Roman" w:hAnsi="Times New Roman"/>
                <w:sz w:val="24"/>
              </w:rPr>
              <w:t>T</w:t>
            </w:r>
            <w:r w:rsidR="009E264D" w:rsidRPr="0040604D">
              <w:rPr>
                <w:rFonts w:ascii="Times New Roman" w:hAnsi="Times New Roman"/>
                <w:sz w:val="24"/>
              </w:rPr>
              <w:t xml:space="preserve">he amount of </w:t>
            </w:r>
            <w:r w:rsidR="009E264D">
              <w:rPr>
                <w:rFonts w:ascii="Times New Roman" w:hAnsi="Times New Roman"/>
                <w:sz w:val="24"/>
              </w:rPr>
              <w:t xml:space="preserve">cash outflows </w:t>
            </w:r>
            <w:r w:rsidR="009E264D" w:rsidRPr="0040604D">
              <w:rPr>
                <w:rFonts w:ascii="Times New Roman" w:hAnsi="Times New Roman"/>
                <w:sz w:val="24"/>
              </w:rPr>
              <w:t>from financial customers in item 1.</w:t>
            </w:r>
            <w:r w:rsidR="00B23E9F">
              <w:rPr>
                <w:rFonts w:ascii="Times New Roman" w:hAnsi="Times New Roman"/>
                <w:sz w:val="24"/>
              </w:rPr>
              <w:t>4</w:t>
            </w:r>
            <w:r>
              <w:rPr>
                <w:rFonts w:ascii="Times New Roman" w:hAnsi="Times New Roman"/>
                <w:sz w:val="24"/>
              </w:rPr>
              <w:t>,</w:t>
            </w:r>
            <w:r w:rsidR="009E264D" w:rsidRPr="0040604D">
              <w:rPr>
                <w:rFonts w:ascii="Times New Roman" w:hAnsi="Times New Roman"/>
                <w:sz w:val="24"/>
              </w:rPr>
              <w:t xml:space="preserve"> </w:t>
            </w:r>
            <w:r>
              <w:rPr>
                <w:rFonts w:ascii="Times New Roman" w:hAnsi="Times New Roman"/>
                <w:sz w:val="24"/>
              </w:rPr>
              <w:t>which</w:t>
            </w:r>
            <w:r w:rsidR="009E264D" w:rsidRPr="0040604D">
              <w:rPr>
                <w:rFonts w:ascii="Times New Roman" w:hAnsi="Times New Roman"/>
                <w:sz w:val="24"/>
              </w:rPr>
              <w:t xml:space="preserve"> derive</w:t>
            </w:r>
            <w:r w:rsidR="00DC6350">
              <w:rPr>
                <w:rFonts w:ascii="Times New Roman" w:hAnsi="Times New Roman"/>
                <w:sz w:val="24"/>
              </w:rPr>
              <w:t>s</w:t>
            </w:r>
            <w:r w:rsidR="009E264D" w:rsidRPr="0040604D">
              <w:rPr>
                <w:rFonts w:ascii="Times New Roman" w:hAnsi="Times New Roman"/>
                <w:sz w:val="24"/>
              </w:rPr>
              <w:t xml:space="preserve"> from credit institutions.</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440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w:t>
            </w:r>
            <w:r w:rsidR="00F309FA">
              <w:rPr>
                <w:rFonts w:ascii="Times New Roman" w:hAnsi="Times New Roman"/>
                <w:b/>
                <w:sz w:val="24"/>
                <w:u w:val="single"/>
              </w:rPr>
              <w:t>4</w:t>
            </w:r>
            <w:r w:rsidRPr="0040604D">
              <w:rPr>
                <w:rFonts w:ascii="Times New Roman" w:hAnsi="Times New Roman"/>
                <w:b/>
                <w:sz w:val="24"/>
                <w:u w:val="single"/>
              </w:rPr>
              <w:t>.1.1</w:t>
            </w:r>
            <w:r w:rsidR="003E309A">
              <w:rPr>
                <w:rFonts w:ascii="Times New Roman" w:hAnsi="Times New Roman"/>
                <w:b/>
                <w:sz w:val="24"/>
                <w:u w:val="single"/>
              </w:rPr>
              <w:t xml:space="preserve"> </w:t>
            </w:r>
            <w:r w:rsidRPr="0040604D">
              <w:rPr>
                <w:rFonts w:ascii="Times New Roman" w:hAnsi="Times New Roman"/>
                <w:b/>
                <w:sz w:val="24"/>
                <w:u w:val="single"/>
              </w:rPr>
              <w:t>of which are intragroup entities</w:t>
            </w:r>
          </w:p>
          <w:p w:rsidR="009E264D" w:rsidRPr="0040604D" w:rsidRDefault="00743492" w:rsidP="00743492">
            <w:pPr>
              <w:rPr>
                <w:rFonts w:ascii="Times New Roman" w:hAnsi="Times New Roman"/>
                <w:b/>
                <w:sz w:val="24"/>
                <w:u w:val="single"/>
              </w:rPr>
            </w:pPr>
            <w:r>
              <w:rPr>
                <w:rFonts w:ascii="Times New Roman" w:hAnsi="Times New Roman"/>
                <w:sz w:val="24"/>
              </w:rPr>
              <w:t>T</w:t>
            </w:r>
            <w:r w:rsidR="009E264D" w:rsidRPr="0040604D">
              <w:rPr>
                <w:rFonts w:ascii="Times New Roman" w:hAnsi="Times New Roman"/>
                <w:sz w:val="24"/>
              </w:rPr>
              <w:t xml:space="preserve">he amount of </w:t>
            </w:r>
            <w:r w:rsidR="009E264D">
              <w:rPr>
                <w:rFonts w:ascii="Times New Roman" w:hAnsi="Times New Roman"/>
                <w:sz w:val="24"/>
              </w:rPr>
              <w:t>cash outflows</w:t>
            </w:r>
            <w:r w:rsidR="009E264D" w:rsidRPr="0040604D">
              <w:rPr>
                <w:rFonts w:ascii="Times New Roman" w:hAnsi="Times New Roman"/>
                <w:sz w:val="24"/>
              </w:rPr>
              <w:t xml:space="preserve"> reported in item 1.</w:t>
            </w:r>
            <w:r w:rsidR="00F309FA">
              <w:rPr>
                <w:rFonts w:ascii="Times New Roman" w:hAnsi="Times New Roman"/>
                <w:sz w:val="24"/>
              </w:rPr>
              <w:t>4</w:t>
            </w:r>
            <w:r w:rsidR="009E264D" w:rsidRPr="0040604D">
              <w:rPr>
                <w:rFonts w:ascii="Times New Roman" w:hAnsi="Times New Roman"/>
                <w:sz w:val="24"/>
              </w:rPr>
              <w:t>.1</w:t>
            </w:r>
            <w:r>
              <w:rPr>
                <w:rFonts w:ascii="Times New Roman" w:hAnsi="Times New Roman"/>
                <w:sz w:val="24"/>
              </w:rPr>
              <w:t>,</w:t>
            </w:r>
            <w:r w:rsidR="009E264D" w:rsidRPr="0040604D">
              <w:rPr>
                <w:rFonts w:ascii="Times New Roman" w:hAnsi="Times New Roman"/>
                <w:sz w:val="24"/>
              </w:rPr>
              <w:t xml:space="preserve"> </w:t>
            </w:r>
            <w:r>
              <w:rPr>
                <w:rFonts w:ascii="Times New Roman" w:hAnsi="Times New Roman"/>
                <w:sz w:val="24"/>
              </w:rPr>
              <w:t>which</w:t>
            </w:r>
            <w:r w:rsidR="009E264D" w:rsidRPr="0040604D">
              <w:rPr>
                <w:rFonts w:ascii="Times New Roman" w:hAnsi="Times New Roman"/>
                <w:sz w:val="24"/>
              </w:rPr>
              <w:t xml:space="preserve"> derives from intragroup entities.</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450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w:t>
            </w:r>
            <w:r w:rsidR="00AA1E7A">
              <w:rPr>
                <w:rFonts w:ascii="Times New Roman" w:hAnsi="Times New Roman"/>
                <w:b/>
                <w:sz w:val="24"/>
                <w:u w:val="single"/>
              </w:rPr>
              <w:t>4</w:t>
            </w:r>
            <w:r w:rsidRPr="0040604D">
              <w:rPr>
                <w:rFonts w:ascii="Times New Roman" w:hAnsi="Times New Roman"/>
                <w:b/>
                <w:sz w:val="24"/>
                <w:u w:val="single"/>
              </w:rPr>
              <w:t>.2</w:t>
            </w:r>
            <w:r w:rsidR="003E309A">
              <w:rPr>
                <w:rFonts w:ascii="Times New Roman" w:hAnsi="Times New Roman"/>
                <w:b/>
                <w:sz w:val="24"/>
                <w:u w:val="single"/>
              </w:rPr>
              <w:t xml:space="preserve"> </w:t>
            </w:r>
            <w:r w:rsidR="001E26C9">
              <w:rPr>
                <w:rFonts w:ascii="Times New Roman" w:hAnsi="Times New Roman"/>
                <w:b/>
                <w:sz w:val="24"/>
                <w:u w:val="single"/>
              </w:rPr>
              <w:t xml:space="preserve">by </w:t>
            </w:r>
            <w:r w:rsidRPr="0040604D">
              <w:rPr>
                <w:rFonts w:ascii="Times New Roman" w:hAnsi="Times New Roman"/>
                <w:b/>
                <w:sz w:val="24"/>
                <w:u w:val="single"/>
              </w:rPr>
              <w:t>financial customers other than credit institutions</w:t>
            </w:r>
          </w:p>
          <w:p w:rsidR="009E264D" w:rsidRPr="0040604D" w:rsidRDefault="00743492" w:rsidP="00743492">
            <w:pPr>
              <w:rPr>
                <w:rFonts w:ascii="Times New Roman" w:hAnsi="Times New Roman"/>
                <w:b/>
                <w:sz w:val="24"/>
                <w:u w:val="single"/>
              </w:rPr>
            </w:pPr>
            <w:r>
              <w:rPr>
                <w:rFonts w:ascii="Times New Roman" w:hAnsi="Times New Roman"/>
                <w:sz w:val="24"/>
              </w:rPr>
              <w:t>T</w:t>
            </w:r>
            <w:r w:rsidR="009E264D" w:rsidRPr="0040604D">
              <w:rPr>
                <w:rFonts w:ascii="Times New Roman" w:hAnsi="Times New Roman"/>
                <w:sz w:val="24"/>
              </w:rPr>
              <w:t xml:space="preserve">he amount of </w:t>
            </w:r>
            <w:r w:rsidR="009E264D">
              <w:rPr>
                <w:rFonts w:ascii="Times New Roman" w:hAnsi="Times New Roman"/>
                <w:sz w:val="24"/>
              </w:rPr>
              <w:t>cash outflows</w:t>
            </w:r>
            <w:r w:rsidR="009E264D" w:rsidRPr="0040604D">
              <w:rPr>
                <w:rFonts w:ascii="Times New Roman" w:hAnsi="Times New Roman"/>
                <w:sz w:val="24"/>
              </w:rPr>
              <w:t xml:space="preserve"> reported in item 1.</w:t>
            </w:r>
            <w:r w:rsidR="00AA1E7A">
              <w:rPr>
                <w:rFonts w:ascii="Times New Roman" w:hAnsi="Times New Roman"/>
                <w:sz w:val="24"/>
              </w:rPr>
              <w:t>4</w:t>
            </w:r>
            <w:r>
              <w:rPr>
                <w:rFonts w:ascii="Times New Roman" w:hAnsi="Times New Roman"/>
                <w:sz w:val="24"/>
              </w:rPr>
              <w:t>,</w:t>
            </w:r>
            <w:r w:rsidR="009E264D" w:rsidRPr="0040604D">
              <w:rPr>
                <w:rFonts w:ascii="Times New Roman" w:hAnsi="Times New Roman"/>
                <w:sz w:val="24"/>
              </w:rPr>
              <w:t xml:space="preserve"> </w:t>
            </w:r>
            <w:r>
              <w:rPr>
                <w:rFonts w:ascii="Times New Roman" w:hAnsi="Times New Roman"/>
                <w:sz w:val="24"/>
              </w:rPr>
              <w:t>which</w:t>
            </w:r>
            <w:r w:rsidR="005332F1" w:rsidRPr="0040604D">
              <w:rPr>
                <w:rFonts w:ascii="Times New Roman" w:hAnsi="Times New Roman"/>
                <w:sz w:val="24"/>
              </w:rPr>
              <w:t xml:space="preserve"> </w:t>
            </w:r>
            <w:r w:rsidR="000502EB">
              <w:rPr>
                <w:rFonts w:ascii="Times New Roman" w:hAnsi="Times New Roman"/>
                <w:sz w:val="24"/>
              </w:rPr>
              <w:t>derives</w:t>
            </w:r>
            <w:r w:rsidR="005332F1" w:rsidRPr="0040604D">
              <w:rPr>
                <w:rFonts w:ascii="Times New Roman" w:hAnsi="Times New Roman"/>
                <w:sz w:val="24"/>
              </w:rPr>
              <w:t xml:space="preserve"> from financial customers other than credit institutions</w:t>
            </w:r>
            <w:r w:rsidR="009E264D" w:rsidRPr="0040604D">
              <w:rPr>
                <w:rFonts w:ascii="Times New Roman" w:hAnsi="Times New Roman"/>
                <w:sz w:val="24"/>
              </w:rPr>
              <w:t>.</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460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w:t>
            </w:r>
            <w:r w:rsidR="005B11DA">
              <w:rPr>
                <w:rFonts w:ascii="Times New Roman" w:hAnsi="Times New Roman"/>
                <w:b/>
                <w:sz w:val="24"/>
                <w:u w:val="single"/>
              </w:rPr>
              <w:t>4</w:t>
            </w:r>
            <w:r w:rsidRPr="0040604D">
              <w:rPr>
                <w:rFonts w:ascii="Times New Roman" w:hAnsi="Times New Roman"/>
                <w:b/>
                <w:sz w:val="24"/>
                <w:u w:val="single"/>
              </w:rPr>
              <w:t>.2.1</w:t>
            </w:r>
            <w:r w:rsidR="003E309A">
              <w:rPr>
                <w:rFonts w:ascii="Times New Roman" w:hAnsi="Times New Roman"/>
                <w:b/>
                <w:sz w:val="24"/>
                <w:u w:val="single"/>
              </w:rPr>
              <w:t xml:space="preserve"> </w:t>
            </w:r>
            <w:r w:rsidRPr="0040604D">
              <w:rPr>
                <w:rFonts w:ascii="Times New Roman" w:hAnsi="Times New Roman"/>
                <w:b/>
                <w:sz w:val="24"/>
                <w:u w:val="single"/>
              </w:rPr>
              <w:t>of which are intragroup entities</w:t>
            </w:r>
          </w:p>
          <w:p w:rsidR="009E264D" w:rsidRPr="0040604D" w:rsidRDefault="00743492" w:rsidP="00743492">
            <w:pPr>
              <w:rPr>
                <w:rFonts w:ascii="Times New Roman" w:hAnsi="Times New Roman"/>
                <w:b/>
                <w:sz w:val="24"/>
                <w:u w:val="single"/>
              </w:rPr>
            </w:pPr>
            <w:r>
              <w:rPr>
                <w:rFonts w:ascii="Times New Roman" w:hAnsi="Times New Roman"/>
                <w:sz w:val="24"/>
              </w:rPr>
              <w:t>T</w:t>
            </w:r>
            <w:r w:rsidR="009E264D" w:rsidRPr="0040604D">
              <w:rPr>
                <w:rFonts w:ascii="Times New Roman" w:hAnsi="Times New Roman"/>
                <w:sz w:val="24"/>
              </w:rPr>
              <w:t xml:space="preserve">he amount of </w:t>
            </w:r>
            <w:r w:rsidR="009E264D">
              <w:rPr>
                <w:rFonts w:ascii="Times New Roman" w:hAnsi="Times New Roman"/>
                <w:sz w:val="24"/>
              </w:rPr>
              <w:t>cash outflows</w:t>
            </w:r>
            <w:r w:rsidR="009E264D" w:rsidRPr="0040604D">
              <w:rPr>
                <w:rFonts w:ascii="Times New Roman" w:hAnsi="Times New Roman"/>
                <w:sz w:val="24"/>
              </w:rPr>
              <w:t xml:space="preserve"> item 1.</w:t>
            </w:r>
            <w:r w:rsidR="005B11DA">
              <w:rPr>
                <w:rFonts w:ascii="Times New Roman" w:hAnsi="Times New Roman"/>
                <w:sz w:val="24"/>
              </w:rPr>
              <w:t>4</w:t>
            </w:r>
            <w:r w:rsidR="009E264D" w:rsidRPr="0040604D">
              <w:rPr>
                <w:rFonts w:ascii="Times New Roman" w:hAnsi="Times New Roman"/>
                <w:sz w:val="24"/>
              </w:rPr>
              <w:t>.2</w:t>
            </w:r>
            <w:r>
              <w:rPr>
                <w:rFonts w:ascii="Times New Roman" w:hAnsi="Times New Roman"/>
                <w:sz w:val="24"/>
              </w:rPr>
              <w:t>,</w:t>
            </w:r>
            <w:r w:rsidR="009E264D" w:rsidRPr="0040604D">
              <w:rPr>
                <w:rFonts w:ascii="Times New Roman" w:hAnsi="Times New Roman"/>
                <w:sz w:val="24"/>
              </w:rPr>
              <w:t xml:space="preserve"> </w:t>
            </w:r>
            <w:r>
              <w:rPr>
                <w:rFonts w:ascii="Times New Roman" w:hAnsi="Times New Roman"/>
                <w:sz w:val="24"/>
              </w:rPr>
              <w:t>which</w:t>
            </w:r>
            <w:r w:rsidR="009E264D" w:rsidRPr="0040604D">
              <w:rPr>
                <w:rFonts w:ascii="Times New Roman" w:hAnsi="Times New Roman"/>
                <w:sz w:val="24"/>
              </w:rPr>
              <w:t xml:space="preserve"> derive</w:t>
            </w:r>
            <w:r w:rsidR="000502EB">
              <w:rPr>
                <w:rFonts w:ascii="Times New Roman" w:hAnsi="Times New Roman"/>
                <w:sz w:val="24"/>
              </w:rPr>
              <w:t>s</w:t>
            </w:r>
            <w:r w:rsidR="009E264D" w:rsidRPr="0040604D">
              <w:rPr>
                <w:rFonts w:ascii="Times New Roman" w:hAnsi="Times New Roman"/>
                <w:sz w:val="24"/>
              </w:rPr>
              <w:t xml:space="preserve"> from intragroup entities.</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eastAsiaTheme="majorEastAsia" w:hAnsi="Times New Roman"/>
                <w:b w:val="0"/>
                <w:sz w:val="24"/>
                <w:u w:val="none"/>
                <w:lang w:eastAsia="de-DE"/>
              </w:rPr>
            </w:pPr>
            <w:r>
              <w:rPr>
                <w:rStyle w:val="InstructionsTabelleberschrift"/>
                <w:rFonts w:ascii="Times New Roman" w:eastAsiaTheme="majorEastAsia" w:hAnsi="Times New Roman"/>
                <w:b w:val="0"/>
                <w:sz w:val="24"/>
                <w:u w:val="none"/>
                <w:lang w:eastAsia="de-DE"/>
              </w:rPr>
              <w:t>470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w:t>
            </w:r>
            <w:r w:rsidR="00EC5B61">
              <w:rPr>
                <w:rFonts w:ascii="Times New Roman" w:hAnsi="Times New Roman"/>
                <w:b/>
                <w:sz w:val="24"/>
                <w:u w:val="single"/>
              </w:rPr>
              <w:t>4</w:t>
            </w:r>
            <w:r w:rsidRPr="0040604D">
              <w:rPr>
                <w:rFonts w:ascii="Times New Roman" w:hAnsi="Times New Roman"/>
                <w:b/>
                <w:sz w:val="24"/>
                <w:u w:val="single"/>
              </w:rPr>
              <w:t xml:space="preserve">.3 of which are members of an institutional network </w:t>
            </w:r>
          </w:p>
          <w:p w:rsidR="009E264D" w:rsidRPr="0040604D" w:rsidRDefault="00743492" w:rsidP="002E1D10">
            <w:pPr>
              <w:rPr>
                <w:rFonts w:ascii="Times New Roman" w:hAnsi="Times New Roman"/>
                <w:b/>
                <w:sz w:val="24"/>
                <w:u w:val="single"/>
              </w:rPr>
            </w:pPr>
            <w:r>
              <w:rPr>
                <w:rFonts w:ascii="Times New Roman" w:hAnsi="Times New Roman"/>
                <w:sz w:val="24"/>
              </w:rPr>
              <w:t>T</w:t>
            </w:r>
            <w:r w:rsidR="009E264D" w:rsidRPr="0040604D">
              <w:rPr>
                <w:rFonts w:ascii="Times New Roman" w:hAnsi="Times New Roman"/>
                <w:sz w:val="24"/>
              </w:rPr>
              <w:t xml:space="preserve">he amount of </w:t>
            </w:r>
            <w:r w:rsidR="009E264D">
              <w:rPr>
                <w:rFonts w:ascii="Times New Roman" w:hAnsi="Times New Roman"/>
                <w:sz w:val="24"/>
              </w:rPr>
              <w:t>cash outflows</w:t>
            </w:r>
            <w:r w:rsidR="009E264D" w:rsidRPr="0040604D">
              <w:rPr>
                <w:rFonts w:ascii="Times New Roman" w:hAnsi="Times New Roman"/>
                <w:sz w:val="24"/>
              </w:rPr>
              <w:t xml:space="preserve"> from financial customers reported in item 1.</w:t>
            </w:r>
            <w:r w:rsidR="00EC5B61">
              <w:rPr>
                <w:rFonts w:ascii="Times New Roman" w:hAnsi="Times New Roman"/>
                <w:sz w:val="24"/>
              </w:rPr>
              <w:t>4</w:t>
            </w:r>
            <w:r w:rsidR="009E264D" w:rsidRPr="0040604D">
              <w:rPr>
                <w:rFonts w:ascii="Times New Roman" w:hAnsi="Times New Roman"/>
                <w:sz w:val="24"/>
              </w:rPr>
              <w:t xml:space="preserve">, </w:t>
            </w:r>
            <w:r>
              <w:rPr>
                <w:rFonts w:ascii="Times New Roman" w:hAnsi="Times New Roman"/>
                <w:sz w:val="24"/>
              </w:rPr>
              <w:t>which</w:t>
            </w:r>
            <w:r w:rsidR="009E264D" w:rsidRPr="0040604D">
              <w:rPr>
                <w:rFonts w:ascii="Times New Roman" w:hAnsi="Times New Roman"/>
                <w:sz w:val="24"/>
              </w:rPr>
              <w:t xml:space="preserve"> are in the context of common task sharing within an institutional protection scheme meeting the requirements of Article </w:t>
            </w:r>
            <w:r w:rsidR="002E1D10" w:rsidRPr="0040604D">
              <w:rPr>
                <w:rFonts w:ascii="Times New Roman" w:hAnsi="Times New Roman"/>
                <w:sz w:val="24"/>
              </w:rPr>
              <w:t>1</w:t>
            </w:r>
            <w:r w:rsidR="002E1D10">
              <w:rPr>
                <w:rFonts w:ascii="Times New Roman" w:hAnsi="Times New Roman"/>
                <w:sz w:val="24"/>
              </w:rPr>
              <w:t>13</w:t>
            </w:r>
            <w:r w:rsidR="009E264D" w:rsidRPr="0040604D">
              <w:rPr>
                <w:rFonts w:ascii="Times New Roman" w:hAnsi="Times New Roman"/>
                <w:sz w:val="24"/>
              </w:rPr>
              <w:t>(7)</w:t>
            </w:r>
            <w:r w:rsidR="009D3308">
              <w:rPr>
                <w:rFonts w:ascii="Times New Roman" w:hAnsi="Times New Roman"/>
                <w:sz w:val="24"/>
              </w:rPr>
              <w:t xml:space="preserve"> of Regulation </w:t>
            </w:r>
            <w:r w:rsidR="00994617">
              <w:rPr>
                <w:rFonts w:ascii="Times New Roman" w:hAnsi="Times New Roman"/>
                <w:sz w:val="24"/>
              </w:rPr>
              <w:t xml:space="preserve">(EU) No </w:t>
            </w:r>
            <w:r w:rsidR="009D3308">
              <w:rPr>
                <w:rFonts w:ascii="Times New Roman" w:hAnsi="Times New Roman"/>
                <w:sz w:val="24"/>
              </w:rPr>
              <w:t>575/2013</w:t>
            </w:r>
            <w:r w:rsidR="009E264D" w:rsidRPr="0040604D">
              <w:rPr>
                <w:rFonts w:ascii="Times New Roman" w:hAnsi="Times New Roman"/>
                <w:sz w:val="24"/>
              </w:rPr>
              <w:t xml:space="preserve"> or as a legal or statutory minimum deposit by another entity being a Member of the same institutional protection scheme.</w:t>
            </w:r>
          </w:p>
        </w:tc>
      </w:tr>
      <w:tr w:rsidR="009E264D" w:rsidRPr="0040604D" w:rsidTr="0021066C">
        <w:trPr>
          <w:trHeight w:val="1022"/>
        </w:trPr>
        <w:tc>
          <w:tcPr>
            <w:tcW w:w="828" w:type="dxa"/>
            <w:vAlign w:val="center"/>
          </w:tcPr>
          <w:p w:rsidR="009E264D" w:rsidRPr="003E309A" w:rsidRDefault="00A033A9" w:rsidP="009920BE">
            <w:pPr>
              <w:jc w:val="left"/>
              <w:rPr>
                <w:rStyle w:val="InstructionsTabelleberschrift"/>
                <w:rFonts w:ascii="Times New Roman" w:eastAsiaTheme="majorEastAsia" w:hAnsi="Times New Roman"/>
                <w:b w:val="0"/>
                <w:sz w:val="24"/>
                <w:u w:val="none"/>
                <w:lang w:eastAsia="de-DE"/>
              </w:rPr>
            </w:pPr>
            <w:r>
              <w:rPr>
                <w:rStyle w:val="InstructionsTabelleberschrift"/>
                <w:rFonts w:ascii="Times New Roman" w:eastAsiaTheme="majorEastAsia" w:hAnsi="Times New Roman"/>
                <w:b w:val="0"/>
                <w:sz w:val="24"/>
                <w:u w:val="none"/>
                <w:lang w:eastAsia="de-DE"/>
              </w:rPr>
              <w:lastRenderedPageBreak/>
              <w:t>480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w:t>
            </w:r>
            <w:r w:rsidR="00EC5B61">
              <w:rPr>
                <w:rFonts w:ascii="Times New Roman" w:hAnsi="Times New Roman"/>
                <w:b/>
                <w:sz w:val="24"/>
                <w:u w:val="single"/>
              </w:rPr>
              <w:t>4</w:t>
            </w:r>
            <w:r w:rsidRPr="0040604D">
              <w:rPr>
                <w:rFonts w:ascii="Times New Roman" w:hAnsi="Times New Roman"/>
                <w:b/>
                <w:sz w:val="24"/>
                <w:u w:val="single"/>
              </w:rPr>
              <w:t>.3.1 of which are intragroup entities</w:t>
            </w:r>
          </w:p>
          <w:p w:rsidR="009E264D" w:rsidRPr="0040604D" w:rsidRDefault="00743492" w:rsidP="00743492">
            <w:pPr>
              <w:rPr>
                <w:rFonts w:ascii="Times New Roman" w:hAnsi="Times New Roman"/>
                <w:b/>
                <w:sz w:val="24"/>
                <w:u w:val="single"/>
              </w:rPr>
            </w:pPr>
            <w:r>
              <w:rPr>
                <w:rFonts w:ascii="Times New Roman" w:hAnsi="Times New Roman"/>
                <w:sz w:val="24"/>
              </w:rPr>
              <w:t>T</w:t>
            </w:r>
            <w:r w:rsidR="009E264D" w:rsidRPr="0040604D">
              <w:rPr>
                <w:rFonts w:ascii="Times New Roman" w:hAnsi="Times New Roman"/>
                <w:sz w:val="24"/>
              </w:rPr>
              <w:t xml:space="preserve">he amount of </w:t>
            </w:r>
            <w:r w:rsidR="009E264D">
              <w:rPr>
                <w:rFonts w:ascii="Times New Roman" w:hAnsi="Times New Roman"/>
                <w:sz w:val="24"/>
              </w:rPr>
              <w:t>cash outflows</w:t>
            </w:r>
            <w:r w:rsidR="009E264D" w:rsidRPr="0040604D">
              <w:rPr>
                <w:rFonts w:ascii="Times New Roman" w:hAnsi="Times New Roman"/>
                <w:sz w:val="24"/>
              </w:rPr>
              <w:t xml:space="preserve"> reported in item 1.</w:t>
            </w:r>
            <w:r w:rsidR="00EC5B61">
              <w:rPr>
                <w:rFonts w:ascii="Times New Roman" w:hAnsi="Times New Roman"/>
                <w:sz w:val="24"/>
              </w:rPr>
              <w:t>4.3</w:t>
            </w:r>
            <w:r w:rsidR="009E264D" w:rsidRPr="0040604D">
              <w:rPr>
                <w:rFonts w:ascii="Times New Roman" w:hAnsi="Times New Roman"/>
                <w:sz w:val="24"/>
              </w:rPr>
              <w:t xml:space="preserve">, </w:t>
            </w:r>
            <w:r>
              <w:rPr>
                <w:rFonts w:ascii="Times New Roman" w:hAnsi="Times New Roman"/>
                <w:sz w:val="24"/>
              </w:rPr>
              <w:t>which</w:t>
            </w:r>
            <w:r w:rsidR="009E264D" w:rsidRPr="0040604D">
              <w:rPr>
                <w:rFonts w:ascii="Times New Roman" w:hAnsi="Times New Roman"/>
                <w:sz w:val="24"/>
              </w:rPr>
              <w:t xml:space="preserve"> </w:t>
            </w:r>
            <w:r w:rsidR="00AB1E35">
              <w:rPr>
                <w:rFonts w:ascii="Times New Roman" w:hAnsi="Times New Roman"/>
                <w:sz w:val="24"/>
              </w:rPr>
              <w:t>derives</w:t>
            </w:r>
            <w:r w:rsidR="000460CB" w:rsidRPr="0040604D">
              <w:rPr>
                <w:rFonts w:ascii="Times New Roman" w:hAnsi="Times New Roman"/>
                <w:sz w:val="24"/>
              </w:rPr>
              <w:t xml:space="preserve"> </w:t>
            </w:r>
            <w:r w:rsidR="009E264D" w:rsidRPr="0040604D">
              <w:rPr>
                <w:rFonts w:ascii="Times New Roman" w:hAnsi="Times New Roman"/>
                <w:sz w:val="24"/>
              </w:rPr>
              <w:t>from intragroup entities.</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eastAsiaTheme="majorEastAsia" w:hAnsi="Times New Roman"/>
                <w:b w:val="0"/>
                <w:sz w:val="24"/>
                <w:u w:val="none"/>
                <w:lang w:eastAsia="de-DE"/>
              </w:rPr>
            </w:pPr>
            <w:r>
              <w:rPr>
                <w:rStyle w:val="InstructionsTabelleberschrift"/>
                <w:rFonts w:ascii="Times New Roman" w:eastAsiaTheme="majorEastAsia" w:hAnsi="Times New Roman"/>
                <w:b w:val="0"/>
                <w:sz w:val="24"/>
                <w:u w:val="none"/>
                <w:lang w:eastAsia="de-DE"/>
              </w:rPr>
              <w:t>490</w:t>
            </w:r>
          </w:p>
        </w:tc>
        <w:tc>
          <w:tcPr>
            <w:tcW w:w="7766" w:type="dxa"/>
            <w:gridSpan w:val="2"/>
            <w:shd w:val="clear" w:color="auto" w:fill="auto"/>
            <w:noWrap/>
          </w:tcPr>
          <w:p w:rsidR="009E264D" w:rsidRPr="0040604D" w:rsidRDefault="009E264D" w:rsidP="0057741E">
            <w:pPr>
              <w:rPr>
                <w:rFonts w:ascii="Times New Roman" w:hAnsi="Times New Roman"/>
                <w:b/>
                <w:sz w:val="24"/>
                <w:u w:val="single"/>
              </w:rPr>
            </w:pPr>
            <w:r w:rsidRPr="0040604D">
              <w:rPr>
                <w:rFonts w:ascii="Times New Roman" w:hAnsi="Times New Roman"/>
                <w:b/>
                <w:sz w:val="24"/>
                <w:u w:val="single"/>
              </w:rPr>
              <w:t>1.</w:t>
            </w:r>
            <w:r w:rsidR="00365819">
              <w:rPr>
                <w:rFonts w:ascii="Times New Roman" w:hAnsi="Times New Roman"/>
                <w:b/>
                <w:sz w:val="24"/>
                <w:u w:val="single"/>
              </w:rPr>
              <w:t>5</w:t>
            </w:r>
            <w:r w:rsidRPr="0040604D">
              <w:rPr>
                <w:rFonts w:ascii="Times New Roman" w:hAnsi="Times New Roman"/>
                <w:b/>
                <w:sz w:val="24"/>
                <w:u w:val="single"/>
              </w:rPr>
              <w:t xml:space="preserve"> FX-swaps maturing</w:t>
            </w:r>
          </w:p>
          <w:p w:rsidR="009E264D" w:rsidRPr="0040604D" w:rsidRDefault="009E264D" w:rsidP="0057741E">
            <w:pPr>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b w:val="0"/>
                <w:sz w:val="24"/>
                <w:u w:val="none"/>
                <w:lang w:eastAsia="de-DE"/>
              </w:rPr>
              <w:t>Total amount of cash outflows resulting from the maturity of FX-swap transactions such as the exchange of principal amounts at the end of the contract.</w:t>
            </w:r>
          </w:p>
          <w:p w:rsidR="009E264D" w:rsidRPr="0040604D" w:rsidRDefault="009E264D" w:rsidP="009D1C94">
            <w:pPr>
              <w:rPr>
                <w:rFonts w:ascii="Times New Roman" w:hAnsi="Times New Roman"/>
                <w:b/>
                <w:sz w:val="24"/>
                <w:u w:val="single"/>
              </w:rPr>
            </w:pPr>
            <w:r w:rsidRPr="0040604D">
              <w:rPr>
                <w:rStyle w:val="InstructionsTabelleberschrift"/>
                <w:rFonts w:ascii="Times New Roman" w:hAnsi="Times New Roman"/>
                <w:b w:val="0"/>
                <w:sz w:val="24"/>
                <w:u w:val="none"/>
                <w:lang w:eastAsia="de-DE"/>
              </w:rPr>
              <w:t xml:space="preserve">This reflects the maturing notional value of cross-currency swaps, FX spot and forward transactions in the applicable time buckets of the template. For example, where an institution has entered into a EUR/GBP 3 months FX-swap, the GBP outflow shall be reported in the </w:t>
            </w:r>
            <w:r w:rsidR="009D1C94">
              <w:rPr>
                <w:rStyle w:val="InstructionsTabelleberschrift"/>
                <w:rFonts w:ascii="Times New Roman" w:hAnsi="Times New Roman"/>
                <w:b w:val="0"/>
                <w:sz w:val="24"/>
                <w:u w:val="none"/>
                <w:lang w:eastAsia="de-DE"/>
              </w:rPr>
              <w:t>twelfth</w:t>
            </w:r>
            <w:r w:rsidR="009D1C94" w:rsidRPr="0040604D">
              <w:rPr>
                <w:rStyle w:val="InstructionsTabelleberschrift"/>
                <w:rFonts w:ascii="Times New Roman" w:hAnsi="Times New Roman"/>
                <w:b w:val="0"/>
                <w:sz w:val="24"/>
                <w:u w:val="none"/>
                <w:lang w:eastAsia="de-DE"/>
              </w:rPr>
              <w:t xml:space="preserve"> </w:t>
            </w:r>
            <w:r w:rsidRPr="0040604D">
              <w:rPr>
                <w:rStyle w:val="InstructionsTabelleberschrift"/>
                <w:rFonts w:ascii="Times New Roman" w:hAnsi="Times New Roman"/>
                <w:b w:val="0"/>
                <w:sz w:val="24"/>
                <w:u w:val="none"/>
                <w:lang w:eastAsia="de-DE"/>
              </w:rPr>
              <w:t>time bucket of this line.</w:t>
            </w:r>
          </w:p>
        </w:tc>
      </w:tr>
      <w:tr w:rsidR="009E264D" w:rsidRPr="0040604D" w:rsidTr="0021066C">
        <w:trPr>
          <w:trHeight w:val="170"/>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500</w:t>
            </w:r>
          </w:p>
        </w:tc>
        <w:tc>
          <w:tcPr>
            <w:tcW w:w="7766" w:type="dxa"/>
            <w:gridSpan w:val="2"/>
            <w:shd w:val="clear" w:color="auto" w:fill="auto"/>
            <w:noWrap/>
          </w:tcPr>
          <w:p w:rsidR="009E264D" w:rsidRPr="0040604D" w:rsidRDefault="009E264D" w:rsidP="00B00D6E">
            <w:pPr>
              <w:jc w:val="left"/>
              <w:rPr>
                <w:rFonts w:ascii="Times New Roman" w:hAnsi="Times New Roman"/>
                <w:b/>
                <w:sz w:val="24"/>
                <w:u w:val="single"/>
              </w:rPr>
            </w:pPr>
            <w:r w:rsidRPr="0040604D">
              <w:rPr>
                <w:rFonts w:ascii="Times New Roman" w:hAnsi="Times New Roman"/>
                <w:b/>
                <w:sz w:val="24"/>
                <w:u w:val="single"/>
              </w:rPr>
              <w:t>1.</w:t>
            </w:r>
            <w:r w:rsidR="00AE58F7">
              <w:rPr>
                <w:rFonts w:ascii="Times New Roman" w:hAnsi="Times New Roman"/>
                <w:b/>
                <w:sz w:val="24"/>
                <w:u w:val="single"/>
              </w:rPr>
              <w:t>6</w:t>
            </w:r>
            <w:r w:rsidRPr="0040604D">
              <w:rPr>
                <w:rFonts w:ascii="Times New Roman" w:hAnsi="Times New Roman"/>
                <w:b/>
                <w:sz w:val="24"/>
                <w:u w:val="single"/>
              </w:rPr>
              <w:t xml:space="preserve"> </w:t>
            </w:r>
            <w:r w:rsidR="0050358E">
              <w:rPr>
                <w:rFonts w:ascii="Times New Roman" w:hAnsi="Times New Roman"/>
                <w:b/>
                <w:sz w:val="24"/>
                <w:u w:val="single"/>
              </w:rPr>
              <w:t>A</w:t>
            </w:r>
            <w:r w:rsidRPr="0040604D">
              <w:rPr>
                <w:rFonts w:ascii="Times New Roman" w:hAnsi="Times New Roman"/>
                <w:b/>
                <w:sz w:val="24"/>
                <w:u w:val="single"/>
              </w:rPr>
              <w:t xml:space="preserve">mount payable from the contracts listed in Annex II of </w:t>
            </w:r>
            <w:r w:rsidR="000852A1">
              <w:rPr>
                <w:rFonts w:ascii="Times New Roman" w:hAnsi="Times New Roman"/>
                <w:b/>
                <w:sz w:val="24"/>
                <w:u w:val="single"/>
              </w:rPr>
              <w:t>CRR</w:t>
            </w:r>
            <w:r w:rsidRPr="009920BE">
              <w:rPr>
                <w:rFonts w:ascii="Times New Roman" w:hAnsi="Times New Roman"/>
                <w:b/>
                <w:sz w:val="24"/>
                <w:u w:val="single"/>
              </w:rPr>
              <w:t xml:space="preserve"> </w:t>
            </w:r>
            <w:r w:rsidR="00166193" w:rsidRPr="009920BE">
              <w:rPr>
                <w:rFonts w:ascii="Times New Roman" w:hAnsi="Times New Roman"/>
                <w:b/>
                <w:sz w:val="24"/>
                <w:u w:val="single"/>
              </w:rPr>
              <w:t>other than those reported in 1.5</w:t>
            </w:r>
          </w:p>
          <w:p w:rsidR="009E264D" w:rsidRPr="0040604D" w:rsidRDefault="009E264D" w:rsidP="00B00D6E">
            <w:pPr>
              <w:jc w:val="left"/>
              <w:rPr>
                <w:rFonts w:ascii="Times New Roman" w:hAnsi="Times New Roman"/>
                <w:sz w:val="24"/>
              </w:rPr>
            </w:pPr>
            <w:r w:rsidRPr="0040604D">
              <w:rPr>
                <w:rFonts w:ascii="Times New Roman" w:hAnsi="Times New Roman"/>
                <w:sz w:val="24"/>
              </w:rPr>
              <w:t xml:space="preserve">Total amount of cash outflows resulting from derivatives payables positions from the contracts listed in Annex II of </w:t>
            </w:r>
            <w:r w:rsidRPr="0040604D">
              <w:rPr>
                <w:rFonts w:ascii="Times New Roman" w:hAnsi="Times New Roman"/>
                <w:sz w:val="24"/>
                <w:lang w:eastAsia="en-GB"/>
              </w:rPr>
              <w:t xml:space="preserve">Regulation </w:t>
            </w:r>
            <w:r w:rsidR="0050358E">
              <w:rPr>
                <w:rFonts w:ascii="Times New Roman" w:hAnsi="Times New Roman"/>
                <w:sz w:val="24"/>
                <w:lang w:eastAsia="en-GB"/>
              </w:rPr>
              <w:t>575/2013</w:t>
            </w:r>
            <w:r w:rsidR="003E309A">
              <w:rPr>
                <w:rFonts w:ascii="Times New Roman" w:hAnsi="Times New Roman"/>
                <w:sz w:val="24"/>
                <w:lang w:eastAsia="en-GB"/>
              </w:rPr>
              <w:t xml:space="preserve"> </w:t>
            </w:r>
            <w:r w:rsidR="0050358E">
              <w:rPr>
                <w:rFonts w:ascii="Times New Roman" w:hAnsi="Times New Roman"/>
                <w:sz w:val="24"/>
              </w:rPr>
              <w:t>with the exception of outflows resulting from maturing FX swaps which shall be reported in item 1.</w:t>
            </w:r>
            <w:r w:rsidR="00365819">
              <w:rPr>
                <w:rFonts w:ascii="Times New Roman" w:hAnsi="Times New Roman"/>
                <w:sz w:val="24"/>
              </w:rPr>
              <w:t>5</w:t>
            </w:r>
            <w:r w:rsidR="0050358E">
              <w:rPr>
                <w:rFonts w:ascii="Times New Roman" w:hAnsi="Times New Roman"/>
                <w:sz w:val="24"/>
              </w:rPr>
              <w:t>.</w:t>
            </w:r>
          </w:p>
          <w:p w:rsidR="00730DBF" w:rsidRDefault="00730DBF" w:rsidP="00B00D6E">
            <w:pPr>
              <w:jc w:val="left"/>
              <w:rPr>
                <w:rFonts w:ascii="Times New Roman" w:hAnsi="Times New Roman"/>
                <w:sz w:val="24"/>
              </w:rPr>
            </w:pPr>
            <w:r>
              <w:rPr>
                <w:rFonts w:ascii="Times New Roman" w:hAnsi="Times New Roman"/>
                <w:sz w:val="24"/>
              </w:rPr>
              <w:t>The total amount shall reflect settlement amounts including unsettled margin calls as of reporting date.</w:t>
            </w:r>
          </w:p>
          <w:p w:rsidR="009E264D" w:rsidRPr="0040604D" w:rsidRDefault="009E264D" w:rsidP="00B00D6E">
            <w:pPr>
              <w:jc w:val="left"/>
              <w:rPr>
                <w:rFonts w:ascii="Times New Roman" w:hAnsi="Times New Roman"/>
                <w:sz w:val="24"/>
              </w:rPr>
            </w:pPr>
            <w:r w:rsidRPr="0040604D">
              <w:rPr>
                <w:rFonts w:ascii="Times New Roman" w:hAnsi="Times New Roman"/>
                <w:sz w:val="24"/>
              </w:rPr>
              <w:t>The total amount shall reflect the sum of (1) and (2) as follows, across the various time buckets.</w:t>
            </w:r>
          </w:p>
          <w:p w:rsidR="009E264D" w:rsidRPr="0040604D" w:rsidRDefault="009E264D" w:rsidP="002957A1">
            <w:pPr>
              <w:pStyle w:val="InstructionsText2"/>
              <w:numPr>
                <w:ilvl w:val="0"/>
                <w:numId w:val="0"/>
              </w:numPr>
              <w:ind w:left="360"/>
              <w:rPr>
                <w:rStyle w:val="InstructionsTabelleberschrift"/>
                <w:rFonts w:ascii="Times New Roman" w:hAnsi="Times New Roman"/>
                <w:b w:val="0"/>
                <w:sz w:val="24"/>
                <w:szCs w:val="24"/>
                <w:u w:val="none"/>
              </w:rPr>
            </w:pPr>
            <w:r w:rsidRPr="00C26C1D">
              <w:rPr>
                <w:rStyle w:val="InstructionsTabelleberschrift"/>
                <w:rFonts w:ascii="Times New Roman" w:hAnsi="Times New Roman"/>
                <w:b w:val="0"/>
                <w:sz w:val="24"/>
                <w:szCs w:val="24"/>
                <w:u w:val="none"/>
              </w:rPr>
              <w:t>1. Cash and securities flows related to derivatives for which there is a collateral agreement in place that req</w:t>
            </w:r>
            <w:r w:rsidRPr="008D3C0F">
              <w:rPr>
                <w:rStyle w:val="InstructionsTabelleberschrift"/>
                <w:rFonts w:ascii="Times New Roman" w:hAnsi="Times New Roman"/>
                <w:b w:val="0"/>
                <w:sz w:val="24"/>
                <w:szCs w:val="24"/>
                <w:u w:val="none"/>
              </w:rPr>
              <w:t>uires the full (or adequate) collateralisation of counterparty exposures</w:t>
            </w:r>
            <w:r w:rsidRPr="0040604D">
              <w:rPr>
                <w:rStyle w:val="InstructionsTabelleberschrift"/>
                <w:rFonts w:ascii="Times New Roman" w:hAnsi="Times New Roman"/>
                <w:b w:val="0"/>
                <w:sz w:val="24"/>
                <w:szCs w:val="24"/>
                <w:u w:val="none"/>
              </w:rPr>
              <w:t xml:space="preserve"> shall be excluded from both maturity ladder templates. This implies that all flows of cash, securities, cash collateral and securities collateral related to these derivatives shall be excluded from the templates. Stocks of cash and securities collateral that have already been received or provided in the context of collateralised derivatives shall furthermore also not be reflected in the ‘stock’ column of section 3 of the contractual template covering the counterbalancing capacity. The sole exception to this are cash and securities flows in the context of recent margin calls (cash or securities collateral flows) which are due/payable in due course but have not yet been settled. The latter shall be reflected in lines 1.</w:t>
            </w:r>
            <w:r w:rsidR="00365819">
              <w:rPr>
                <w:rStyle w:val="InstructionsTabelleberschrift"/>
                <w:rFonts w:ascii="Times New Roman" w:hAnsi="Times New Roman"/>
                <w:b w:val="0"/>
                <w:sz w:val="24"/>
                <w:szCs w:val="24"/>
                <w:u w:val="none"/>
              </w:rPr>
              <w:t>6</w:t>
            </w:r>
            <w:r w:rsidRPr="0040604D">
              <w:rPr>
                <w:rStyle w:val="InstructionsTabelleberschrift"/>
                <w:rFonts w:ascii="Times New Roman" w:hAnsi="Times New Roman"/>
                <w:b w:val="0"/>
                <w:sz w:val="24"/>
                <w:szCs w:val="24"/>
                <w:u w:val="none"/>
              </w:rPr>
              <w:t xml:space="preserve"> (derivatives cash-outflows) and 2.6 (derivatives cash-inflows) in case of cash collateral and in section 3 (counterbalancing capacity) in case of securities collateral in the contractual template.</w:t>
            </w:r>
          </w:p>
          <w:p w:rsidR="009E264D" w:rsidRPr="0040604D" w:rsidRDefault="009E264D" w:rsidP="002957A1">
            <w:pPr>
              <w:pStyle w:val="InstructionsText2"/>
              <w:numPr>
                <w:ilvl w:val="0"/>
                <w:numId w:val="0"/>
              </w:numPr>
              <w:ind w:left="360"/>
              <w:rPr>
                <w:rStyle w:val="InstructionsTabelleberschrift"/>
                <w:rFonts w:ascii="Times New Roman" w:hAnsi="Times New Roman"/>
                <w:b w:val="0"/>
                <w:sz w:val="24"/>
                <w:szCs w:val="24"/>
                <w:u w:val="none"/>
              </w:rPr>
            </w:pPr>
            <w:r w:rsidRPr="00C26C1D">
              <w:rPr>
                <w:rStyle w:val="InstructionsTabelleberschrift"/>
                <w:rFonts w:ascii="Times New Roman" w:hAnsi="Times New Roman"/>
                <w:b w:val="0"/>
                <w:sz w:val="24"/>
                <w:szCs w:val="24"/>
                <w:u w:val="none"/>
              </w:rPr>
              <w:t>2. For cash and securities inflows and outflows related to derivatives for which there is no collateral agreement in place (or where only partial collateralisation is required)</w:t>
            </w:r>
            <w:r w:rsidRPr="0040604D">
              <w:rPr>
                <w:rStyle w:val="InstructionsTabelleberschrift"/>
                <w:rFonts w:ascii="Times New Roman" w:hAnsi="Times New Roman"/>
                <w:b w:val="0"/>
                <w:sz w:val="24"/>
                <w:szCs w:val="24"/>
                <w:u w:val="none"/>
              </w:rPr>
              <w:t>, a distinction is made between contracts that involve optionality and other contracts:</w:t>
            </w:r>
          </w:p>
          <w:p w:rsidR="009E264D" w:rsidRPr="0040604D" w:rsidRDefault="009E264D" w:rsidP="00CE3BDB">
            <w:pPr>
              <w:pStyle w:val="InstructionsText2"/>
              <w:numPr>
                <w:ilvl w:val="1"/>
                <w:numId w:val="2"/>
              </w:numPr>
              <w:rPr>
                <w:rStyle w:val="InstructionsTabelleberschrift"/>
                <w:rFonts w:ascii="Times New Roman" w:hAnsi="Times New Roman"/>
                <w:b w:val="0"/>
                <w:sz w:val="24"/>
                <w:szCs w:val="24"/>
                <w:u w:val="none"/>
              </w:rPr>
            </w:pPr>
            <w:r w:rsidRPr="0040604D">
              <w:rPr>
                <w:rStyle w:val="InstructionsTabelleberschrift"/>
                <w:rFonts w:ascii="Times New Roman" w:hAnsi="Times New Roman"/>
                <w:b w:val="0"/>
                <w:sz w:val="24"/>
                <w:szCs w:val="24"/>
                <w:u w:val="none"/>
              </w:rPr>
              <w:t xml:space="preserve">Flows related to option-like derivatives are only included if </w:t>
            </w:r>
            <w:r w:rsidRPr="0040604D">
              <w:rPr>
                <w:rStyle w:val="InstructionsTabelleberschrift"/>
                <w:rFonts w:ascii="Times New Roman" w:hAnsi="Times New Roman"/>
                <w:b w:val="0"/>
                <w:sz w:val="24"/>
                <w:szCs w:val="24"/>
                <w:u w:val="none"/>
              </w:rPr>
              <w:lastRenderedPageBreak/>
              <w:t>they are ‘in the money’, i.e. when the strike price is below (for a call) or above (for a put) the market price. These flows are proxied by including the current market value or net present value of the contract as inflow in line 2.6 of the contractual template (derivatives cash-inflows) at the latest exercise date of the option if the bank has the right to exercise the option and as outflow in line 1.</w:t>
            </w:r>
            <w:r w:rsidR="00365819">
              <w:rPr>
                <w:rStyle w:val="InstructionsTabelleberschrift"/>
                <w:rFonts w:ascii="Times New Roman" w:hAnsi="Times New Roman"/>
                <w:b w:val="0"/>
                <w:sz w:val="24"/>
                <w:szCs w:val="24"/>
                <w:u w:val="none"/>
              </w:rPr>
              <w:t>6</w:t>
            </w:r>
            <w:r w:rsidRPr="0040604D">
              <w:rPr>
                <w:rStyle w:val="InstructionsTabelleberschrift"/>
                <w:rFonts w:ascii="Times New Roman" w:hAnsi="Times New Roman"/>
                <w:b w:val="0"/>
                <w:sz w:val="24"/>
                <w:szCs w:val="24"/>
                <w:u w:val="none"/>
              </w:rPr>
              <w:t xml:space="preserve"> of the contractual template (derivatives cash-outflows) at the earliest exercise date of the option if the bank's counterparty has the right to exercise it. </w:t>
            </w:r>
          </w:p>
          <w:p w:rsidR="009E264D" w:rsidRPr="009920BE" w:rsidRDefault="009E264D" w:rsidP="009920BE">
            <w:pPr>
              <w:pStyle w:val="InstructionsText2"/>
              <w:numPr>
                <w:ilvl w:val="1"/>
                <w:numId w:val="2"/>
              </w:numPr>
              <w:rPr>
                <w:b/>
                <w:sz w:val="24"/>
              </w:rPr>
            </w:pPr>
            <w:r w:rsidRPr="0040604D">
              <w:rPr>
                <w:rStyle w:val="InstructionsTabelleberschrift"/>
                <w:rFonts w:ascii="Times New Roman" w:hAnsi="Times New Roman"/>
                <w:b w:val="0"/>
                <w:sz w:val="24"/>
                <w:szCs w:val="24"/>
                <w:u w:val="none"/>
              </w:rPr>
              <w:t>Flows related to other contracts are included by projecting the gross contractual flows of cash in the respective time buckets in lines 1.</w:t>
            </w:r>
            <w:r w:rsidR="00365819">
              <w:rPr>
                <w:rStyle w:val="InstructionsTabelleberschrift"/>
                <w:rFonts w:ascii="Times New Roman" w:hAnsi="Times New Roman"/>
                <w:b w:val="0"/>
                <w:sz w:val="24"/>
                <w:szCs w:val="24"/>
                <w:u w:val="none"/>
              </w:rPr>
              <w:t>6</w:t>
            </w:r>
            <w:r w:rsidRPr="0040604D">
              <w:rPr>
                <w:rStyle w:val="InstructionsTabelleberschrift"/>
                <w:rFonts w:ascii="Times New Roman" w:hAnsi="Times New Roman"/>
                <w:b w:val="0"/>
                <w:sz w:val="24"/>
                <w:szCs w:val="24"/>
                <w:u w:val="none"/>
              </w:rPr>
              <w:t xml:space="preserve"> (derivatives cash-outflows) and 2.6 (derivatives cash-inflows) and the contractual flows of liquid securities in lines 3.1 to 3.4 of the counterbalancing capacity of the contractual template, using the current market-implied forward rates applicable at reporting date if the amounts are not yet fixed. </w:t>
            </w:r>
          </w:p>
        </w:tc>
      </w:tr>
      <w:tr w:rsidR="009E264D" w:rsidRPr="0040604D" w:rsidTr="0021066C">
        <w:trPr>
          <w:trHeight w:val="1248"/>
        </w:trPr>
        <w:tc>
          <w:tcPr>
            <w:tcW w:w="828" w:type="dxa"/>
            <w:vAlign w:val="center"/>
          </w:tcPr>
          <w:p w:rsidR="009E264D" w:rsidRPr="003E309A" w:rsidRDefault="00A033A9" w:rsidP="009920BE">
            <w:pPr>
              <w:jc w:val="left"/>
              <w:rPr>
                <w:rStyle w:val="InstructionsTabelleberschrift"/>
                <w:rFonts w:ascii="Times New Roman" w:hAnsi="Times New Roman"/>
                <w:b w:val="0"/>
                <w:sz w:val="24"/>
                <w:szCs w:val="17"/>
                <w:u w:val="none"/>
                <w:lang w:eastAsia="de-DE"/>
              </w:rPr>
            </w:pPr>
            <w:r>
              <w:rPr>
                <w:rStyle w:val="InstructionsTabelleberschrift"/>
                <w:rFonts w:ascii="Times New Roman" w:hAnsi="Times New Roman"/>
                <w:b w:val="0"/>
                <w:sz w:val="24"/>
                <w:u w:val="none"/>
                <w:lang w:eastAsia="de-DE"/>
              </w:rPr>
              <w:lastRenderedPageBreak/>
              <w:t>510</w:t>
            </w:r>
          </w:p>
        </w:tc>
        <w:tc>
          <w:tcPr>
            <w:tcW w:w="7766" w:type="dxa"/>
            <w:gridSpan w:val="2"/>
            <w:shd w:val="clear" w:color="auto" w:fill="auto"/>
            <w:noWrap/>
          </w:tcPr>
          <w:p w:rsidR="009E264D" w:rsidRPr="0040604D" w:rsidRDefault="009E264D" w:rsidP="00B00D6E">
            <w:pPr>
              <w:jc w:val="left"/>
              <w:rPr>
                <w:rFonts w:ascii="Times New Roman" w:hAnsi="Times New Roman"/>
                <w:b/>
                <w:sz w:val="24"/>
                <w:u w:val="single"/>
              </w:rPr>
            </w:pPr>
            <w:r w:rsidRPr="0040604D">
              <w:rPr>
                <w:rFonts w:ascii="Times New Roman" w:hAnsi="Times New Roman"/>
                <w:b/>
                <w:sz w:val="24"/>
                <w:u w:val="single"/>
              </w:rPr>
              <w:t>1.</w:t>
            </w:r>
            <w:r w:rsidR="00E10115">
              <w:rPr>
                <w:rFonts w:ascii="Times New Roman" w:hAnsi="Times New Roman"/>
                <w:b/>
                <w:sz w:val="24"/>
                <w:u w:val="single"/>
              </w:rPr>
              <w:t>7</w:t>
            </w:r>
            <w:r w:rsidRPr="0040604D">
              <w:rPr>
                <w:rFonts w:ascii="Times New Roman" w:hAnsi="Times New Roman"/>
                <w:b/>
                <w:sz w:val="24"/>
                <w:u w:val="single"/>
              </w:rPr>
              <w:t xml:space="preserve"> Other cash</w:t>
            </w:r>
            <w:r w:rsidR="00086CCB">
              <w:rPr>
                <w:rFonts w:ascii="Times New Roman" w:hAnsi="Times New Roman"/>
                <w:b/>
                <w:sz w:val="24"/>
                <w:u w:val="single"/>
              </w:rPr>
              <w:t xml:space="preserve"> </w:t>
            </w:r>
            <w:r w:rsidRPr="0040604D">
              <w:rPr>
                <w:rFonts w:ascii="Times New Roman" w:hAnsi="Times New Roman"/>
                <w:b/>
                <w:sz w:val="24"/>
                <w:u w:val="single"/>
              </w:rPr>
              <w:t xml:space="preserve">outflows </w:t>
            </w:r>
          </w:p>
          <w:p w:rsidR="009E264D" w:rsidRPr="0040604D" w:rsidRDefault="009E264D" w:rsidP="00AF4E42">
            <w:pPr>
              <w:jc w:val="left"/>
              <w:rPr>
                <w:rFonts w:ascii="Times New Roman" w:hAnsi="Times New Roman"/>
                <w:b/>
                <w:sz w:val="24"/>
                <w:u w:val="single"/>
              </w:rPr>
            </w:pPr>
            <w:r w:rsidRPr="0040604D">
              <w:rPr>
                <w:rStyle w:val="InstructionsTabelleberschrift"/>
                <w:rFonts w:ascii="Times New Roman" w:hAnsi="Times New Roman"/>
                <w:b w:val="0"/>
                <w:sz w:val="24"/>
                <w:u w:val="none"/>
                <w:lang w:eastAsia="de-DE"/>
              </w:rPr>
              <w:t xml:space="preserve">Total amount of all other cash outflows, not reported in items </w:t>
            </w:r>
            <w:r w:rsidR="002B1FDF" w:rsidRPr="008A1DB9">
              <w:rPr>
                <w:rStyle w:val="InstructionsTabelleberschrift"/>
                <w:rFonts w:ascii="Times New Roman" w:hAnsi="Times New Roman"/>
                <w:b w:val="0"/>
                <w:sz w:val="24"/>
                <w:u w:val="none"/>
                <w:lang w:eastAsia="de-DE"/>
              </w:rPr>
              <w:t>1.1</w:t>
            </w:r>
            <w:r w:rsidR="00DB71B1" w:rsidRPr="008A1DB9">
              <w:rPr>
                <w:rStyle w:val="InstructionsTabelleberschrift"/>
                <w:rFonts w:ascii="Times New Roman" w:hAnsi="Times New Roman"/>
                <w:b w:val="0"/>
                <w:sz w:val="24"/>
                <w:u w:val="none"/>
                <w:lang w:eastAsia="de-DE"/>
              </w:rPr>
              <w:t xml:space="preserve">, </w:t>
            </w:r>
            <w:r w:rsidR="002B1FDF" w:rsidRPr="008A1DB9">
              <w:rPr>
                <w:rStyle w:val="InstructionsTabelleberschrift"/>
                <w:rFonts w:ascii="Times New Roman" w:hAnsi="Times New Roman"/>
                <w:b w:val="0"/>
                <w:sz w:val="24"/>
                <w:u w:val="none"/>
                <w:lang w:eastAsia="de-DE"/>
              </w:rPr>
              <w:t>1.</w:t>
            </w:r>
            <w:r w:rsidR="00DB71B1" w:rsidRPr="008A1DB9">
              <w:rPr>
                <w:rStyle w:val="InstructionsTabelleberschrift"/>
                <w:rFonts w:ascii="Times New Roman" w:hAnsi="Times New Roman"/>
                <w:b w:val="0"/>
                <w:sz w:val="24"/>
                <w:u w:val="none"/>
                <w:lang w:eastAsia="de-DE"/>
              </w:rPr>
              <w:t>2, 1.3, 1.4, 1.5 or</w:t>
            </w:r>
            <w:r w:rsidR="00AF4E42" w:rsidRPr="008A1DB9">
              <w:rPr>
                <w:rStyle w:val="InstructionsTabelleberschrift"/>
                <w:rFonts w:ascii="Times New Roman" w:hAnsi="Times New Roman"/>
                <w:b w:val="0"/>
                <w:sz w:val="24"/>
                <w:u w:val="none"/>
                <w:lang w:eastAsia="de-DE"/>
              </w:rPr>
              <w:t xml:space="preserve"> </w:t>
            </w:r>
            <w:r w:rsidRPr="008A1DB9">
              <w:rPr>
                <w:rStyle w:val="InstructionsTabelleberschrift"/>
                <w:rFonts w:ascii="Times New Roman" w:hAnsi="Times New Roman"/>
                <w:b w:val="0"/>
                <w:sz w:val="24"/>
                <w:u w:val="none"/>
                <w:lang w:eastAsia="de-DE"/>
              </w:rPr>
              <w:t>1.</w:t>
            </w:r>
            <w:r w:rsidR="00E10115" w:rsidRPr="008A1DB9">
              <w:rPr>
                <w:rStyle w:val="InstructionsTabelleberschrift"/>
                <w:rFonts w:ascii="Times New Roman" w:hAnsi="Times New Roman"/>
                <w:b w:val="0"/>
                <w:sz w:val="24"/>
                <w:u w:val="none"/>
                <w:lang w:eastAsia="de-DE"/>
              </w:rPr>
              <w:t>6</w:t>
            </w:r>
            <w:r w:rsidR="002B1FDF" w:rsidRPr="008A1DB9">
              <w:rPr>
                <w:rStyle w:val="InstructionsTabelleberschrift"/>
                <w:rFonts w:ascii="Times New Roman" w:hAnsi="Times New Roman"/>
                <w:b w:val="0"/>
                <w:sz w:val="24"/>
                <w:u w:val="none"/>
                <w:lang w:eastAsia="de-DE"/>
              </w:rPr>
              <w:t>.</w:t>
            </w:r>
          </w:p>
        </w:tc>
      </w:tr>
      <w:tr w:rsidR="000C2B9F" w:rsidRPr="0040604D" w:rsidTr="0021066C">
        <w:trPr>
          <w:trHeight w:val="1248"/>
        </w:trPr>
        <w:tc>
          <w:tcPr>
            <w:tcW w:w="828" w:type="dxa"/>
            <w:vAlign w:val="center"/>
          </w:tcPr>
          <w:p w:rsidR="000C2B9F"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520</w:t>
            </w:r>
          </w:p>
        </w:tc>
        <w:tc>
          <w:tcPr>
            <w:tcW w:w="7766" w:type="dxa"/>
            <w:gridSpan w:val="2"/>
            <w:shd w:val="clear" w:color="auto" w:fill="auto"/>
            <w:noWrap/>
          </w:tcPr>
          <w:p w:rsidR="000C2B9F" w:rsidRDefault="00140ABC" w:rsidP="00B00D6E">
            <w:pPr>
              <w:jc w:val="left"/>
              <w:rPr>
                <w:rFonts w:ascii="Times New Roman" w:hAnsi="Times New Roman"/>
                <w:b/>
                <w:sz w:val="24"/>
                <w:u w:val="single"/>
              </w:rPr>
            </w:pPr>
            <w:r>
              <w:rPr>
                <w:rFonts w:ascii="Times New Roman" w:hAnsi="Times New Roman"/>
                <w:b/>
                <w:sz w:val="24"/>
                <w:u w:val="single"/>
              </w:rPr>
              <w:t>1.</w:t>
            </w:r>
            <w:r w:rsidR="00365819">
              <w:rPr>
                <w:rFonts w:ascii="Times New Roman" w:hAnsi="Times New Roman"/>
                <w:b/>
                <w:sz w:val="24"/>
                <w:u w:val="single"/>
              </w:rPr>
              <w:t>7</w:t>
            </w:r>
            <w:r w:rsidR="000C2B9F">
              <w:rPr>
                <w:rFonts w:ascii="Times New Roman" w:hAnsi="Times New Roman"/>
                <w:b/>
                <w:sz w:val="24"/>
                <w:u w:val="single"/>
              </w:rPr>
              <w:t>.1 of which to intragroup entities</w:t>
            </w:r>
          </w:p>
          <w:p w:rsidR="000C2B9F" w:rsidRPr="000C2B9F" w:rsidRDefault="00743492" w:rsidP="00743492">
            <w:pPr>
              <w:jc w:val="left"/>
              <w:rPr>
                <w:rFonts w:ascii="Times New Roman" w:hAnsi="Times New Roman"/>
                <w:sz w:val="24"/>
              </w:rPr>
            </w:pPr>
            <w:r>
              <w:rPr>
                <w:rFonts w:ascii="Times New Roman" w:hAnsi="Times New Roman"/>
                <w:sz w:val="24"/>
              </w:rPr>
              <w:t>T</w:t>
            </w:r>
            <w:r w:rsidR="000C2B9F" w:rsidRPr="000C2B9F">
              <w:rPr>
                <w:rFonts w:ascii="Times New Roman" w:hAnsi="Times New Roman"/>
                <w:sz w:val="24"/>
              </w:rPr>
              <w:t xml:space="preserve">he amount of cash </w:t>
            </w:r>
            <w:r w:rsidR="00F670A6">
              <w:rPr>
                <w:rFonts w:ascii="Times New Roman" w:hAnsi="Times New Roman"/>
                <w:sz w:val="24"/>
              </w:rPr>
              <w:t>outflows reported in item 1.</w:t>
            </w:r>
            <w:r w:rsidR="00AB1E35">
              <w:rPr>
                <w:rFonts w:ascii="Times New Roman" w:hAnsi="Times New Roman"/>
                <w:sz w:val="24"/>
              </w:rPr>
              <w:t>7</w:t>
            </w:r>
            <w:r>
              <w:rPr>
                <w:rFonts w:ascii="Times New Roman" w:hAnsi="Times New Roman"/>
                <w:sz w:val="24"/>
              </w:rPr>
              <w:t>,</w:t>
            </w:r>
            <w:r w:rsidR="000C2B9F" w:rsidRPr="000C2B9F">
              <w:rPr>
                <w:rFonts w:ascii="Times New Roman" w:hAnsi="Times New Roman"/>
                <w:sz w:val="24"/>
              </w:rPr>
              <w:t xml:space="preserve"> </w:t>
            </w:r>
            <w:r>
              <w:rPr>
                <w:rFonts w:ascii="Times New Roman" w:hAnsi="Times New Roman"/>
                <w:sz w:val="24"/>
              </w:rPr>
              <w:t>which</w:t>
            </w:r>
            <w:r w:rsidR="000C2B9F" w:rsidRPr="000C2B9F">
              <w:rPr>
                <w:rFonts w:ascii="Times New Roman" w:hAnsi="Times New Roman"/>
                <w:sz w:val="24"/>
              </w:rPr>
              <w:t xml:space="preserve"> </w:t>
            </w:r>
            <w:r w:rsidR="00D05041">
              <w:rPr>
                <w:rFonts w:ascii="Times New Roman" w:hAnsi="Times New Roman"/>
                <w:sz w:val="24"/>
              </w:rPr>
              <w:t>is</w:t>
            </w:r>
            <w:r w:rsidR="000C2B9F" w:rsidRPr="000C2B9F">
              <w:rPr>
                <w:rFonts w:ascii="Times New Roman" w:hAnsi="Times New Roman"/>
                <w:sz w:val="24"/>
              </w:rPr>
              <w:t xml:space="preserve"> to intragroup entities.</w:t>
            </w:r>
          </w:p>
        </w:tc>
      </w:tr>
      <w:tr w:rsidR="009E264D" w:rsidRPr="0040604D" w:rsidTr="0021066C">
        <w:trPr>
          <w:trHeight w:val="1134"/>
        </w:trPr>
        <w:tc>
          <w:tcPr>
            <w:tcW w:w="828" w:type="dxa"/>
            <w:vAlign w:val="center"/>
          </w:tcPr>
          <w:p w:rsidR="009E264D" w:rsidRPr="003E309A" w:rsidRDefault="00A033A9"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530</w:t>
            </w:r>
          </w:p>
        </w:tc>
        <w:tc>
          <w:tcPr>
            <w:tcW w:w="7766" w:type="dxa"/>
            <w:gridSpan w:val="2"/>
            <w:shd w:val="clear" w:color="auto" w:fill="auto"/>
            <w:noWrap/>
          </w:tcPr>
          <w:p w:rsidR="009E264D" w:rsidRPr="0040604D" w:rsidRDefault="009E264D" w:rsidP="00B00D6E">
            <w:pPr>
              <w:jc w:val="left"/>
              <w:rPr>
                <w:rFonts w:ascii="Times New Roman" w:hAnsi="Times New Roman"/>
                <w:b/>
                <w:sz w:val="24"/>
                <w:u w:val="single"/>
              </w:rPr>
            </w:pPr>
            <w:r w:rsidRPr="0040604D">
              <w:rPr>
                <w:rFonts w:ascii="Times New Roman" w:hAnsi="Times New Roman"/>
                <w:b/>
                <w:sz w:val="24"/>
                <w:u w:val="single"/>
              </w:rPr>
              <w:t>1.</w:t>
            </w:r>
            <w:r w:rsidR="00E10115">
              <w:rPr>
                <w:rFonts w:ascii="Times New Roman" w:hAnsi="Times New Roman"/>
                <w:b/>
                <w:sz w:val="24"/>
                <w:u w:val="single"/>
              </w:rPr>
              <w:t>8</w:t>
            </w:r>
            <w:r w:rsidRPr="0040604D">
              <w:rPr>
                <w:rFonts w:ascii="Times New Roman" w:hAnsi="Times New Roman"/>
                <w:b/>
                <w:sz w:val="24"/>
                <w:u w:val="single"/>
              </w:rPr>
              <w:t xml:space="preserve"> </w:t>
            </w:r>
            <w:r w:rsidR="00A42D88">
              <w:rPr>
                <w:rFonts w:ascii="Times New Roman" w:hAnsi="Times New Roman"/>
                <w:b/>
                <w:sz w:val="24"/>
                <w:u w:val="single"/>
              </w:rPr>
              <w:t xml:space="preserve">Of which: </w:t>
            </w:r>
            <w:r w:rsidR="000852A1">
              <w:rPr>
                <w:rFonts w:ascii="Times New Roman" w:hAnsi="Times New Roman"/>
                <w:b/>
                <w:sz w:val="24"/>
                <w:u w:val="single"/>
              </w:rPr>
              <w:t>I</w:t>
            </w:r>
            <w:r w:rsidRPr="0040604D">
              <w:rPr>
                <w:rFonts w:ascii="Times New Roman" w:hAnsi="Times New Roman"/>
                <w:b/>
                <w:sz w:val="24"/>
                <w:u w:val="single"/>
              </w:rPr>
              <w:t>nterest flows due</w:t>
            </w:r>
          </w:p>
          <w:p w:rsidR="009E264D" w:rsidRDefault="00743492" w:rsidP="004D4A7D">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w:t>
            </w:r>
            <w:r w:rsidR="0075769C">
              <w:rPr>
                <w:rStyle w:val="InstructionsTabelleberschrift"/>
                <w:rFonts w:ascii="Times New Roman" w:hAnsi="Times New Roman"/>
                <w:b w:val="0"/>
                <w:sz w:val="24"/>
                <w:u w:val="none"/>
                <w:lang w:eastAsia="de-DE"/>
              </w:rPr>
              <w:t>he amount of outflows reported in items 1.1 to 1.7</w:t>
            </w:r>
            <w:r>
              <w:rPr>
                <w:rStyle w:val="InstructionsTabelleberschrift"/>
                <w:rFonts w:ascii="Times New Roman" w:hAnsi="Times New Roman"/>
                <w:b w:val="0"/>
                <w:sz w:val="24"/>
                <w:u w:val="none"/>
                <w:lang w:eastAsia="de-DE"/>
              </w:rPr>
              <w:t>,</w:t>
            </w:r>
            <w:r w:rsidR="0075769C">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75769C">
              <w:rPr>
                <w:rStyle w:val="InstructionsTabelleberschrift"/>
                <w:rFonts w:ascii="Times New Roman" w:hAnsi="Times New Roman"/>
                <w:b w:val="0"/>
                <w:sz w:val="24"/>
                <w:u w:val="none"/>
                <w:lang w:eastAsia="de-DE"/>
              </w:rPr>
              <w:t xml:space="preserve"> is t</w:t>
            </w:r>
            <w:r w:rsidR="00E10115">
              <w:rPr>
                <w:rStyle w:val="InstructionsTabelleberschrift"/>
                <w:rFonts w:ascii="Times New Roman" w:hAnsi="Times New Roman"/>
                <w:b w:val="0"/>
                <w:sz w:val="24"/>
                <w:u w:val="none"/>
                <w:lang w:eastAsia="de-DE"/>
              </w:rPr>
              <w:t>otal amount of</w:t>
            </w:r>
            <w:r w:rsidR="009E264D" w:rsidRPr="0040604D">
              <w:rPr>
                <w:rStyle w:val="InstructionsTabelleberschrift"/>
                <w:rFonts w:ascii="Times New Roman" w:hAnsi="Times New Roman"/>
                <w:b w:val="0"/>
                <w:sz w:val="24"/>
                <w:u w:val="none"/>
                <w:lang w:eastAsia="de-DE"/>
              </w:rPr>
              <w:t xml:space="preserve"> </w:t>
            </w:r>
            <w:r w:rsidR="004D4A7D">
              <w:rPr>
                <w:rStyle w:val="InstructionsTabelleberschrift"/>
                <w:rFonts w:ascii="Times New Roman" w:hAnsi="Times New Roman"/>
                <w:b w:val="0"/>
                <w:sz w:val="24"/>
                <w:u w:val="none"/>
                <w:lang w:eastAsia="de-DE"/>
              </w:rPr>
              <w:t>interest outflows</w:t>
            </w:r>
            <w:r w:rsidR="009E264D" w:rsidRPr="0040604D">
              <w:rPr>
                <w:rStyle w:val="InstructionsTabelleberschrift"/>
                <w:rFonts w:ascii="Times New Roman" w:hAnsi="Times New Roman"/>
                <w:b w:val="0"/>
                <w:sz w:val="24"/>
                <w:u w:val="none"/>
                <w:lang w:eastAsia="de-DE"/>
              </w:rPr>
              <w:t xml:space="preserve"> due on all interest bearing instruments. </w:t>
            </w:r>
          </w:p>
          <w:p w:rsidR="00C0411C" w:rsidRPr="0040604D" w:rsidRDefault="00C0411C" w:rsidP="004D4A7D">
            <w:pPr>
              <w:jc w:val="left"/>
              <w:rPr>
                <w:rFonts w:ascii="Times New Roman" w:hAnsi="Times New Roman"/>
                <w:bCs/>
                <w:sz w:val="24"/>
                <w:lang w:eastAsia="de-DE"/>
              </w:rPr>
            </w:pPr>
            <w:r>
              <w:rPr>
                <w:rStyle w:val="InstructionsTabelleberschrift"/>
                <w:rFonts w:ascii="Times New Roman" w:hAnsi="Times New Roman"/>
                <w:b w:val="0"/>
                <w:sz w:val="24"/>
                <w:u w:val="none"/>
                <w:lang w:eastAsia="de-DE"/>
              </w:rPr>
              <w:t>In case of zero-coupon bonds, the difference between nominal and</w:t>
            </w:r>
            <w:r w:rsidR="00174D74">
              <w:rPr>
                <w:rStyle w:val="InstructionsTabelleberschrift"/>
                <w:rFonts w:ascii="Times New Roman" w:hAnsi="Times New Roman"/>
                <w:b w:val="0"/>
                <w:sz w:val="24"/>
                <w:u w:val="none"/>
                <w:lang w:eastAsia="de-DE"/>
              </w:rPr>
              <w:t xml:space="preserve"> original</w:t>
            </w:r>
            <w:r>
              <w:rPr>
                <w:rStyle w:val="InstructionsTabelleberschrift"/>
                <w:rFonts w:ascii="Times New Roman" w:hAnsi="Times New Roman"/>
                <w:b w:val="0"/>
                <w:sz w:val="24"/>
                <w:u w:val="none"/>
                <w:lang w:eastAsia="de-DE"/>
              </w:rPr>
              <w:t xml:space="preserve"> issue value shall be reported. </w:t>
            </w:r>
          </w:p>
        </w:tc>
      </w:tr>
      <w:tr w:rsidR="00E10115" w:rsidRPr="0040604D" w:rsidTr="0021066C">
        <w:trPr>
          <w:trHeight w:val="1134"/>
        </w:trPr>
        <w:tc>
          <w:tcPr>
            <w:tcW w:w="828" w:type="dxa"/>
            <w:vAlign w:val="center"/>
          </w:tcPr>
          <w:p w:rsidR="00E10115" w:rsidRPr="003E309A" w:rsidRDefault="00166193"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540</w:t>
            </w:r>
          </w:p>
        </w:tc>
        <w:tc>
          <w:tcPr>
            <w:tcW w:w="7766" w:type="dxa"/>
            <w:gridSpan w:val="2"/>
            <w:shd w:val="clear" w:color="auto" w:fill="auto"/>
            <w:noWrap/>
          </w:tcPr>
          <w:p w:rsidR="00E10115" w:rsidRDefault="00E10115" w:rsidP="00B00D6E">
            <w:pPr>
              <w:jc w:val="left"/>
              <w:rPr>
                <w:rFonts w:ascii="Times New Roman" w:hAnsi="Times New Roman"/>
                <w:b/>
                <w:sz w:val="24"/>
                <w:u w:val="single"/>
              </w:rPr>
            </w:pPr>
            <w:r>
              <w:rPr>
                <w:rFonts w:ascii="Times New Roman" w:hAnsi="Times New Roman"/>
                <w:b/>
                <w:sz w:val="24"/>
                <w:u w:val="single"/>
              </w:rPr>
              <w:t xml:space="preserve">1.8.1 of which to intragroup </w:t>
            </w:r>
            <w:r w:rsidR="008F6DDA">
              <w:rPr>
                <w:rFonts w:ascii="Times New Roman" w:hAnsi="Times New Roman"/>
                <w:b/>
                <w:sz w:val="24"/>
                <w:u w:val="single"/>
              </w:rPr>
              <w:t>entities</w:t>
            </w:r>
          </w:p>
          <w:p w:rsidR="00E10115" w:rsidRPr="009920BE" w:rsidRDefault="00743492" w:rsidP="00B00D6E">
            <w:pPr>
              <w:jc w:val="left"/>
              <w:rPr>
                <w:rFonts w:ascii="Times New Roman" w:hAnsi="Times New Roman"/>
                <w:sz w:val="24"/>
              </w:rPr>
            </w:pPr>
            <w:r w:rsidRPr="009920BE">
              <w:rPr>
                <w:rFonts w:ascii="Times New Roman" w:hAnsi="Times New Roman"/>
                <w:sz w:val="24"/>
              </w:rPr>
              <w:t>The</w:t>
            </w:r>
            <w:r w:rsidR="00E10115" w:rsidRPr="009920BE">
              <w:rPr>
                <w:rFonts w:ascii="Times New Roman" w:hAnsi="Times New Roman"/>
                <w:sz w:val="24"/>
              </w:rPr>
              <w:t xml:space="preserve"> amount of cash outflows reported in item 1.8 </w:t>
            </w:r>
            <w:r w:rsidRPr="009920BE">
              <w:rPr>
                <w:rFonts w:ascii="Times New Roman" w:hAnsi="Times New Roman"/>
                <w:sz w:val="24"/>
              </w:rPr>
              <w:t>which</w:t>
            </w:r>
            <w:r w:rsidR="00E10115" w:rsidRPr="009920BE">
              <w:rPr>
                <w:rFonts w:ascii="Times New Roman" w:hAnsi="Times New Roman"/>
                <w:sz w:val="24"/>
              </w:rPr>
              <w:t xml:space="preserve"> </w:t>
            </w:r>
            <w:r w:rsidR="00DC6350">
              <w:rPr>
                <w:rFonts w:ascii="Times New Roman" w:hAnsi="Times New Roman"/>
                <w:sz w:val="24"/>
              </w:rPr>
              <w:t>is</w:t>
            </w:r>
            <w:r w:rsidR="00E10115" w:rsidRPr="009920BE">
              <w:rPr>
                <w:rFonts w:ascii="Times New Roman" w:hAnsi="Times New Roman"/>
                <w:sz w:val="24"/>
              </w:rPr>
              <w:t xml:space="preserve"> to intragroup entities. </w:t>
            </w:r>
          </w:p>
        </w:tc>
      </w:tr>
      <w:tr w:rsidR="002A0515" w:rsidRPr="0040604D" w:rsidTr="0021066C">
        <w:trPr>
          <w:trHeight w:val="1134"/>
        </w:trPr>
        <w:tc>
          <w:tcPr>
            <w:tcW w:w="828" w:type="dxa"/>
            <w:vAlign w:val="center"/>
          </w:tcPr>
          <w:p w:rsidR="002A0515" w:rsidRPr="003E309A" w:rsidRDefault="00166193" w:rsidP="009920B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55</w:t>
            </w:r>
            <w:r w:rsidR="00DE1A6F">
              <w:rPr>
                <w:rStyle w:val="InstructionsTabelleberschrift"/>
                <w:rFonts w:ascii="Times New Roman" w:hAnsi="Times New Roman"/>
                <w:b w:val="0"/>
                <w:sz w:val="24"/>
                <w:u w:val="none"/>
                <w:lang w:eastAsia="de-DE"/>
              </w:rPr>
              <w:t>0</w:t>
            </w:r>
          </w:p>
        </w:tc>
        <w:tc>
          <w:tcPr>
            <w:tcW w:w="7766" w:type="dxa"/>
            <w:gridSpan w:val="2"/>
            <w:shd w:val="clear" w:color="auto" w:fill="auto"/>
            <w:noWrap/>
          </w:tcPr>
          <w:p w:rsidR="002A0515" w:rsidRDefault="002A0515" w:rsidP="00B00D6E">
            <w:pPr>
              <w:jc w:val="left"/>
              <w:rPr>
                <w:rFonts w:ascii="Times New Roman" w:hAnsi="Times New Roman"/>
                <w:b/>
                <w:sz w:val="24"/>
                <w:u w:val="single"/>
              </w:rPr>
            </w:pPr>
            <w:r>
              <w:rPr>
                <w:rFonts w:ascii="Times New Roman" w:hAnsi="Times New Roman"/>
                <w:b/>
                <w:sz w:val="24"/>
                <w:u w:val="single"/>
              </w:rPr>
              <w:t>1.9 Total outflows</w:t>
            </w:r>
          </w:p>
          <w:p w:rsidR="002A0515" w:rsidRPr="009920BE" w:rsidRDefault="00DC6350" w:rsidP="00DC6350">
            <w:pPr>
              <w:jc w:val="left"/>
              <w:rPr>
                <w:rFonts w:ascii="Times New Roman" w:hAnsi="Times New Roman"/>
                <w:sz w:val="24"/>
                <w:u w:val="single"/>
              </w:rPr>
            </w:pPr>
            <w:r w:rsidRPr="009920BE">
              <w:rPr>
                <w:rFonts w:ascii="Times New Roman" w:hAnsi="Times New Roman"/>
                <w:sz w:val="24"/>
                <w:u w:val="single"/>
              </w:rPr>
              <w:t>The s</w:t>
            </w:r>
            <w:r w:rsidR="00330661" w:rsidRPr="009920BE">
              <w:rPr>
                <w:rFonts w:ascii="Times New Roman" w:hAnsi="Times New Roman"/>
                <w:sz w:val="24"/>
                <w:u w:val="single"/>
              </w:rPr>
              <w:t>um</w:t>
            </w:r>
            <w:r w:rsidR="00F40562" w:rsidRPr="009920BE">
              <w:rPr>
                <w:rFonts w:ascii="Times New Roman" w:hAnsi="Times New Roman"/>
                <w:sz w:val="24"/>
                <w:u w:val="single"/>
              </w:rPr>
              <w:t xml:space="preserve"> of outflows reported in items 1.1, 1.2, 1.3, 1.4, 1.5, 1.6 and 1.7. </w:t>
            </w:r>
          </w:p>
        </w:tc>
      </w:tr>
      <w:tr w:rsidR="009E264D" w:rsidRPr="0040604D" w:rsidTr="0021066C">
        <w:trPr>
          <w:trHeight w:val="1134"/>
        </w:trPr>
        <w:tc>
          <w:tcPr>
            <w:tcW w:w="828" w:type="dxa"/>
            <w:shd w:val="clear" w:color="auto" w:fill="E6E6E6"/>
            <w:vAlign w:val="center"/>
          </w:tcPr>
          <w:p w:rsidR="009E264D" w:rsidRPr="009920BE" w:rsidRDefault="00166193" w:rsidP="009920BE">
            <w:pPr>
              <w:jc w:val="left"/>
              <w:rPr>
                <w:rFonts w:ascii="Times New Roman" w:hAnsi="Times New Roman"/>
                <w:sz w:val="24"/>
              </w:rPr>
            </w:pPr>
            <w:r>
              <w:rPr>
                <w:rFonts w:ascii="Times New Roman" w:hAnsi="Times New Roman"/>
                <w:sz w:val="24"/>
              </w:rPr>
              <w:t>560 t</w:t>
            </w:r>
            <w:r w:rsidR="000852A1">
              <w:rPr>
                <w:rFonts w:ascii="Times New Roman" w:hAnsi="Times New Roman"/>
                <w:sz w:val="24"/>
              </w:rPr>
              <w:t>o</w:t>
            </w:r>
            <w:r>
              <w:rPr>
                <w:rFonts w:ascii="Times New Roman" w:hAnsi="Times New Roman"/>
                <w:sz w:val="24"/>
              </w:rPr>
              <w:t xml:space="preserve"> 1030</w:t>
            </w:r>
          </w:p>
        </w:tc>
        <w:tc>
          <w:tcPr>
            <w:tcW w:w="7766" w:type="dxa"/>
            <w:gridSpan w:val="2"/>
            <w:shd w:val="clear" w:color="auto" w:fill="E6E6E6"/>
            <w:noWrap/>
          </w:tcPr>
          <w:p w:rsidR="009E264D" w:rsidRPr="0040604D" w:rsidRDefault="009E264D" w:rsidP="00B00D6E">
            <w:pPr>
              <w:jc w:val="left"/>
              <w:rPr>
                <w:rFonts w:ascii="Times New Roman" w:hAnsi="Times New Roman"/>
                <w:b/>
                <w:sz w:val="24"/>
                <w:u w:val="single"/>
              </w:rPr>
            </w:pPr>
            <w:r w:rsidRPr="0040604D">
              <w:rPr>
                <w:rFonts w:ascii="Times New Roman" w:hAnsi="Times New Roman"/>
                <w:b/>
                <w:sz w:val="24"/>
                <w:u w:val="single"/>
              </w:rPr>
              <w:t>2 INFLOWS</w:t>
            </w:r>
          </w:p>
          <w:p w:rsidR="009E264D" w:rsidRPr="0040604D" w:rsidRDefault="009E264D" w:rsidP="00C854E6">
            <w:pPr>
              <w:spacing w:before="0" w:after="0"/>
              <w:jc w:val="left"/>
              <w:rPr>
                <w:rFonts w:ascii="Times New Roman" w:hAnsi="Times New Roman"/>
                <w:b/>
                <w:sz w:val="24"/>
                <w:u w:val="single"/>
              </w:rPr>
            </w:pPr>
            <w:r w:rsidRPr="0040604D">
              <w:rPr>
                <w:rStyle w:val="InstructionsTabelleberschrift"/>
                <w:rFonts w:ascii="Times New Roman" w:hAnsi="Times New Roman"/>
                <w:b w:val="0"/>
                <w:sz w:val="24"/>
                <w:u w:val="none"/>
                <w:lang w:eastAsia="de-DE"/>
              </w:rPr>
              <w:t>Total amount of inflows shall be reported in the following subcategories below:</w:t>
            </w:r>
          </w:p>
        </w:tc>
      </w:tr>
      <w:tr w:rsidR="009E264D" w:rsidRPr="0040604D" w:rsidTr="0021066C">
        <w:trPr>
          <w:trHeight w:val="1134"/>
        </w:trPr>
        <w:tc>
          <w:tcPr>
            <w:tcW w:w="828" w:type="dxa"/>
            <w:vAlign w:val="center"/>
          </w:tcPr>
          <w:p w:rsidR="009E264D" w:rsidRPr="009920BE" w:rsidRDefault="00166193" w:rsidP="009920BE">
            <w:pPr>
              <w:jc w:val="left"/>
              <w:rPr>
                <w:rFonts w:ascii="Times New Roman" w:hAnsi="Times New Roman"/>
                <w:sz w:val="24"/>
              </w:rPr>
            </w:pPr>
            <w:r>
              <w:rPr>
                <w:rFonts w:ascii="Times New Roman" w:hAnsi="Times New Roman"/>
                <w:sz w:val="24"/>
              </w:rPr>
              <w:lastRenderedPageBreak/>
              <w:t>560</w:t>
            </w:r>
          </w:p>
        </w:tc>
        <w:tc>
          <w:tcPr>
            <w:tcW w:w="7766" w:type="dxa"/>
            <w:gridSpan w:val="2"/>
            <w:shd w:val="clear" w:color="auto" w:fill="auto"/>
            <w:noWrap/>
          </w:tcPr>
          <w:p w:rsidR="009E264D" w:rsidRPr="0040604D" w:rsidRDefault="009E264D" w:rsidP="00B00D6E">
            <w:pPr>
              <w:jc w:val="left"/>
              <w:rPr>
                <w:rFonts w:ascii="Times New Roman" w:hAnsi="Times New Roman"/>
                <w:b/>
                <w:sz w:val="24"/>
                <w:u w:val="single"/>
                <w:lang w:eastAsia="en-GB"/>
              </w:rPr>
            </w:pPr>
            <w:r w:rsidRPr="0040604D">
              <w:rPr>
                <w:rFonts w:ascii="Times New Roman" w:hAnsi="Times New Roman"/>
                <w:b/>
                <w:sz w:val="24"/>
                <w:u w:val="single"/>
              </w:rPr>
              <w:t xml:space="preserve">2.1 Monies due from secured lending and capital market driven transactions as defined in Article </w:t>
            </w:r>
            <w:r w:rsidR="004115FF" w:rsidRPr="0040604D">
              <w:rPr>
                <w:rFonts w:ascii="Times New Roman" w:hAnsi="Times New Roman"/>
                <w:b/>
                <w:sz w:val="24"/>
                <w:u w:val="single"/>
              </w:rPr>
              <w:t>1</w:t>
            </w:r>
            <w:r w:rsidR="004115FF">
              <w:rPr>
                <w:rFonts w:ascii="Times New Roman" w:hAnsi="Times New Roman"/>
                <w:b/>
                <w:sz w:val="24"/>
                <w:u w:val="single"/>
              </w:rPr>
              <w:t>92</w:t>
            </w:r>
            <w:r w:rsidR="004115FF" w:rsidRPr="0040604D">
              <w:rPr>
                <w:rFonts w:ascii="Times New Roman" w:hAnsi="Times New Roman"/>
                <w:b/>
                <w:sz w:val="24"/>
                <w:u w:val="single"/>
              </w:rPr>
              <w:t xml:space="preserve"> </w:t>
            </w:r>
            <w:r w:rsidR="00B35A16" w:rsidRPr="00B35A16">
              <w:rPr>
                <w:rFonts w:ascii="Times New Roman" w:hAnsi="Times New Roman"/>
                <w:b/>
                <w:sz w:val="24"/>
                <w:u w:val="single"/>
              </w:rPr>
              <w:t xml:space="preserve">of </w:t>
            </w:r>
            <w:r w:rsidR="00BE5F65">
              <w:rPr>
                <w:rFonts w:ascii="Times New Roman" w:hAnsi="Times New Roman"/>
                <w:b/>
                <w:sz w:val="24"/>
                <w:u w:val="single"/>
              </w:rPr>
              <w:t>CRR</w:t>
            </w:r>
            <w:r w:rsidRPr="0040604D">
              <w:rPr>
                <w:rFonts w:ascii="Times New Roman" w:hAnsi="Times New Roman"/>
                <w:b/>
                <w:sz w:val="24"/>
                <w:u w:val="single"/>
                <w:lang w:eastAsia="en-GB"/>
              </w:rPr>
              <w:t>, collateralised by:</w:t>
            </w:r>
          </w:p>
          <w:p w:rsidR="009E264D" w:rsidRDefault="009E264D" w:rsidP="00E02AA7">
            <w:pPr>
              <w:jc w:val="left"/>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b w:val="0"/>
                <w:sz w:val="24"/>
                <w:u w:val="none"/>
                <w:lang w:eastAsia="de-DE"/>
              </w:rPr>
              <w:t xml:space="preserve">Total amount of </w:t>
            </w:r>
            <w:r>
              <w:rPr>
                <w:rStyle w:val="InstructionsTabelleberschrift"/>
                <w:rFonts w:ascii="Times New Roman" w:hAnsi="Times New Roman"/>
                <w:b w:val="0"/>
                <w:sz w:val="24"/>
                <w:u w:val="none"/>
                <w:lang w:eastAsia="de-DE"/>
              </w:rPr>
              <w:t>cash inflows</w:t>
            </w:r>
            <w:r w:rsidRPr="0040604D">
              <w:rPr>
                <w:rStyle w:val="InstructionsTabelleberschrift"/>
                <w:rFonts w:ascii="Times New Roman" w:hAnsi="Times New Roman"/>
                <w:b w:val="0"/>
                <w:sz w:val="24"/>
                <w:u w:val="none"/>
                <w:lang w:eastAsia="de-DE"/>
              </w:rPr>
              <w:t xml:space="preserve"> from secured lending and capital market driven transactions as defined in Article </w:t>
            </w:r>
            <w:r w:rsidR="004115FF" w:rsidRPr="0040604D">
              <w:rPr>
                <w:rStyle w:val="InstructionsTabelleberschrift"/>
                <w:rFonts w:ascii="Times New Roman" w:hAnsi="Times New Roman"/>
                <w:b w:val="0"/>
                <w:sz w:val="24"/>
                <w:u w:val="none"/>
                <w:lang w:eastAsia="de-DE"/>
              </w:rPr>
              <w:t>1</w:t>
            </w:r>
            <w:r w:rsidR="004115FF">
              <w:rPr>
                <w:rStyle w:val="InstructionsTabelleberschrift"/>
                <w:rFonts w:ascii="Times New Roman" w:hAnsi="Times New Roman"/>
                <w:b w:val="0"/>
                <w:sz w:val="24"/>
                <w:u w:val="none"/>
                <w:lang w:eastAsia="de-DE"/>
              </w:rPr>
              <w:t>92</w:t>
            </w:r>
            <w:r w:rsidR="004A1C3C">
              <w:rPr>
                <w:rStyle w:val="InstructionsTabelleberschrift"/>
                <w:rFonts w:ascii="Times New Roman" w:hAnsi="Times New Roman"/>
                <w:b w:val="0"/>
                <w:sz w:val="24"/>
                <w:u w:val="none"/>
                <w:lang w:eastAsia="de-DE"/>
              </w:rPr>
              <w:t xml:space="preserve"> </w:t>
            </w:r>
            <w:r w:rsidRPr="0040604D">
              <w:rPr>
                <w:rStyle w:val="InstructionsTabelleberschrift"/>
                <w:rFonts w:ascii="Times New Roman" w:hAnsi="Times New Roman"/>
                <w:b w:val="0"/>
                <w:sz w:val="24"/>
                <w:u w:val="none"/>
                <w:lang w:eastAsia="de-DE"/>
              </w:rPr>
              <w:t xml:space="preserve">of </w:t>
            </w:r>
            <w:r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4115FF">
              <w:rPr>
                <w:rFonts w:ascii="Times New Roman" w:hAnsi="Times New Roman"/>
                <w:sz w:val="24"/>
                <w:lang w:eastAsia="en-GB"/>
              </w:rPr>
              <w:t>575/2013</w:t>
            </w:r>
            <w:r w:rsidRPr="0040604D">
              <w:rPr>
                <w:rStyle w:val="InstructionsTabelleberschrift"/>
                <w:rFonts w:ascii="Times New Roman" w:hAnsi="Times New Roman"/>
                <w:b w:val="0"/>
                <w:sz w:val="24"/>
                <w:u w:val="none"/>
                <w:lang w:eastAsia="de-DE"/>
              </w:rPr>
              <w:t xml:space="preserve">. </w:t>
            </w:r>
          </w:p>
          <w:p w:rsidR="008450E8" w:rsidRPr="0040604D" w:rsidRDefault="008450E8" w:rsidP="009920BE">
            <w:pPr>
              <w:rPr>
                <w:rFonts w:ascii="Times New Roman" w:hAnsi="Times New Roman"/>
                <w:b/>
                <w:sz w:val="24"/>
                <w:u w:val="single"/>
              </w:rPr>
            </w:pPr>
            <w:r>
              <w:rPr>
                <w:rStyle w:val="InstructionsTabelleberschrift"/>
                <w:rFonts w:ascii="Times New Roman" w:hAnsi="Times New Roman"/>
                <w:b w:val="0"/>
                <w:sz w:val="24"/>
                <w:u w:val="none"/>
                <w:lang w:eastAsia="de-DE"/>
              </w:rPr>
              <w:t>Note: Only cash flows are reported here, securities flows relating to secured lending and capital market driven transactions shall be reported in</w:t>
            </w:r>
            <w:r w:rsidR="004A1C3C">
              <w:rPr>
                <w:rStyle w:val="InstructionsTabelleberschrift"/>
                <w:rFonts w:ascii="Times New Roman" w:hAnsi="Times New Roman"/>
                <w:b w:val="0"/>
                <w:sz w:val="24"/>
                <w:u w:val="none"/>
                <w:lang w:eastAsia="de-DE"/>
              </w:rPr>
              <w:t xml:space="preserve"> the</w:t>
            </w:r>
            <w:r>
              <w:rPr>
                <w:rStyle w:val="InstructionsTabelleberschrift"/>
                <w:rFonts w:ascii="Times New Roman" w:hAnsi="Times New Roman"/>
                <w:b w:val="0"/>
                <w:sz w:val="24"/>
                <w:u w:val="none"/>
                <w:lang w:eastAsia="de-DE"/>
              </w:rPr>
              <w:t xml:space="preserve"> “counterbalancing capacity” </w:t>
            </w:r>
            <w:r w:rsidR="00C456DD">
              <w:rPr>
                <w:rStyle w:val="InstructionsTabelleberschrift"/>
                <w:rFonts w:ascii="Times New Roman" w:hAnsi="Times New Roman"/>
                <w:b w:val="0"/>
                <w:sz w:val="24"/>
                <w:u w:val="none"/>
                <w:lang w:eastAsia="de-DE"/>
              </w:rPr>
              <w:t>section</w:t>
            </w:r>
            <w:r>
              <w:rPr>
                <w:rStyle w:val="InstructionsTabelleberschrift"/>
                <w:rFonts w:ascii="Times New Roman" w:hAnsi="Times New Roman"/>
                <w:b w:val="0"/>
                <w:sz w:val="24"/>
                <w:u w:val="none"/>
                <w:lang w:eastAsia="de-DE"/>
              </w:rPr>
              <w:t>.</w:t>
            </w:r>
            <w:r w:rsidR="003E309A">
              <w:rPr>
                <w:rStyle w:val="InstructionsTabelleberschrift"/>
                <w:rFonts w:ascii="Times New Roman" w:hAnsi="Times New Roman"/>
                <w:b w:val="0"/>
                <w:sz w:val="24"/>
                <w:u w:val="none"/>
                <w:lang w:eastAsia="de-DE"/>
              </w:rPr>
              <w:t xml:space="preserve"> </w:t>
            </w:r>
          </w:p>
        </w:tc>
      </w:tr>
      <w:tr w:rsidR="006537F7" w:rsidRPr="0040604D" w:rsidTr="0021066C">
        <w:trPr>
          <w:trHeight w:val="1134"/>
        </w:trPr>
        <w:tc>
          <w:tcPr>
            <w:tcW w:w="828" w:type="dxa"/>
            <w:vAlign w:val="center"/>
          </w:tcPr>
          <w:p w:rsidR="006537F7" w:rsidRPr="009920BE" w:rsidRDefault="00166193" w:rsidP="009920BE">
            <w:pPr>
              <w:jc w:val="left"/>
              <w:rPr>
                <w:rFonts w:ascii="Times New Roman" w:hAnsi="Times New Roman"/>
                <w:sz w:val="24"/>
              </w:rPr>
            </w:pPr>
            <w:r>
              <w:rPr>
                <w:rFonts w:ascii="Times New Roman" w:hAnsi="Times New Roman"/>
                <w:sz w:val="24"/>
              </w:rPr>
              <w:t>570</w:t>
            </w:r>
          </w:p>
        </w:tc>
        <w:tc>
          <w:tcPr>
            <w:tcW w:w="7766" w:type="dxa"/>
            <w:gridSpan w:val="2"/>
            <w:shd w:val="clear" w:color="auto" w:fill="auto"/>
            <w:noWrap/>
          </w:tcPr>
          <w:p w:rsidR="008579F1" w:rsidRDefault="008579F1" w:rsidP="008579F1">
            <w:pPr>
              <w:rPr>
                <w:rFonts w:ascii="Times New Roman" w:hAnsi="Times New Roman"/>
                <w:b/>
                <w:sz w:val="24"/>
                <w:u w:val="single"/>
              </w:rPr>
            </w:pPr>
            <w:r>
              <w:rPr>
                <w:rFonts w:ascii="Times New Roman" w:hAnsi="Times New Roman"/>
                <w:b/>
                <w:sz w:val="24"/>
                <w:u w:val="single"/>
              </w:rPr>
              <w:t xml:space="preserve">2.1.1 </w:t>
            </w:r>
            <w:r w:rsidR="002B27BD">
              <w:rPr>
                <w:rFonts w:ascii="Times New Roman" w:hAnsi="Times New Roman"/>
                <w:b/>
                <w:sz w:val="24"/>
                <w:u w:val="single"/>
              </w:rPr>
              <w:t xml:space="preserve">Central Bank </w:t>
            </w:r>
            <w:r>
              <w:rPr>
                <w:rFonts w:ascii="Times New Roman" w:hAnsi="Times New Roman"/>
                <w:b/>
                <w:sz w:val="24"/>
                <w:u w:val="single"/>
              </w:rPr>
              <w:t>eligible assets</w:t>
            </w:r>
          </w:p>
          <w:p w:rsidR="008579F1" w:rsidRPr="008A1DB9" w:rsidRDefault="00743492" w:rsidP="008579F1">
            <w:pPr>
              <w:rPr>
                <w:rFonts w:ascii="Times New Roman" w:hAnsi="Times New Roman"/>
                <w:sz w:val="24"/>
              </w:rPr>
            </w:pPr>
            <w:r>
              <w:rPr>
                <w:rFonts w:ascii="Times New Roman" w:hAnsi="Times New Roman"/>
                <w:sz w:val="24"/>
              </w:rPr>
              <w:t>The</w:t>
            </w:r>
            <w:r w:rsidR="008579F1" w:rsidRPr="008A1DB9">
              <w:rPr>
                <w:rFonts w:ascii="Times New Roman" w:hAnsi="Times New Roman"/>
                <w:sz w:val="24"/>
              </w:rPr>
              <w:t xml:space="preserve"> amount of cash </w:t>
            </w:r>
            <w:r w:rsidR="002B27BD" w:rsidRPr="008A1DB9">
              <w:rPr>
                <w:rFonts w:ascii="Times New Roman" w:hAnsi="Times New Roman"/>
                <w:sz w:val="24"/>
              </w:rPr>
              <w:t>in</w:t>
            </w:r>
            <w:r w:rsidR="008579F1" w:rsidRPr="008A1DB9">
              <w:rPr>
                <w:rFonts w:ascii="Times New Roman" w:hAnsi="Times New Roman"/>
                <w:sz w:val="24"/>
              </w:rPr>
              <w:t>flows reported in item 2.1</w:t>
            </w:r>
            <w:r w:rsidR="00E74195" w:rsidRPr="008A1DB9">
              <w:rPr>
                <w:rFonts w:ascii="Times New Roman" w:hAnsi="Times New Roman"/>
                <w:sz w:val="24"/>
              </w:rPr>
              <w:t xml:space="preserve"> </w:t>
            </w:r>
            <w:r>
              <w:rPr>
                <w:rFonts w:ascii="Times New Roman" w:hAnsi="Times New Roman"/>
                <w:sz w:val="24"/>
              </w:rPr>
              <w:t>which</w:t>
            </w:r>
            <w:r w:rsidR="008579F1" w:rsidRPr="008A1DB9">
              <w:rPr>
                <w:rFonts w:ascii="Times New Roman" w:hAnsi="Times New Roman"/>
                <w:sz w:val="24"/>
              </w:rPr>
              <w:t xml:space="preserve"> is collateralised by central bank eligible assets. </w:t>
            </w:r>
          </w:p>
          <w:p w:rsidR="006537F7" w:rsidRDefault="00387314" w:rsidP="008A1DB9">
            <w:pPr>
              <w:rPr>
                <w:rFonts w:ascii="Times New Roman" w:hAnsi="Times New Roman"/>
                <w:sz w:val="24"/>
              </w:rPr>
            </w:pPr>
            <w:r w:rsidRPr="008A1DB9">
              <w:rPr>
                <w:rFonts w:ascii="Times New Roman" w:hAnsi="Times New Roman"/>
                <w:sz w:val="24"/>
              </w:rPr>
              <w:t>For central bank eligible assets, only those assets shall be included which are proven to be eligible collateral for standard liquidity operations of a central bank in a Member State or third country including credit claims, if applicable</w:t>
            </w:r>
            <w:r w:rsidR="008579F1" w:rsidRPr="008A1DB9">
              <w:rPr>
                <w:rFonts w:ascii="Times New Roman" w:hAnsi="Times New Roman"/>
                <w:sz w:val="24"/>
              </w:rPr>
              <w:t>.</w:t>
            </w:r>
          </w:p>
          <w:p w:rsidR="0051512B" w:rsidRPr="00B50469" w:rsidRDefault="0051512B" w:rsidP="008A1DB9">
            <w:pPr>
              <w:rPr>
                <w:rFonts w:ascii="Times New Roman" w:hAnsi="Times New Roman"/>
                <w:b/>
                <w:sz w:val="24"/>
                <w:u w:val="single"/>
              </w:rPr>
            </w:pPr>
            <w:r w:rsidRPr="009920BE">
              <w:rPr>
                <w:rFonts w:ascii="Times New Roman" w:hAnsi="Times New Roman"/>
                <w:sz w:val="24"/>
                <w:lang w:eastAsia="fr-FR"/>
              </w:rPr>
              <w:t>For assets denominated in a currency included in the ITS issued under Article 416 (5) Regulation 575/2013 as a currency with extremely narrow central bank eligibility, institutions shall report the relevant assets as central bank eligible</w:t>
            </w:r>
            <w:r w:rsidR="00D45CFC" w:rsidRPr="009920BE">
              <w:rPr>
                <w:rFonts w:ascii="Times New Roman" w:hAnsi="Times New Roman"/>
                <w:sz w:val="24"/>
                <w:lang w:eastAsia="fr-FR"/>
              </w:rPr>
              <w:t>.</w:t>
            </w:r>
          </w:p>
        </w:tc>
      </w:tr>
      <w:tr w:rsidR="009E264D" w:rsidRPr="0040604D" w:rsidTr="0021066C">
        <w:trPr>
          <w:trHeight w:val="1134"/>
        </w:trPr>
        <w:tc>
          <w:tcPr>
            <w:tcW w:w="828" w:type="dxa"/>
            <w:vAlign w:val="center"/>
          </w:tcPr>
          <w:p w:rsidR="009E264D" w:rsidRPr="009920BE" w:rsidRDefault="00166193" w:rsidP="009920BE">
            <w:pPr>
              <w:jc w:val="left"/>
              <w:rPr>
                <w:rFonts w:ascii="Times New Roman" w:hAnsi="Times New Roman"/>
                <w:sz w:val="24"/>
              </w:rPr>
            </w:pPr>
            <w:r>
              <w:rPr>
                <w:rFonts w:ascii="Times New Roman" w:hAnsi="Times New Roman"/>
                <w:sz w:val="24"/>
              </w:rPr>
              <w:t>580</w:t>
            </w:r>
          </w:p>
        </w:tc>
        <w:tc>
          <w:tcPr>
            <w:tcW w:w="7766" w:type="dxa"/>
            <w:gridSpan w:val="2"/>
            <w:shd w:val="clear" w:color="auto" w:fill="auto"/>
            <w:noWrap/>
          </w:tcPr>
          <w:p w:rsidR="009E264D" w:rsidRPr="0040604D" w:rsidRDefault="009E264D" w:rsidP="00B00D6E">
            <w:pPr>
              <w:jc w:val="left"/>
              <w:rPr>
                <w:rFonts w:ascii="Times New Roman" w:hAnsi="Times New Roman"/>
                <w:b/>
                <w:sz w:val="24"/>
                <w:u w:val="single"/>
              </w:rPr>
            </w:pPr>
            <w:r w:rsidRPr="0040604D">
              <w:rPr>
                <w:rFonts w:ascii="Times New Roman" w:hAnsi="Times New Roman"/>
                <w:b/>
                <w:sz w:val="24"/>
                <w:u w:val="single"/>
              </w:rPr>
              <w:t>2.1.1</w:t>
            </w:r>
            <w:r w:rsidR="00E9142E">
              <w:rPr>
                <w:rFonts w:ascii="Times New Roman" w:hAnsi="Times New Roman"/>
                <w:b/>
                <w:sz w:val="24"/>
                <w:u w:val="single"/>
              </w:rPr>
              <w:t>.1</w:t>
            </w:r>
            <w:r w:rsidR="003E309A">
              <w:rPr>
                <w:rFonts w:ascii="Times New Roman" w:hAnsi="Times New Roman"/>
                <w:b/>
                <w:sz w:val="24"/>
                <w:u w:val="single"/>
              </w:rPr>
              <w:t xml:space="preserve"> </w:t>
            </w:r>
            <w:r w:rsidRPr="0040604D">
              <w:rPr>
                <w:rFonts w:ascii="Times New Roman" w:hAnsi="Times New Roman"/>
                <w:b/>
                <w:sz w:val="24"/>
                <w:u w:val="single"/>
              </w:rPr>
              <w:t>securities with a 0% risk weight</w:t>
            </w:r>
            <w:r w:rsidR="003E309A">
              <w:rPr>
                <w:rFonts w:ascii="Times New Roman" w:hAnsi="Times New Roman"/>
                <w:b/>
                <w:sz w:val="24"/>
                <w:u w:val="single"/>
              </w:rPr>
              <w:t xml:space="preserve"> </w:t>
            </w:r>
          </w:p>
          <w:p w:rsidR="00801EC5" w:rsidRPr="00155E96" w:rsidRDefault="00801EC5" w:rsidP="00801EC5">
            <w:pPr>
              <w:rPr>
                <w:rStyle w:val="InstructionsTabelleberschrift"/>
                <w:rFonts w:ascii="Times New Roman" w:hAnsi="Times New Roman"/>
                <w:b w:val="0"/>
                <w:bCs w:val="0"/>
                <w:sz w:val="24"/>
                <w:u w:val="none"/>
                <w:lang w:val="cs-CZ"/>
              </w:rPr>
            </w:pPr>
            <w:r>
              <w:rPr>
                <w:rFonts w:ascii="Times New Roman" w:hAnsi="Times New Roman"/>
                <w:sz w:val="24"/>
              </w:rPr>
              <w:t>Point 3</w:t>
            </w:r>
            <w:r w:rsidR="002B1FDF" w:rsidRPr="002B1FDF">
              <w:rPr>
                <w:rFonts w:ascii="Times New Roman" w:hAnsi="Times New Roman"/>
                <w:sz w:val="24"/>
              </w:rPr>
              <w:t xml:space="preserve"> of </w:t>
            </w:r>
            <w:r>
              <w:rPr>
                <w:rFonts w:ascii="Times New Roman" w:hAnsi="Times New Roman"/>
                <w:sz w:val="24"/>
              </w:rPr>
              <w:t>Annex III</w:t>
            </w:r>
            <w:r w:rsidR="002B1FDF" w:rsidRPr="002B1FDF">
              <w:t xml:space="preserve"> of </w:t>
            </w:r>
            <w:r>
              <w:rPr>
                <w:rFonts w:ascii="Times New Roman" w:hAnsi="Times New Roman"/>
                <w:sz w:val="24"/>
              </w:rPr>
              <w:t xml:space="preserve">Regulation </w:t>
            </w:r>
            <w:r w:rsidR="00994617">
              <w:rPr>
                <w:rFonts w:ascii="Times New Roman" w:hAnsi="Times New Roman"/>
                <w:sz w:val="24"/>
              </w:rPr>
              <w:t xml:space="preserve">(EU) No </w:t>
            </w:r>
            <w:r>
              <w:rPr>
                <w:rFonts w:ascii="Times New Roman" w:hAnsi="Times New Roman"/>
                <w:sz w:val="24"/>
              </w:rPr>
              <w:t>575/2013</w:t>
            </w:r>
            <w:r w:rsidR="00DC6350">
              <w:rPr>
                <w:rFonts w:ascii="Times New Roman" w:hAnsi="Times New Roman"/>
                <w:sz w:val="24"/>
              </w:rPr>
              <w:t>.</w:t>
            </w:r>
          </w:p>
          <w:p w:rsidR="009E264D" w:rsidRPr="0040604D" w:rsidRDefault="00743492" w:rsidP="000460CB">
            <w:pPr>
              <w:jc w:val="left"/>
              <w:rPr>
                <w:rFonts w:ascii="Times New Roman" w:hAnsi="Times New Roman"/>
                <w:b/>
                <w:sz w:val="24"/>
                <w:u w:val="single"/>
              </w:rPr>
            </w:pPr>
            <w:r>
              <w:rPr>
                <w:rStyle w:val="InstructionsTabelleberschrift"/>
                <w:rFonts w:ascii="Times New Roman" w:hAnsi="Times New Roman"/>
                <w:b w:val="0"/>
                <w:sz w:val="24"/>
                <w:u w:val="none"/>
                <w:lang w:eastAsia="de-DE"/>
              </w:rPr>
              <w:t>The</w:t>
            </w:r>
            <w:r w:rsidR="009E264D" w:rsidRPr="0040604D">
              <w:rPr>
                <w:rStyle w:val="InstructionsTabelleberschrift"/>
                <w:rFonts w:ascii="Times New Roman" w:hAnsi="Times New Roman"/>
                <w:b w:val="0"/>
                <w:sz w:val="24"/>
                <w:u w:val="none"/>
                <w:lang w:eastAsia="de-DE"/>
              </w:rPr>
              <w:t xml:space="preserve"> amount of </w:t>
            </w:r>
            <w:r w:rsidR="009E264D">
              <w:rPr>
                <w:rStyle w:val="InstructionsTabelleberschrift"/>
                <w:rFonts w:ascii="Times New Roman" w:hAnsi="Times New Roman"/>
                <w:b w:val="0"/>
                <w:sz w:val="24"/>
                <w:u w:val="none"/>
                <w:lang w:eastAsia="de-DE"/>
              </w:rPr>
              <w:t xml:space="preserve">cash inflows </w:t>
            </w:r>
            <w:r w:rsidR="009E264D" w:rsidRPr="0040604D">
              <w:rPr>
                <w:rStyle w:val="InstructionsTabelleberschrift"/>
                <w:rFonts w:ascii="Times New Roman" w:hAnsi="Times New Roman"/>
                <w:b w:val="0"/>
                <w:sz w:val="24"/>
                <w:u w:val="none"/>
                <w:lang w:eastAsia="de-DE"/>
              </w:rPr>
              <w:t>reported in item 2.1</w:t>
            </w:r>
            <w:r w:rsidR="00401AE9">
              <w:rPr>
                <w:rStyle w:val="InstructionsTabelleberschrift"/>
                <w:rFonts w:ascii="Times New Roman" w:hAnsi="Times New Roman"/>
                <w:b w:val="0"/>
                <w:sz w:val="24"/>
                <w:u w:val="none"/>
                <w:lang w:eastAsia="de-DE"/>
              </w:rPr>
              <w:t>.1</w:t>
            </w:r>
            <w:r w:rsidR="009E264D"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9E264D" w:rsidRPr="0040604D">
              <w:rPr>
                <w:rStyle w:val="InstructionsTabelleberschrift"/>
                <w:rFonts w:ascii="Times New Roman" w:hAnsi="Times New Roman"/>
                <w:b w:val="0"/>
                <w:sz w:val="24"/>
                <w:u w:val="none"/>
                <w:lang w:eastAsia="de-DE"/>
              </w:rPr>
              <w:t xml:space="preserve"> is collateralised by securities with a </w:t>
            </w:r>
            <w:r w:rsidR="002B1FDF" w:rsidRPr="008A1DB9">
              <w:rPr>
                <w:rStyle w:val="InstructionsTabelleberschrift"/>
                <w:rFonts w:ascii="Times New Roman" w:hAnsi="Times New Roman"/>
                <w:b w:val="0"/>
                <w:sz w:val="24"/>
                <w:u w:val="none"/>
                <w:lang w:eastAsia="de-DE"/>
              </w:rPr>
              <w:t>0%</w:t>
            </w:r>
            <w:r w:rsidR="009E264D" w:rsidRPr="0040604D">
              <w:rPr>
                <w:rStyle w:val="InstructionsTabelleberschrift"/>
                <w:rFonts w:ascii="Times New Roman" w:hAnsi="Times New Roman"/>
                <w:b w:val="0"/>
                <w:sz w:val="24"/>
                <w:u w:val="none"/>
                <w:lang w:eastAsia="de-DE"/>
              </w:rPr>
              <w:t xml:space="preserve"> risk weight</w:t>
            </w:r>
            <w:r w:rsidR="002B1FDF" w:rsidRPr="002B1FDF">
              <w:t xml:space="preserve"> </w:t>
            </w:r>
            <w:r w:rsidR="00801EC5" w:rsidRPr="00801EC5">
              <w:rPr>
                <w:rFonts w:ascii="Times New Roman" w:hAnsi="Times New Roman"/>
                <w:sz w:val="24"/>
              </w:rPr>
              <w:t>under Chapter 2, Title II of Part Three</w:t>
            </w:r>
            <w:r w:rsidR="00387314">
              <w:rPr>
                <w:rFonts w:ascii="Times New Roman" w:hAnsi="Times New Roman"/>
                <w:sz w:val="24"/>
              </w:rPr>
              <w:t xml:space="preserve"> </w:t>
            </w:r>
            <w:r w:rsidR="00387314" w:rsidRPr="0040604D">
              <w:rPr>
                <w:rStyle w:val="InstructionsTabelleberschrift"/>
                <w:rFonts w:ascii="Times New Roman" w:hAnsi="Times New Roman"/>
                <w:b w:val="0"/>
                <w:sz w:val="24"/>
                <w:u w:val="none"/>
                <w:lang w:eastAsia="de-DE"/>
              </w:rPr>
              <w:t xml:space="preserve">of </w:t>
            </w:r>
            <w:r w:rsidR="00387314"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387314">
              <w:rPr>
                <w:rFonts w:ascii="Times New Roman" w:hAnsi="Times New Roman"/>
                <w:sz w:val="24"/>
                <w:lang w:eastAsia="en-GB"/>
              </w:rPr>
              <w:t>575/2013</w:t>
            </w:r>
            <w:r w:rsidR="00401AE9">
              <w:rPr>
                <w:rStyle w:val="InstructionsTabelleberschrift"/>
                <w:rFonts w:ascii="Times New Roman" w:hAnsi="Times New Roman"/>
                <w:b w:val="0"/>
                <w:sz w:val="24"/>
                <w:u w:val="none"/>
                <w:lang w:eastAsia="de-DE"/>
              </w:rPr>
              <w:t>.</w:t>
            </w:r>
          </w:p>
        </w:tc>
      </w:tr>
      <w:tr w:rsidR="004D0658" w:rsidRPr="0040604D" w:rsidTr="0021066C">
        <w:trPr>
          <w:trHeight w:val="1134"/>
        </w:trPr>
        <w:tc>
          <w:tcPr>
            <w:tcW w:w="828" w:type="dxa"/>
            <w:vAlign w:val="center"/>
          </w:tcPr>
          <w:p w:rsidR="004D0658" w:rsidRPr="009920BE" w:rsidRDefault="00166193" w:rsidP="009920BE">
            <w:pPr>
              <w:jc w:val="left"/>
              <w:rPr>
                <w:rFonts w:ascii="Times New Roman" w:hAnsi="Times New Roman"/>
                <w:sz w:val="24"/>
              </w:rPr>
            </w:pPr>
            <w:r>
              <w:rPr>
                <w:rFonts w:ascii="Times New Roman" w:hAnsi="Times New Roman"/>
                <w:sz w:val="24"/>
              </w:rPr>
              <w:t>590</w:t>
            </w:r>
          </w:p>
        </w:tc>
        <w:tc>
          <w:tcPr>
            <w:tcW w:w="7766" w:type="dxa"/>
            <w:gridSpan w:val="2"/>
            <w:shd w:val="clear" w:color="auto" w:fill="auto"/>
            <w:noWrap/>
          </w:tcPr>
          <w:p w:rsidR="004D0658" w:rsidRPr="0040604D" w:rsidRDefault="004D0658" w:rsidP="00B00D6E">
            <w:pPr>
              <w:jc w:val="left"/>
              <w:rPr>
                <w:rFonts w:ascii="Times New Roman" w:hAnsi="Times New Roman"/>
                <w:b/>
                <w:sz w:val="24"/>
                <w:u w:val="single"/>
              </w:rPr>
            </w:pPr>
            <w:r w:rsidRPr="0040604D">
              <w:rPr>
                <w:rFonts w:ascii="Times New Roman" w:hAnsi="Times New Roman"/>
                <w:b/>
                <w:sz w:val="24"/>
                <w:u w:val="single"/>
              </w:rPr>
              <w:t>2.1.</w:t>
            </w:r>
            <w:r w:rsidR="002F6343">
              <w:rPr>
                <w:rFonts w:ascii="Times New Roman" w:hAnsi="Times New Roman"/>
                <w:b/>
                <w:sz w:val="24"/>
                <w:u w:val="single"/>
              </w:rPr>
              <w:t>1.</w:t>
            </w:r>
            <w:r w:rsidRPr="0040604D">
              <w:rPr>
                <w:rFonts w:ascii="Times New Roman" w:hAnsi="Times New Roman"/>
                <w:b/>
                <w:sz w:val="24"/>
                <w:u w:val="single"/>
              </w:rPr>
              <w:t>2</w:t>
            </w:r>
            <w:r w:rsidR="003E309A">
              <w:rPr>
                <w:rFonts w:ascii="Times New Roman" w:hAnsi="Times New Roman"/>
                <w:b/>
                <w:sz w:val="24"/>
                <w:u w:val="single"/>
              </w:rPr>
              <w:t xml:space="preserve"> </w:t>
            </w:r>
            <w:r w:rsidRPr="0040604D">
              <w:rPr>
                <w:rFonts w:ascii="Times New Roman" w:hAnsi="Times New Roman"/>
                <w:b/>
                <w:sz w:val="24"/>
                <w:u w:val="single"/>
              </w:rPr>
              <w:t>securities with a 20% risk weight</w:t>
            </w:r>
            <w:r w:rsidR="003E309A">
              <w:rPr>
                <w:rFonts w:ascii="Times New Roman" w:hAnsi="Times New Roman"/>
                <w:b/>
                <w:sz w:val="24"/>
                <w:u w:val="single"/>
              </w:rPr>
              <w:t xml:space="preserve"> </w:t>
            </w:r>
          </w:p>
          <w:p w:rsidR="00801EC5" w:rsidRPr="00155E96" w:rsidRDefault="00801EC5" w:rsidP="00801EC5">
            <w:pPr>
              <w:rPr>
                <w:rStyle w:val="InstructionsTabelleberschrift"/>
                <w:rFonts w:ascii="Times New Roman" w:hAnsi="Times New Roman"/>
                <w:b w:val="0"/>
                <w:bCs w:val="0"/>
                <w:sz w:val="24"/>
                <w:u w:val="none"/>
                <w:lang w:val="cs-CZ"/>
              </w:rPr>
            </w:pPr>
            <w:r>
              <w:rPr>
                <w:rFonts w:ascii="Times New Roman" w:hAnsi="Times New Roman"/>
                <w:sz w:val="24"/>
              </w:rPr>
              <w:t xml:space="preserve">Point </w:t>
            </w:r>
            <w:r w:rsidR="002B1FDF" w:rsidRPr="002B1FDF">
              <w:rPr>
                <w:rFonts w:ascii="Times New Roman" w:hAnsi="Times New Roman"/>
                <w:sz w:val="24"/>
              </w:rPr>
              <w:t xml:space="preserve">5 of </w:t>
            </w:r>
            <w:r>
              <w:rPr>
                <w:rFonts w:ascii="Times New Roman" w:hAnsi="Times New Roman"/>
                <w:sz w:val="24"/>
              </w:rPr>
              <w:t>Annex III</w:t>
            </w:r>
            <w:r w:rsidR="002B1FDF" w:rsidRPr="002B1FDF">
              <w:t xml:space="preserve"> of </w:t>
            </w:r>
            <w:r>
              <w:rPr>
                <w:rFonts w:ascii="Times New Roman" w:hAnsi="Times New Roman"/>
                <w:sz w:val="24"/>
              </w:rPr>
              <w:t xml:space="preserve">Regulation </w:t>
            </w:r>
            <w:r w:rsidR="00994617">
              <w:rPr>
                <w:rFonts w:ascii="Times New Roman" w:hAnsi="Times New Roman"/>
                <w:sz w:val="24"/>
              </w:rPr>
              <w:t xml:space="preserve">(EU) No </w:t>
            </w:r>
            <w:r>
              <w:rPr>
                <w:rFonts w:ascii="Times New Roman" w:hAnsi="Times New Roman"/>
                <w:sz w:val="24"/>
              </w:rPr>
              <w:t>575/2013</w:t>
            </w:r>
            <w:r w:rsidR="00DC6350">
              <w:rPr>
                <w:rFonts w:ascii="Times New Roman" w:hAnsi="Times New Roman"/>
                <w:sz w:val="24"/>
              </w:rPr>
              <w:t>.</w:t>
            </w:r>
          </w:p>
          <w:p w:rsidR="004D0658" w:rsidRPr="0040604D" w:rsidRDefault="00743492" w:rsidP="00BA6FE7">
            <w:pPr>
              <w:jc w:val="left"/>
              <w:rPr>
                <w:rFonts w:ascii="Times New Roman" w:hAnsi="Times New Roman"/>
                <w:b/>
                <w:sz w:val="24"/>
                <w:u w:val="single"/>
              </w:rPr>
            </w:pPr>
            <w:r>
              <w:rPr>
                <w:rStyle w:val="InstructionsTabelleberschrift"/>
                <w:rFonts w:ascii="Times New Roman" w:hAnsi="Times New Roman"/>
                <w:b w:val="0"/>
                <w:sz w:val="24"/>
                <w:u w:val="none"/>
                <w:lang w:eastAsia="de-DE"/>
              </w:rPr>
              <w:t>The</w:t>
            </w:r>
            <w:r w:rsidR="004D0658" w:rsidRPr="0040604D">
              <w:rPr>
                <w:rStyle w:val="InstructionsTabelleberschrift"/>
                <w:rFonts w:ascii="Times New Roman" w:hAnsi="Times New Roman"/>
                <w:b w:val="0"/>
                <w:sz w:val="24"/>
                <w:u w:val="none"/>
                <w:lang w:eastAsia="de-DE"/>
              </w:rPr>
              <w:t xml:space="preserve"> amount of </w:t>
            </w:r>
            <w:r w:rsidR="004D0658">
              <w:rPr>
                <w:rStyle w:val="InstructionsTabelleberschrift"/>
                <w:rFonts w:ascii="Times New Roman" w:hAnsi="Times New Roman"/>
                <w:b w:val="0"/>
                <w:sz w:val="24"/>
                <w:u w:val="none"/>
                <w:lang w:eastAsia="de-DE"/>
              </w:rPr>
              <w:t>cash inflows</w:t>
            </w:r>
            <w:r w:rsidR="004D0658" w:rsidRPr="0040604D">
              <w:rPr>
                <w:rStyle w:val="InstructionsTabelleberschrift"/>
                <w:rFonts w:ascii="Times New Roman" w:hAnsi="Times New Roman"/>
                <w:b w:val="0"/>
                <w:sz w:val="24"/>
                <w:u w:val="none"/>
                <w:lang w:eastAsia="de-DE"/>
              </w:rPr>
              <w:t xml:space="preserve"> reported in item 2.1</w:t>
            </w:r>
            <w:r w:rsidR="002F6343">
              <w:rPr>
                <w:rStyle w:val="InstructionsTabelleberschrift"/>
                <w:rFonts w:ascii="Times New Roman" w:hAnsi="Times New Roman"/>
                <w:b w:val="0"/>
                <w:sz w:val="24"/>
                <w:u w:val="none"/>
                <w:lang w:eastAsia="de-DE"/>
              </w:rPr>
              <w:t>.1</w:t>
            </w:r>
            <w:r w:rsidR="004D0658"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4D0658" w:rsidRPr="0040604D">
              <w:rPr>
                <w:rStyle w:val="InstructionsTabelleberschrift"/>
                <w:rFonts w:ascii="Times New Roman" w:hAnsi="Times New Roman"/>
                <w:b w:val="0"/>
                <w:sz w:val="24"/>
                <w:u w:val="none"/>
                <w:lang w:eastAsia="de-DE"/>
              </w:rPr>
              <w:t xml:space="preserve"> is collateralised by securities with a 20% risk weight</w:t>
            </w:r>
            <w:r w:rsidR="002B1FDF" w:rsidRPr="002B1FDF">
              <w:t xml:space="preserve"> </w:t>
            </w:r>
            <w:r w:rsidR="00801EC5" w:rsidRPr="00801EC5">
              <w:rPr>
                <w:rFonts w:ascii="Times New Roman" w:hAnsi="Times New Roman"/>
                <w:sz w:val="24"/>
              </w:rPr>
              <w:t xml:space="preserve">under Chapter 2, Title II of Part Three </w:t>
            </w:r>
            <w:r w:rsidR="00387314" w:rsidRPr="0040604D">
              <w:rPr>
                <w:rStyle w:val="InstructionsTabelleberschrift"/>
                <w:rFonts w:ascii="Times New Roman" w:hAnsi="Times New Roman"/>
                <w:b w:val="0"/>
                <w:sz w:val="24"/>
                <w:u w:val="none"/>
                <w:lang w:eastAsia="de-DE"/>
              </w:rPr>
              <w:t xml:space="preserve">of </w:t>
            </w:r>
            <w:r w:rsidR="00387314"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387314">
              <w:rPr>
                <w:rFonts w:ascii="Times New Roman" w:hAnsi="Times New Roman"/>
                <w:sz w:val="24"/>
                <w:lang w:eastAsia="en-GB"/>
              </w:rPr>
              <w:t>575/2013</w:t>
            </w:r>
            <w:r w:rsidR="00DC6350">
              <w:rPr>
                <w:rFonts w:ascii="Times New Roman" w:hAnsi="Times New Roman"/>
                <w:sz w:val="24"/>
                <w:lang w:eastAsia="en-GB"/>
              </w:rPr>
              <w:t>.</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600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2.1.</w:t>
            </w:r>
            <w:r w:rsidR="00916037">
              <w:rPr>
                <w:rFonts w:ascii="Times New Roman" w:hAnsi="Times New Roman"/>
                <w:b/>
                <w:sz w:val="24"/>
                <w:u w:val="single"/>
              </w:rPr>
              <w:t>1.</w:t>
            </w:r>
            <w:r w:rsidRPr="0040604D">
              <w:rPr>
                <w:rFonts w:ascii="Times New Roman" w:hAnsi="Times New Roman"/>
                <w:b/>
                <w:sz w:val="24"/>
                <w:u w:val="single"/>
              </w:rPr>
              <w:t>3</w:t>
            </w:r>
            <w:r w:rsidR="003E309A">
              <w:rPr>
                <w:rFonts w:ascii="Times New Roman" w:hAnsi="Times New Roman"/>
                <w:b/>
                <w:sz w:val="24"/>
                <w:u w:val="single"/>
              </w:rPr>
              <w:t xml:space="preserve"> </w:t>
            </w:r>
            <w:r w:rsidRPr="0040604D">
              <w:rPr>
                <w:rFonts w:ascii="Times New Roman" w:hAnsi="Times New Roman"/>
                <w:b/>
                <w:sz w:val="24"/>
                <w:u w:val="single"/>
              </w:rPr>
              <w:t>bonds eligible for the treatment set out in Article 12</w:t>
            </w:r>
            <w:r w:rsidR="002B27BD">
              <w:rPr>
                <w:rFonts w:ascii="Times New Roman" w:hAnsi="Times New Roman"/>
                <w:b/>
                <w:sz w:val="24"/>
                <w:u w:val="single"/>
              </w:rPr>
              <w:t>9</w:t>
            </w:r>
            <w:r w:rsidRPr="0040604D">
              <w:rPr>
                <w:rFonts w:ascii="Times New Roman" w:hAnsi="Times New Roman"/>
                <w:b/>
                <w:sz w:val="24"/>
                <w:u w:val="single"/>
              </w:rPr>
              <w:t>(</w:t>
            </w:r>
            <w:r w:rsidR="002B27BD">
              <w:rPr>
                <w:rFonts w:ascii="Times New Roman" w:hAnsi="Times New Roman"/>
                <w:b/>
                <w:sz w:val="24"/>
                <w:u w:val="single"/>
              </w:rPr>
              <w:t>4</w:t>
            </w:r>
            <w:r w:rsidRPr="0040604D">
              <w:rPr>
                <w:rFonts w:ascii="Times New Roman" w:hAnsi="Times New Roman"/>
                <w:b/>
                <w:sz w:val="24"/>
                <w:u w:val="single"/>
              </w:rPr>
              <w:t>) or (</w:t>
            </w:r>
            <w:r w:rsidR="002B27BD">
              <w:rPr>
                <w:rFonts w:ascii="Times New Roman" w:hAnsi="Times New Roman"/>
                <w:b/>
                <w:sz w:val="24"/>
                <w:u w:val="single"/>
              </w:rPr>
              <w:t>5</w:t>
            </w:r>
            <w:r w:rsidRPr="0040604D">
              <w:rPr>
                <w:rFonts w:ascii="Times New Roman" w:hAnsi="Times New Roman"/>
                <w:b/>
                <w:sz w:val="24"/>
                <w:u w:val="single"/>
              </w:rPr>
              <w:t xml:space="preserve">) of </w:t>
            </w:r>
            <w:r w:rsidR="00BE5F65">
              <w:rPr>
                <w:rFonts w:ascii="Times New Roman" w:hAnsi="Times New Roman"/>
                <w:b/>
                <w:sz w:val="24"/>
                <w:u w:val="single"/>
              </w:rPr>
              <w:t>CR</w:t>
            </w:r>
            <w:r w:rsidRPr="0040604D">
              <w:rPr>
                <w:rFonts w:ascii="Times New Roman" w:hAnsi="Times New Roman"/>
                <w:b/>
                <w:sz w:val="24"/>
                <w:u w:val="single"/>
                <w:lang w:eastAsia="en-GB"/>
              </w:rPr>
              <w:t>R</w:t>
            </w:r>
            <w:r w:rsidR="00387314">
              <w:rPr>
                <w:rFonts w:ascii="Times New Roman" w:hAnsi="Times New Roman"/>
                <w:b/>
                <w:sz w:val="24"/>
                <w:u w:val="single"/>
                <w:lang w:eastAsia="en-GB"/>
              </w:rPr>
              <w:t xml:space="preserve"> </w:t>
            </w:r>
          </w:p>
          <w:p w:rsidR="00AD794C" w:rsidRPr="0040604D" w:rsidRDefault="00743492" w:rsidP="00D25E91">
            <w:pPr>
              <w:jc w:val="left"/>
              <w:rPr>
                <w:rFonts w:ascii="Times New Roman" w:hAnsi="Times New Roman"/>
                <w:b/>
                <w:sz w:val="24"/>
                <w:u w:val="singl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reported in item 2.1</w:t>
            </w:r>
            <w:r w:rsidR="00916037">
              <w:rPr>
                <w:rStyle w:val="InstructionsTabelleberschrift"/>
                <w:rFonts w:ascii="Times New Roman" w:hAnsi="Times New Roman"/>
                <w:b w:val="0"/>
                <w:sz w:val="24"/>
                <w:u w:val="none"/>
                <w:lang w:eastAsia="de-DE"/>
              </w:rPr>
              <w:t>.1</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is collateralised by bonds eligible for the treatment set out in Article 12</w:t>
            </w:r>
            <w:r w:rsidR="00D25E91">
              <w:rPr>
                <w:rStyle w:val="InstructionsTabelleberschrift"/>
                <w:rFonts w:ascii="Times New Roman" w:hAnsi="Times New Roman"/>
                <w:b w:val="0"/>
                <w:sz w:val="24"/>
                <w:u w:val="none"/>
                <w:lang w:eastAsia="de-DE"/>
              </w:rPr>
              <w:t>9</w:t>
            </w:r>
            <w:r w:rsidR="00AD794C" w:rsidRPr="0040604D">
              <w:rPr>
                <w:rStyle w:val="InstructionsTabelleberschrift"/>
                <w:rFonts w:ascii="Times New Roman" w:hAnsi="Times New Roman"/>
                <w:b w:val="0"/>
                <w:sz w:val="24"/>
                <w:u w:val="none"/>
                <w:lang w:eastAsia="de-DE"/>
              </w:rPr>
              <w:t>(</w:t>
            </w:r>
            <w:r w:rsidR="00D25E91">
              <w:rPr>
                <w:rStyle w:val="InstructionsTabelleberschrift"/>
                <w:rFonts w:ascii="Times New Roman" w:hAnsi="Times New Roman"/>
                <w:b w:val="0"/>
                <w:sz w:val="24"/>
                <w:u w:val="none"/>
                <w:lang w:eastAsia="de-DE"/>
              </w:rPr>
              <w:t>4</w:t>
            </w:r>
            <w:r w:rsidR="00AD794C" w:rsidRPr="0040604D">
              <w:rPr>
                <w:rStyle w:val="InstructionsTabelleberschrift"/>
                <w:rFonts w:ascii="Times New Roman" w:hAnsi="Times New Roman"/>
                <w:b w:val="0"/>
                <w:sz w:val="24"/>
                <w:u w:val="none"/>
                <w:lang w:eastAsia="de-DE"/>
              </w:rPr>
              <w:t>) or (</w:t>
            </w:r>
            <w:r w:rsidR="00D25E91">
              <w:rPr>
                <w:rStyle w:val="InstructionsTabelleberschrift"/>
                <w:rFonts w:ascii="Times New Roman" w:hAnsi="Times New Roman"/>
                <w:b w:val="0"/>
                <w:sz w:val="24"/>
                <w:u w:val="none"/>
                <w:lang w:eastAsia="de-DE"/>
              </w:rPr>
              <w:t>5</w:t>
            </w:r>
            <w:r w:rsidR="00AD794C" w:rsidRPr="0040604D">
              <w:rPr>
                <w:rStyle w:val="InstructionsTabelleberschrift"/>
                <w:rFonts w:ascii="Times New Roman" w:hAnsi="Times New Roman"/>
                <w:b w:val="0"/>
                <w:sz w:val="24"/>
                <w:u w:val="none"/>
                <w:lang w:eastAsia="de-DE"/>
              </w:rPr>
              <w:t xml:space="preserve">) of </w:t>
            </w:r>
            <w:r w:rsidR="00AD794C"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D25E91">
              <w:rPr>
                <w:rFonts w:ascii="Times New Roman" w:hAnsi="Times New Roman"/>
                <w:sz w:val="24"/>
                <w:lang w:eastAsia="en-GB"/>
              </w:rPr>
              <w:t>575/2013</w:t>
            </w:r>
            <w:r w:rsidR="00AD794C" w:rsidRPr="0040604D">
              <w:rPr>
                <w:rStyle w:val="InstructionsTabelleberschrift"/>
                <w:rFonts w:ascii="Times New Roman" w:hAnsi="Times New Roman"/>
                <w:b w:val="0"/>
                <w:sz w:val="24"/>
                <w:u w:val="none"/>
                <w:lang w:eastAsia="de-DE"/>
              </w:rPr>
              <w:t>.</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610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2.1.</w:t>
            </w:r>
            <w:r w:rsidR="00916037">
              <w:rPr>
                <w:rFonts w:ascii="Times New Roman" w:hAnsi="Times New Roman"/>
                <w:b/>
                <w:sz w:val="24"/>
                <w:u w:val="single"/>
              </w:rPr>
              <w:t>1.</w:t>
            </w:r>
            <w:r w:rsidRPr="0040604D">
              <w:rPr>
                <w:rFonts w:ascii="Times New Roman" w:hAnsi="Times New Roman"/>
                <w:b/>
                <w:sz w:val="24"/>
                <w:u w:val="single"/>
              </w:rPr>
              <w:t>3.1</w:t>
            </w:r>
            <w:r w:rsidR="003E309A">
              <w:rPr>
                <w:rFonts w:ascii="Times New Roman" w:hAnsi="Times New Roman"/>
                <w:b/>
                <w:sz w:val="24"/>
                <w:u w:val="single"/>
              </w:rPr>
              <w:t xml:space="preserve"> </w:t>
            </w:r>
            <w:r w:rsidRPr="0040604D">
              <w:rPr>
                <w:rFonts w:ascii="Times New Roman" w:hAnsi="Times New Roman"/>
                <w:b/>
                <w:sz w:val="24"/>
                <w:u w:val="single"/>
              </w:rPr>
              <w:t>credit quality step 1</w:t>
            </w:r>
          </w:p>
          <w:p w:rsidR="00AD794C" w:rsidRPr="0040604D" w:rsidRDefault="00743492" w:rsidP="00387314">
            <w:pPr>
              <w:jc w:val="left"/>
              <w:rPr>
                <w:rFonts w:ascii="Times New Roman" w:hAnsi="Times New Roman"/>
                <w:b/>
                <w:sz w:val="24"/>
                <w:u w:val="singl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reported in item 2.1.</w:t>
            </w:r>
            <w:r w:rsidR="00916037">
              <w:rPr>
                <w:rStyle w:val="InstructionsTabelleberschrift"/>
                <w:rFonts w:ascii="Times New Roman" w:hAnsi="Times New Roman"/>
                <w:b w:val="0"/>
                <w:sz w:val="24"/>
                <w:u w:val="none"/>
                <w:lang w:eastAsia="de-DE"/>
              </w:rPr>
              <w:t>1.</w:t>
            </w:r>
            <w:r w:rsidR="00AD794C" w:rsidRPr="0040604D">
              <w:rPr>
                <w:rStyle w:val="InstructionsTabelleberschrift"/>
                <w:rFonts w:ascii="Times New Roman" w:hAnsi="Times New Roman"/>
                <w:b w:val="0"/>
                <w:sz w:val="24"/>
                <w:u w:val="none"/>
                <w:lang w:eastAsia="de-DE"/>
              </w:rPr>
              <w:t xml:space="preserve">3,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6359EA">
              <w:rPr>
                <w:rStyle w:val="InstructionsTabelleberschrift"/>
                <w:rFonts w:ascii="Times New Roman" w:hAnsi="Times New Roman"/>
                <w:b w:val="0"/>
                <w:sz w:val="24"/>
                <w:u w:val="none"/>
                <w:lang w:eastAsia="de-DE"/>
              </w:rPr>
              <w:t>is collaterali</w:t>
            </w:r>
            <w:r w:rsidR="00387314">
              <w:rPr>
                <w:rStyle w:val="InstructionsTabelleberschrift"/>
                <w:rFonts w:ascii="Times New Roman" w:hAnsi="Times New Roman"/>
                <w:b w:val="0"/>
                <w:sz w:val="24"/>
                <w:u w:val="none"/>
                <w:lang w:eastAsia="de-DE"/>
              </w:rPr>
              <w:t>s</w:t>
            </w:r>
            <w:r w:rsidR="006359EA">
              <w:rPr>
                <w:rStyle w:val="InstructionsTabelleberschrift"/>
                <w:rFonts w:ascii="Times New Roman" w:hAnsi="Times New Roman"/>
                <w:b w:val="0"/>
                <w:sz w:val="24"/>
                <w:u w:val="none"/>
                <w:lang w:eastAsia="de-DE"/>
              </w:rPr>
              <w:t>ed by</w:t>
            </w:r>
            <w:r w:rsidR="00F31837">
              <w:rPr>
                <w:rStyle w:val="InstructionsTabelleberschrift"/>
                <w:rFonts w:ascii="Times New Roman" w:hAnsi="Times New Roman"/>
                <w:b w:val="0"/>
                <w:sz w:val="24"/>
                <w:u w:val="none"/>
                <w:lang w:eastAsia="de-DE"/>
              </w:rPr>
              <w:t xml:space="preserve"> bonds of</w:t>
            </w:r>
            <w:r w:rsidR="006359EA">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credit quality step 1</w:t>
            </w:r>
            <w:r w:rsidR="00801EC5" w:rsidRPr="00801EC5">
              <w:rPr>
                <w:rFonts w:ascii="Times New Roman" w:hAnsi="Times New Roman"/>
                <w:sz w:val="24"/>
              </w:rPr>
              <w:t xml:space="preserve"> under Chapter 2, Title II of Part Three</w:t>
            </w:r>
            <w:r w:rsidR="00387314">
              <w:rPr>
                <w:rFonts w:ascii="Times New Roman" w:hAnsi="Times New Roman"/>
                <w:sz w:val="24"/>
              </w:rPr>
              <w:t xml:space="preserve"> </w:t>
            </w:r>
            <w:r w:rsidR="00387314" w:rsidRPr="0040604D">
              <w:rPr>
                <w:rStyle w:val="InstructionsTabelleberschrift"/>
                <w:rFonts w:ascii="Times New Roman" w:hAnsi="Times New Roman"/>
                <w:b w:val="0"/>
                <w:sz w:val="24"/>
                <w:u w:val="none"/>
                <w:lang w:eastAsia="de-DE"/>
              </w:rPr>
              <w:t xml:space="preserve">of </w:t>
            </w:r>
            <w:r w:rsidR="00387314"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387314">
              <w:rPr>
                <w:rFonts w:ascii="Times New Roman" w:hAnsi="Times New Roman"/>
                <w:sz w:val="24"/>
                <w:lang w:eastAsia="en-GB"/>
              </w:rPr>
              <w:t>575/2013</w:t>
            </w:r>
            <w:r w:rsidR="00AD794C" w:rsidRPr="0040604D">
              <w:rPr>
                <w:rStyle w:val="InstructionsTabelleberschrift"/>
                <w:rFonts w:ascii="Times New Roman" w:hAnsi="Times New Roman"/>
                <w:b w:val="0"/>
                <w:sz w:val="24"/>
                <w:u w:val="none"/>
                <w:lang w:eastAsia="de-DE"/>
              </w:rPr>
              <w:t>.</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lastRenderedPageBreak/>
              <w:t>620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2.1.</w:t>
            </w:r>
            <w:r w:rsidR="00916037">
              <w:rPr>
                <w:rFonts w:ascii="Times New Roman" w:hAnsi="Times New Roman"/>
                <w:b/>
                <w:sz w:val="24"/>
                <w:u w:val="single"/>
              </w:rPr>
              <w:t>1.</w:t>
            </w:r>
            <w:r w:rsidRPr="0040604D">
              <w:rPr>
                <w:rFonts w:ascii="Times New Roman" w:hAnsi="Times New Roman"/>
                <w:b/>
                <w:sz w:val="24"/>
                <w:u w:val="single"/>
              </w:rPr>
              <w:t>3.2</w:t>
            </w:r>
            <w:r w:rsidR="003E309A">
              <w:rPr>
                <w:rFonts w:ascii="Times New Roman" w:hAnsi="Times New Roman"/>
                <w:b/>
                <w:sz w:val="24"/>
                <w:u w:val="single"/>
              </w:rPr>
              <w:t xml:space="preserve"> </w:t>
            </w:r>
            <w:r w:rsidRPr="0040604D">
              <w:rPr>
                <w:rFonts w:ascii="Times New Roman" w:hAnsi="Times New Roman"/>
                <w:b/>
                <w:sz w:val="24"/>
                <w:u w:val="single"/>
              </w:rPr>
              <w:t>credit quality step 2</w:t>
            </w:r>
          </w:p>
          <w:p w:rsidR="00AD794C" w:rsidRPr="0040604D" w:rsidRDefault="00743492" w:rsidP="00387314">
            <w:pPr>
              <w:jc w:val="left"/>
              <w:rPr>
                <w:rFonts w:ascii="Times New Roman" w:hAnsi="Times New Roman"/>
                <w:b/>
                <w:sz w:val="24"/>
                <w:u w:val="singl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reported in item 2.1.</w:t>
            </w:r>
            <w:r w:rsidR="00916037">
              <w:rPr>
                <w:rStyle w:val="InstructionsTabelleberschrift"/>
                <w:rFonts w:ascii="Times New Roman" w:hAnsi="Times New Roman"/>
                <w:b w:val="0"/>
                <w:sz w:val="24"/>
                <w:u w:val="none"/>
                <w:lang w:eastAsia="de-DE"/>
              </w:rPr>
              <w:t>1.</w:t>
            </w:r>
            <w:r w:rsidR="00AD794C" w:rsidRPr="0040604D">
              <w:rPr>
                <w:rStyle w:val="InstructionsTabelleberschrift"/>
                <w:rFonts w:ascii="Times New Roman" w:hAnsi="Times New Roman"/>
                <w:b w:val="0"/>
                <w:sz w:val="24"/>
                <w:u w:val="none"/>
                <w:lang w:eastAsia="de-DE"/>
              </w:rPr>
              <w:t xml:space="preserve">3,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6B283D">
              <w:rPr>
                <w:rStyle w:val="InstructionsTabelleberschrift"/>
                <w:rFonts w:ascii="Times New Roman" w:hAnsi="Times New Roman"/>
                <w:b w:val="0"/>
                <w:sz w:val="24"/>
                <w:u w:val="none"/>
                <w:lang w:eastAsia="de-DE"/>
              </w:rPr>
              <w:t>is collaterali</w:t>
            </w:r>
            <w:r w:rsidR="00387314">
              <w:rPr>
                <w:rStyle w:val="InstructionsTabelleberschrift"/>
                <w:rFonts w:ascii="Times New Roman" w:hAnsi="Times New Roman"/>
                <w:b w:val="0"/>
                <w:sz w:val="24"/>
                <w:u w:val="none"/>
                <w:lang w:eastAsia="de-DE"/>
              </w:rPr>
              <w:t>s</w:t>
            </w:r>
            <w:r w:rsidR="006B283D">
              <w:rPr>
                <w:rStyle w:val="InstructionsTabelleberschrift"/>
                <w:rFonts w:ascii="Times New Roman" w:hAnsi="Times New Roman"/>
                <w:b w:val="0"/>
                <w:sz w:val="24"/>
                <w:u w:val="none"/>
                <w:lang w:eastAsia="de-DE"/>
              </w:rPr>
              <w:t>ed by</w:t>
            </w:r>
            <w:r w:rsidR="00F31837">
              <w:rPr>
                <w:rStyle w:val="InstructionsTabelleberschrift"/>
                <w:rFonts w:ascii="Times New Roman" w:hAnsi="Times New Roman"/>
                <w:b w:val="0"/>
                <w:sz w:val="24"/>
                <w:u w:val="none"/>
                <w:lang w:eastAsia="de-DE"/>
              </w:rPr>
              <w:t xml:space="preserve"> bonds of</w:t>
            </w:r>
            <w:r w:rsidR="003E309A">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credit quality step 2</w:t>
            </w:r>
            <w:r w:rsidR="00801EC5" w:rsidRPr="00801EC5">
              <w:rPr>
                <w:rFonts w:ascii="Times New Roman" w:hAnsi="Times New Roman"/>
                <w:sz w:val="24"/>
              </w:rPr>
              <w:t xml:space="preserve"> under Chapter 2, Title II of Part Three </w:t>
            </w:r>
            <w:r w:rsidR="00387314" w:rsidRPr="0040604D">
              <w:rPr>
                <w:rStyle w:val="InstructionsTabelleberschrift"/>
                <w:rFonts w:ascii="Times New Roman" w:hAnsi="Times New Roman"/>
                <w:b w:val="0"/>
                <w:sz w:val="24"/>
                <w:u w:val="none"/>
                <w:lang w:eastAsia="de-DE"/>
              </w:rPr>
              <w:t xml:space="preserve">of </w:t>
            </w:r>
            <w:r w:rsidR="00387314"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387314">
              <w:rPr>
                <w:rFonts w:ascii="Times New Roman" w:hAnsi="Times New Roman"/>
                <w:sz w:val="24"/>
                <w:lang w:eastAsia="en-GB"/>
              </w:rPr>
              <w:t>575/2013</w:t>
            </w:r>
            <w:r w:rsidR="00AD794C" w:rsidRPr="0040604D">
              <w:rPr>
                <w:rStyle w:val="InstructionsTabelleberschrift"/>
                <w:rFonts w:ascii="Times New Roman" w:hAnsi="Times New Roman"/>
                <w:b w:val="0"/>
                <w:sz w:val="24"/>
                <w:u w:val="none"/>
                <w:lang w:eastAsia="de-DE"/>
              </w:rPr>
              <w:t>.</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630</w:t>
            </w:r>
          </w:p>
        </w:tc>
        <w:tc>
          <w:tcPr>
            <w:tcW w:w="7766" w:type="dxa"/>
            <w:gridSpan w:val="2"/>
            <w:shd w:val="clear" w:color="auto" w:fill="auto"/>
            <w:noWrap/>
          </w:tcPr>
          <w:p w:rsidR="00AD794C" w:rsidRPr="0040604D" w:rsidRDefault="00AD794C" w:rsidP="009D35DD">
            <w:pPr>
              <w:jc w:val="left"/>
              <w:rPr>
                <w:rFonts w:ascii="Times New Roman" w:hAnsi="Times New Roman"/>
                <w:b/>
                <w:sz w:val="24"/>
                <w:u w:val="single"/>
              </w:rPr>
            </w:pPr>
            <w:r w:rsidRPr="0040604D">
              <w:rPr>
                <w:rFonts w:ascii="Times New Roman" w:hAnsi="Times New Roman"/>
                <w:b/>
                <w:sz w:val="24"/>
                <w:u w:val="single"/>
              </w:rPr>
              <w:t>2.1.</w:t>
            </w:r>
            <w:r w:rsidR="00916037">
              <w:rPr>
                <w:rFonts w:ascii="Times New Roman" w:hAnsi="Times New Roman"/>
                <w:b/>
                <w:sz w:val="24"/>
                <w:u w:val="single"/>
              </w:rPr>
              <w:t>1.</w:t>
            </w:r>
            <w:r w:rsidRPr="0040604D">
              <w:rPr>
                <w:rFonts w:ascii="Times New Roman" w:hAnsi="Times New Roman"/>
                <w:b/>
                <w:sz w:val="24"/>
                <w:u w:val="single"/>
              </w:rPr>
              <w:t>3.3</w:t>
            </w:r>
            <w:r w:rsidR="003E309A">
              <w:rPr>
                <w:rFonts w:ascii="Times New Roman" w:hAnsi="Times New Roman"/>
                <w:b/>
                <w:sz w:val="24"/>
                <w:u w:val="single"/>
              </w:rPr>
              <w:t xml:space="preserve"> </w:t>
            </w:r>
            <w:r w:rsidRPr="0040604D">
              <w:rPr>
                <w:rFonts w:ascii="Times New Roman" w:hAnsi="Times New Roman"/>
                <w:b/>
                <w:sz w:val="24"/>
                <w:u w:val="single"/>
              </w:rPr>
              <w:t>credit quality step 3</w:t>
            </w:r>
          </w:p>
          <w:p w:rsidR="00AD794C" w:rsidRPr="0040604D" w:rsidRDefault="00743492" w:rsidP="00387314">
            <w:pPr>
              <w:jc w:val="left"/>
              <w:rPr>
                <w:rFonts w:ascii="Times New Roman" w:hAnsi="Times New Roman"/>
                <w:b/>
                <w:sz w:val="24"/>
                <w:u w:val="singl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reported in item 2.1.</w:t>
            </w:r>
            <w:r w:rsidR="00916037">
              <w:rPr>
                <w:rStyle w:val="InstructionsTabelleberschrift"/>
                <w:rFonts w:ascii="Times New Roman" w:hAnsi="Times New Roman"/>
                <w:b w:val="0"/>
                <w:sz w:val="24"/>
                <w:u w:val="none"/>
                <w:lang w:eastAsia="de-DE"/>
              </w:rPr>
              <w:t>1.</w:t>
            </w:r>
            <w:r w:rsidR="00AD794C" w:rsidRPr="0040604D">
              <w:rPr>
                <w:rStyle w:val="InstructionsTabelleberschrift"/>
                <w:rFonts w:ascii="Times New Roman" w:hAnsi="Times New Roman"/>
                <w:b w:val="0"/>
                <w:sz w:val="24"/>
                <w:u w:val="none"/>
                <w:lang w:eastAsia="de-DE"/>
              </w:rPr>
              <w:t xml:space="preserve">3,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6B283D">
              <w:rPr>
                <w:rStyle w:val="InstructionsTabelleberschrift"/>
                <w:rFonts w:ascii="Times New Roman" w:hAnsi="Times New Roman"/>
                <w:b w:val="0"/>
                <w:sz w:val="24"/>
                <w:u w:val="none"/>
                <w:lang w:eastAsia="de-DE"/>
              </w:rPr>
              <w:t>is collaterali</w:t>
            </w:r>
            <w:r w:rsidR="00387314">
              <w:rPr>
                <w:rStyle w:val="InstructionsTabelleberschrift"/>
                <w:rFonts w:ascii="Times New Roman" w:hAnsi="Times New Roman"/>
                <w:b w:val="0"/>
                <w:sz w:val="24"/>
                <w:u w:val="none"/>
                <w:lang w:eastAsia="de-DE"/>
              </w:rPr>
              <w:t>s</w:t>
            </w:r>
            <w:r w:rsidR="006B283D">
              <w:rPr>
                <w:rStyle w:val="InstructionsTabelleberschrift"/>
                <w:rFonts w:ascii="Times New Roman" w:hAnsi="Times New Roman"/>
                <w:b w:val="0"/>
                <w:sz w:val="24"/>
                <w:u w:val="none"/>
                <w:lang w:eastAsia="de-DE"/>
              </w:rPr>
              <w:t>ed by</w:t>
            </w:r>
            <w:r w:rsidR="006B283D" w:rsidRPr="0040604D">
              <w:rPr>
                <w:rStyle w:val="InstructionsTabelleberschrift"/>
                <w:rFonts w:ascii="Times New Roman" w:hAnsi="Times New Roman"/>
                <w:b w:val="0"/>
                <w:sz w:val="24"/>
                <w:u w:val="none"/>
                <w:lang w:eastAsia="de-DE"/>
              </w:rPr>
              <w:t xml:space="preserve"> </w:t>
            </w:r>
            <w:r w:rsidR="00F31837">
              <w:rPr>
                <w:rStyle w:val="InstructionsTabelleberschrift"/>
                <w:rFonts w:ascii="Times New Roman" w:hAnsi="Times New Roman"/>
                <w:b w:val="0"/>
                <w:sz w:val="24"/>
                <w:u w:val="none"/>
                <w:lang w:eastAsia="de-DE"/>
              </w:rPr>
              <w:t xml:space="preserve">bonds of </w:t>
            </w:r>
            <w:r w:rsidR="00AD794C" w:rsidRPr="0040604D">
              <w:rPr>
                <w:rStyle w:val="InstructionsTabelleberschrift"/>
                <w:rFonts w:ascii="Times New Roman" w:hAnsi="Times New Roman"/>
                <w:b w:val="0"/>
                <w:sz w:val="24"/>
                <w:u w:val="none"/>
                <w:lang w:eastAsia="de-DE"/>
              </w:rPr>
              <w:t>credit quality step 3</w:t>
            </w:r>
            <w:r w:rsidR="00801EC5" w:rsidRPr="00801EC5">
              <w:rPr>
                <w:rFonts w:ascii="Times New Roman" w:hAnsi="Times New Roman"/>
                <w:sz w:val="24"/>
              </w:rPr>
              <w:t xml:space="preserve"> under Chapter 2, Title II of Part Three </w:t>
            </w:r>
            <w:r w:rsidR="00387314" w:rsidRPr="0040604D">
              <w:rPr>
                <w:rStyle w:val="InstructionsTabelleberschrift"/>
                <w:rFonts w:ascii="Times New Roman" w:hAnsi="Times New Roman"/>
                <w:b w:val="0"/>
                <w:sz w:val="24"/>
                <w:u w:val="none"/>
                <w:lang w:eastAsia="de-DE"/>
              </w:rPr>
              <w:t xml:space="preserve">of </w:t>
            </w:r>
            <w:r w:rsidR="00387314"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387314">
              <w:rPr>
                <w:rFonts w:ascii="Times New Roman" w:hAnsi="Times New Roman"/>
                <w:sz w:val="24"/>
                <w:lang w:eastAsia="en-GB"/>
              </w:rPr>
              <w:t>575/2013</w:t>
            </w:r>
            <w:r w:rsidR="00DC6350">
              <w:rPr>
                <w:rFonts w:ascii="Times New Roman" w:hAnsi="Times New Roman"/>
                <w:sz w:val="24"/>
                <w:lang w:eastAsia="en-GB"/>
              </w:rPr>
              <w:t>.</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640</w:t>
            </w:r>
          </w:p>
        </w:tc>
        <w:tc>
          <w:tcPr>
            <w:tcW w:w="7766" w:type="dxa"/>
            <w:gridSpan w:val="2"/>
            <w:shd w:val="clear" w:color="auto" w:fill="auto"/>
            <w:noWrap/>
          </w:tcPr>
          <w:p w:rsidR="00AD794C" w:rsidRPr="0040604D" w:rsidRDefault="00AD794C" w:rsidP="00DD10B0">
            <w:pPr>
              <w:rPr>
                <w:rFonts w:ascii="Times New Roman" w:hAnsi="Times New Roman"/>
                <w:b/>
                <w:sz w:val="24"/>
                <w:u w:val="single"/>
              </w:rPr>
            </w:pPr>
            <w:r w:rsidRPr="0040604D">
              <w:rPr>
                <w:rFonts w:ascii="Times New Roman" w:hAnsi="Times New Roman"/>
                <w:b/>
                <w:sz w:val="24"/>
                <w:u w:val="single"/>
              </w:rPr>
              <w:t>2.1.</w:t>
            </w:r>
            <w:r w:rsidR="00916037">
              <w:rPr>
                <w:rFonts w:ascii="Times New Roman" w:hAnsi="Times New Roman"/>
                <w:b/>
                <w:sz w:val="24"/>
                <w:u w:val="single"/>
              </w:rPr>
              <w:t>1.</w:t>
            </w:r>
            <w:r w:rsidRPr="0040604D">
              <w:rPr>
                <w:rFonts w:ascii="Times New Roman" w:hAnsi="Times New Roman"/>
                <w:b/>
                <w:sz w:val="24"/>
                <w:u w:val="single"/>
              </w:rPr>
              <w:t>4 bonds as defined in Article 52(4) of Directive 2009/65/EC other than those referred to in 2.1.</w:t>
            </w:r>
            <w:r w:rsidR="005A7EC0">
              <w:rPr>
                <w:rFonts w:ascii="Times New Roman" w:hAnsi="Times New Roman"/>
                <w:b/>
                <w:sz w:val="24"/>
                <w:u w:val="single"/>
              </w:rPr>
              <w:t>1.</w:t>
            </w:r>
            <w:r w:rsidRPr="0040604D">
              <w:rPr>
                <w:rFonts w:ascii="Times New Roman" w:hAnsi="Times New Roman"/>
                <w:b/>
                <w:sz w:val="24"/>
                <w:u w:val="single"/>
              </w:rPr>
              <w:t>3</w:t>
            </w:r>
          </w:p>
          <w:p w:rsidR="00AD794C" w:rsidRPr="0040604D" w:rsidRDefault="00743492" w:rsidP="002B27BD">
            <w:pPr>
              <w:jc w:val="left"/>
              <w:rPr>
                <w:rFonts w:ascii="Times New Roman" w:hAnsi="Times New Roman"/>
                <w:b/>
                <w:sz w:val="24"/>
                <w:u w:val="singl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cash </w:t>
            </w:r>
            <w:r w:rsidR="00AD794C">
              <w:rPr>
                <w:rStyle w:val="InstructionsTabelleberschrift"/>
                <w:rFonts w:ascii="Times New Roman" w:hAnsi="Times New Roman"/>
                <w:b w:val="0"/>
                <w:sz w:val="24"/>
                <w:u w:val="none"/>
                <w:lang w:eastAsia="de-DE"/>
              </w:rPr>
              <w:t>inflows</w:t>
            </w:r>
            <w:r w:rsidR="00AD794C" w:rsidRPr="0040604D">
              <w:rPr>
                <w:rStyle w:val="InstructionsTabelleberschrift"/>
                <w:rFonts w:ascii="Times New Roman" w:hAnsi="Times New Roman"/>
                <w:b w:val="0"/>
                <w:sz w:val="24"/>
                <w:u w:val="none"/>
                <w:lang w:eastAsia="de-DE"/>
              </w:rPr>
              <w:t xml:space="preserve"> arising from secured lending and capital market driven transactions reported in item </w:t>
            </w:r>
            <w:r w:rsidR="002873EA">
              <w:rPr>
                <w:rStyle w:val="InstructionsTabelleberschrift"/>
                <w:rFonts w:ascii="Times New Roman" w:hAnsi="Times New Roman"/>
                <w:b w:val="0"/>
                <w:sz w:val="24"/>
                <w:u w:val="none"/>
                <w:lang w:eastAsia="de-DE"/>
              </w:rPr>
              <w:t>2.1.1</w:t>
            </w:r>
            <w:r w:rsidR="0051512B">
              <w:rPr>
                <w:rStyle w:val="InstructionsTabelleberschrift"/>
                <w:rFonts w:ascii="Times New Roman" w:hAnsi="Times New Roman"/>
                <w:b w:val="0"/>
                <w:sz w:val="24"/>
                <w:u w:val="none"/>
                <w:lang w:eastAsia="de-DE"/>
              </w:rPr>
              <w:t>,</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is collateralised by </w:t>
            </w:r>
            <w:r w:rsidR="00AD794C" w:rsidRPr="0040604D">
              <w:rPr>
                <w:rFonts w:ascii="Times New Roman" w:hAnsi="Times New Roman"/>
                <w:sz w:val="24"/>
              </w:rPr>
              <w:t>bonds as defined in Article 52(4) of Directive 2009/65/EC other than those referred to in 2.1.</w:t>
            </w:r>
            <w:r w:rsidR="00916037">
              <w:rPr>
                <w:rFonts w:ascii="Times New Roman" w:hAnsi="Times New Roman"/>
                <w:sz w:val="24"/>
              </w:rPr>
              <w:t>1.</w:t>
            </w:r>
            <w:r w:rsidR="00AD794C" w:rsidRPr="0040604D">
              <w:rPr>
                <w:rFonts w:ascii="Times New Roman" w:hAnsi="Times New Roman"/>
                <w:sz w:val="24"/>
              </w:rPr>
              <w:t>3</w:t>
            </w:r>
            <w:r w:rsidR="005A7EC0">
              <w:rPr>
                <w:rFonts w:ascii="Times New Roman" w:hAnsi="Times New Roman"/>
                <w:sz w:val="24"/>
              </w:rPr>
              <w:t>.</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650</w:t>
            </w:r>
          </w:p>
        </w:tc>
        <w:tc>
          <w:tcPr>
            <w:tcW w:w="7766" w:type="dxa"/>
            <w:gridSpan w:val="2"/>
            <w:shd w:val="clear" w:color="auto" w:fill="auto"/>
            <w:noWrap/>
          </w:tcPr>
          <w:p w:rsidR="00AD794C" w:rsidRPr="0040604D" w:rsidRDefault="00AD794C" w:rsidP="008B32E0">
            <w:pPr>
              <w:jc w:val="left"/>
              <w:rPr>
                <w:rFonts w:ascii="Times New Roman" w:hAnsi="Times New Roman"/>
                <w:b/>
                <w:sz w:val="24"/>
                <w:u w:val="single"/>
              </w:rPr>
            </w:pPr>
            <w:r w:rsidRPr="0040604D">
              <w:rPr>
                <w:rFonts w:ascii="Times New Roman" w:hAnsi="Times New Roman"/>
                <w:b/>
                <w:sz w:val="24"/>
                <w:u w:val="single"/>
              </w:rPr>
              <w:t>2.1.</w:t>
            </w:r>
            <w:r w:rsidR="004C03B6">
              <w:rPr>
                <w:rFonts w:ascii="Times New Roman" w:hAnsi="Times New Roman"/>
                <w:b/>
                <w:sz w:val="24"/>
                <w:u w:val="single"/>
              </w:rPr>
              <w:t>1.</w:t>
            </w:r>
            <w:r w:rsidRPr="0040604D">
              <w:rPr>
                <w:rFonts w:ascii="Times New Roman" w:hAnsi="Times New Roman"/>
                <w:b/>
                <w:sz w:val="24"/>
                <w:u w:val="single"/>
              </w:rPr>
              <w:t>4.1</w:t>
            </w:r>
            <w:r w:rsidR="003E309A">
              <w:rPr>
                <w:rFonts w:ascii="Times New Roman" w:hAnsi="Times New Roman"/>
                <w:b/>
                <w:sz w:val="24"/>
                <w:u w:val="single"/>
              </w:rPr>
              <w:t xml:space="preserve"> </w:t>
            </w:r>
            <w:r w:rsidRPr="0040604D">
              <w:rPr>
                <w:rFonts w:ascii="Times New Roman" w:hAnsi="Times New Roman"/>
                <w:b/>
                <w:sz w:val="24"/>
                <w:u w:val="single"/>
              </w:rPr>
              <w:t>credit quality step 1</w:t>
            </w:r>
          </w:p>
          <w:p w:rsidR="00AD794C" w:rsidRPr="0040604D" w:rsidRDefault="00743492" w:rsidP="0051512B">
            <w:pPr>
              <w:jc w:val="left"/>
              <w:rPr>
                <w:rFonts w:ascii="Times New Roman" w:hAnsi="Times New Roman"/>
                <w:b/>
                <w:sz w:val="24"/>
                <w:u w:val="singl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w:t>
            </w:r>
            <w:r w:rsidR="005A7EC0">
              <w:rPr>
                <w:rStyle w:val="InstructionsTabelleberschrift"/>
                <w:rFonts w:ascii="Times New Roman" w:hAnsi="Times New Roman"/>
                <w:b w:val="0"/>
                <w:sz w:val="24"/>
                <w:u w:val="none"/>
                <w:lang w:eastAsia="de-DE"/>
              </w:rPr>
              <w:t>reported</w:t>
            </w:r>
            <w:r w:rsidR="00AD794C" w:rsidRPr="0040604D">
              <w:rPr>
                <w:rFonts w:ascii="Times New Roman" w:hAnsi="Times New Roman"/>
                <w:sz w:val="24"/>
              </w:rPr>
              <w:t xml:space="preserve"> in </w:t>
            </w:r>
            <w:r w:rsidR="00AD794C" w:rsidRPr="0040604D">
              <w:rPr>
                <w:rStyle w:val="InstructionsTabelleberschrift"/>
                <w:rFonts w:ascii="Times New Roman" w:hAnsi="Times New Roman"/>
                <w:b w:val="0"/>
                <w:sz w:val="24"/>
                <w:u w:val="none"/>
                <w:lang w:eastAsia="de-DE"/>
              </w:rPr>
              <w:t>2.1.</w:t>
            </w:r>
            <w:r w:rsidR="005A7EC0">
              <w:rPr>
                <w:rStyle w:val="InstructionsTabelleberschrift"/>
                <w:rFonts w:ascii="Times New Roman" w:hAnsi="Times New Roman"/>
                <w:b w:val="0"/>
                <w:sz w:val="24"/>
                <w:u w:val="none"/>
                <w:lang w:eastAsia="de-DE"/>
              </w:rPr>
              <w:t>1.4</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5A7EC0">
              <w:rPr>
                <w:rStyle w:val="InstructionsTabelleberschrift"/>
                <w:rFonts w:ascii="Times New Roman" w:hAnsi="Times New Roman"/>
                <w:b w:val="0"/>
                <w:sz w:val="24"/>
                <w:u w:val="none"/>
                <w:lang w:eastAsia="de-DE"/>
              </w:rPr>
              <w:t>is collaterali</w:t>
            </w:r>
            <w:r w:rsidR="00387314">
              <w:rPr>
                <w:rStyle w:val="InstructionsTabelleberschrift"/>
                <w:rFonts w:ascii="Times New Roman" w:hAnsi="Times New Roman"/>
                <w:b w:val="0"/>
                <w:sz w:val="24"/>
                <w:u w:val="none"/>
                <w:lang w:eastAsia="de-DE"/>
              </w:rPr>
              <w:t>s</w:t>
            </w:r>
            <w:r w:rsidR="005A7EC0">
              <w:rPr>
                <w:rStyle w:val="InstructionsTabelleberschrift"/>
                <w:rFonts w:ascii="Times New Roman" w:hAnsi="Times New Roman"/>
                <w:b w:val="0"/>
                <w:sz w:val="24"/>
                <w:u w:val="none"/>
                <w:lang w:eastAsia="de-DE"/>
              </w:rPr>
              <w:t>ed by</w:t>
            </w:r>
            <w:r w:rsidR="005A7EC0" w:rsidRPr="0040604D">
              <w:rPr>
                <w:rStyle w:val="InstructionsTabelleberschrift"/>
                <w:rFonts w:ascii="Times New Roman" w:hAnsi="Times New Roman"/>
                <w:b w:val="0"/>
                <w:sz w:val="24"/>
                <w:u w:val="none"/>
                <w:lang w:eastAsia="de-DE"/>
              </w:rPr>
              <w:t xml:space="preserve"> </w:t>
            </w:r>
            <w:r w:rsidR="00D56F3A">
              <w:rPr>
                <w:rStyle w:val="InstructionsTabelleberschrift"/>
                <w:rFonts w:ascii="Times New Roman" w:hAnsi="Times New Roman"/>
                <w:b w:val="0"/>
                <w:sz w:val="24"/>
                <w:u w:val="none"/>
                <w:lang w:eastAsia="de-DE"/>
              </w:rPr>
              <w:t xml:space="preserve">bonds of </w:t>
            </w:r>
            <w:r w:rsidR="00AD794C" w:rsidRPr="0040604D">
              <w:rPr>
                <w:rStyle w:val="InstructionsTabelleberschrift"/>
                <w:rFonts w:ascii="Times New Roman" w:hAnsi="Times New Roman"/>
                <w:b w:val="0"/>
                <w:sz w:val="24"/>
                <w:u w:val="none"/>
                <w:lang w:eastAsia="de-DE"/>
              </w:rPr>
              <w:t>credit quality step 1</w:t>
            </w:r>
            <w:r w:rsidR="00801EC5" w:rsidRPr="00801EC5">
              <w:rPr>
                <w:rFonts w:ascii="Times New Roman" w:hAnsi="Times New Roman"/>
                <w:sz w:val="24"/>
              </w:rPr>
              <w:t xml:space="preserve"> under Chapter 2, Title II of Part Three </w:t>
            </w:r>
            <w:r w:rsidR="00387314" w:rsidRPr="0040604D">
              <w:rPr>
                <w:rStyle w:val="InstructionsTabelleberschrift"/>
                <w:rFonts w:ascii="Times New Roman" w:hAnsi="Times New Roman"/>
                <w:b w:val="0"/>
                <w:sz w:val="24"/>
                <w:u w:val="none"/>
                <w:lang w:eastAsia="de-DE"/>
              </w:rPr>
              <w:t xml:space="preserve">of </w:t>
            </w:r>
            <w:r w:rsidR="00387314"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387314">
              <w:rPr>
                <w:rFonts w:ascii="Times New Roman" w:hAnsi="Times New Roman"/>
                <w:sz w:val="24"/>
                <w:lang w:eastAsia="en-GB"/>
              </w:rPr>
              <w:t>575/2013</w:t>
            </w:r>
            <w:r w:rsidR="00AD794C" w:rsidRPr="0040604D">
              <w:rPr>
                <w:rStyle w:val="InstructionsTabelleberschrift"/>
                <w:rFonts w:ascii="Times New Roman" w:hAnsi="Times New Roman"/>
                <w:b w:val="0"/>
                <w:sz w:val="24"/>
                <w:u w:val="none"/>
                <w:lang w:eastAsia="de-DE"/>
              </w:rPr>
              <w:t>.</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660</w:t>
            </w:r>
          </w:p>
        </w:tc>
        <w:tc>
          <w:tcPr>
            <w:tcW w:w="7766" w:type="dxa"/>
            <w:gridSpan w:val="2"/>
            <w:shd w:val="clear" w:color="auto" w:fill="auto"/>
            <w:noWrap/>
          </w:tcPr>
          <w:p w:rsidR="00AD794C" w:rsidRPr="0040604D" w:rsidRDefault="00AD794C" w:rsidP="008B32E0">
            <w:pPr>
              <w:jc w:val="left"/>
              <w:rPr>
                <w:rFonts w:ascii="Times New Roman" w:hAnsi="Times New Roman"/>
                <w:b/>
                <w:sz w:val="24"/>
                <w:u w:val="single"/>
              </w:rPr>
            </w:pPr>
            <w:r w:rsidRPr="0040604D">
              <w:rPr>
                <w:rFonts w:ascii="Times New Roman" w:hAnsi="Times New Roman"/>
                <w:b/>
                <w:sz w:val="24"/>
                <w:u w:val="single"/>
              </w:rPr>
              <w:t>2.1.</w:t>
            </w:r>
            <w:r w:rsidR="004C03B6">
              <w:rPr>
                <w:rFonts w:ascii="Times New Roman" w:hAnsi="Times New Roman"/>
                <w:b/>
                <w:sz w:val="24"/>
                <w:u w:val="single"/>
              </w:rPr>
              <w:t>1.</w:t>
            </w:r>
            <w:r w:rsidRPr="0040604D">
              <w:rPr>
                <w:rFonts w:ascii="Times New Roman" w:hAnsi="Times New Roman"/>
                <w:b/>
                <w:sz w:val="24"/>
                <w:u w:val="single"/>
              </w:rPr>
              <w:t>4.2</w:t>
            </w:r>
            <w:r w:rsidR="003E309A">
              <w:rPr>
                <w:rFonts w:ascii="Times New Roman" w:hAnsi="Times New Roman"/>
                <w:b/>
                <w:sz w:val="24"/>
                <w:u w:val="single"/>
              </w:rPr>
              <w:t xml:space="preserve"> </w:t>
            </w:r>
            <w:r w:rsidRPr="0040604D">
              <w:rPr>
                <w:rFonts w:ascii="Times New Roman" w:hAnsi="Times New Roman"/>
                <w:b/>
                <w:sz w:val="24"/>
                <w:u w:val="single"/>
              </w:rPr>
              <w:t>credit quality step 2</w:t>
            </w:r>
          </w:p>
          <w:p w:rsidR="00AD794C" w:rsidRPr="0040604D" w:rsidRDefault="00743492" w:rsidP="0051512B">
            <w:pPr>
              <w:jc w:val="left"/>
              <w:rPr>
                <w:rFonts w:ascii="Times New Roman" w:hAnsi="Times New Roman"/>
                <w:b/>
                <w:sz w:val="24"/>
                <w:u w:val="singl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w:t>
            </w:r>
            <w:r w:rsidR="005A7EC0">
              <w:rPr>
                <w:rStyle w:val="InstructionsTabelleberschrift"/>
                <w:rFonts w:ascii="Times New Roman" w:hAnsi="Times New Roman"/>
                <w:b w:val="0"/>
                <w:sz w:val="24"/>
                <w:u w:val="none"/>
                <w:lang w:eastAsia="de-DE"/>
              </w:rPr>
              <w:t>reported</w:t>
            </w:r>
            <w:r w:rsidR="003E309A">
              <w:rPr>
                <w:rStyle w:val="InstructionsTabelleberschrift"/>
                <w:rFonts w:ascii="Times New Roman" w:hAnsi="Times New Roman"/>
                <w:b w:val="0"/>
                <w:sz w:val="24"/>
                <w:u w:val="none"/>
                <w:lang w:eastAsia="de-DE"/>
              </w:rPr>
              <w:t xml:space="preserve"> </w:t>
            </w:r>
            <w:r w:rsidR="00AD794C" w:rsidRPr="0040604D">
              <w:rPr>
                <w:rFonts w:ascii="Times New Roman" w:hAnsi="Times New Roman"/>
                <w:sz w:val="24"/>
              </w:rPr>
              <w:t xml:space="preserve">in </w:t>
            </w:r>
            <w:r w:rsidR="00AD794C" w:rsidRPr="0040604D">
              <w:rPr>
                <w:rStyle w:val="InstructionsTabelleberschrift"/>
                <w:rFonts w:ascii="Times New Roman" w:hAnsi="Times New Roman"/>
                <w:b w:val="0"/>
                <w:sz w:val="24"/>
                <w:u w:val="none"/>
                <w:lang w:eastAsia="de-DE"/>
              </w:rPr>
              <w:t>2.1.</w:t>
            </w:r>
            <w:r w:rsidR="005A7EC0">
              <w:rPr>
                <w:rStyle w:val="InstructionsTabelleberschrift"/>
                <w:rFonts w:ascii="Times New Roman" w:hAnsi="Times New Roman"/>
                <w:b w:val="0"/>
                <w:sz w:val="24"/>
                <w:u w:val="none"/>
                <w:lang w:eastAsia="de-DE"/>
              </w:rPr>
              <w:t>1.4</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5A7EC0">
              <w:rPr>
                <w:rStyle w:val="InstructionsTabelleberschrift"/>
                <w:rFonts w:ascii="Times New Roman" w:hAnsi="Times New Roman"/>
                <w:b w:val="0"/>
                <w:sz w:val="24"/>
                <w:u w:val="none"/>
                <w:lang w:eastAsia="de-DE"/>
              </w:rPr>
              <w:t>is collaterali</w:t>
            </w:r>
            <w:r w:rsidR="00387314">
              <w:rPr>
                <w:rStyle w:val="InstructionsTabelleberschrift"/>
                <w:rFonts w:ascii="Times New Roman" w:hAnsi="Times New Roman"/>
                <w:b w:val="0"/>
                <w:sz w:val="24"/>
                <w:u w:val="none"/>
                <w:lang w:eastAsia="de-DE"/>
              </w:rPr>
              <w:t>s</w:t>
            </w:r>
            <w:r w:rsidR="005A7EC0">
              <w:rPr>
                <w:rStyle w:val="InstructionsTabelleberschrift"/>
                <w:rFonts w:ascii="Times New Roman" w:hAnsi="Times New Roman"/>
                <w:b w:val="0"/>
                <w:sz w:val="24"/>
                <w:u w:val="none"/>
                <w:lang w:eastAsia="de-DE"/>
              </w:rPr>
              <w:t xml:space="preserve">ed by </w:t>
            </w:r>
            <w:r w:rsidR="00D56F3A">
              <w:rPr>
                <w:rStyle w:val="InstructionsTabelleberschrift"/>
                <w:rFonts w:ascii="Times New Roman" w:hAnsi="Times New Roman"/>
                <w:b w:val="0"/>
                <w:sz w:val="24"/>
                <w:u w:val="none"/>
                <w:lang w:eastAsia="de-DE"/>
              </w:rPr>
              <w:t>bonds of</w:t>
            </w:r>
            <w:r w:rsidR="005A7EC0"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credit quality step 2</w:t>
            </w:r>
            <w:r w:rsidR="00801EC5" w:rsidRPr="00801EC5">
              <w:rPr>
                <w:rFonts w:ascii="Times New Roman" w:hAnsi="Times New Roman"/>
                <w:sz w:val="24"/>
              </w:rPr>
              <w:t xml:space="preserve"> under Chapter 2, Title II of Part Three </w:t>
            </w:r>
            <w:r w:rsidR="00387314" w:rsidRPr="0040604D">
              <w:rPr>
                <w:rStyle w:val="InstructionsTabelleberschrift"/>
                <w:rFonts w:ascii="Times New Roman" w:hAnsi="Times New Roman"/>
                <w:b w:val="0"/>
                <w:sz w:val="24"/>
                <w:u w:val="none"/>
                <w:lang w:eastAsia="de-DE"/>
              </w:rPr>
              <w:t xml:space="preserve">of </w:t>
            </w:r>
            <w:r w:rsidR="00387314"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387314">
              <w:rPr>
                <w:rFonts w:ascii="Times New Roman" w:hAnsi="Times New Roman"/>
                <w:sz w:val="24"/>
                <w:lang w:eastAsia="en-GB"/>
              </w:rPr>
              <w:t>575/2013</w:t>
            </w:r>
            <w:r w:rsidR="00AD794C" w:rsidRPr="0040604D">
              <w:rPr>
                <w:rStyle w:val="InstructionsTabelleberschrift"/>
                <w:rFonts w:ascii="Times New Roman" w:hAnsi="Times New Roman"/>
                <w:b w:val="0"/>
                <w:sz w:val="24"/>
                <w:u w:val="none"/>
                <w:lang w:eastAsia="de-DE"/>
              </w:rPr>
              <w:t>.</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670</w:t>
            </w:r>
          </w:p>
        </w:tc>
        <w:tc>
          <w:tcPr>
            <w:tcW w:w="7766" w:type="dxa"/>
            <w:gridSpan w:val="2"/>
            <w:shd w:val="clear" w:color="auto" w:fill="auto"/>
            <w:noWrap/>
          </w:tcPr>
          <w:p w:rsidR="00AD794C" w:rsidRPr="0040604D" w:rsidRDefault="00AD794C" w:rsidP="008B32E0">
            <w:pPr>
              <w:jc w:val="left"/>
              <w:rPr>
                <w:rFonts w:ascii="Times New Roman" w:hAnsi="Times New Roman"/>
                <w:b/>
                <w:sz w:val="24"/>
                <w:u w:val="single"/>
              </w:rPr>
            </w:pPr>
            <w:r w:rsidRPr="0040604D">
              <w:rPr>
                <w:rFonts w:ascii="Times New Roman" w:hAnsi="Times New Roman"/>
                <w:b/>
                <w:sz w:val="24"/>
                <w:u w:val="single"/>
              </w:rPr>
              <w:t>2.1.</w:t>
            </w:r>
            <w:r w:rsidR="004C03B6">
              <w:rPr>
                <w:rFonts w:ascii="Times New Roman" w:hAnsi="Times New Roman"/>
                <w:b/>
                <w:sz w:val="24"/>
                <w:u w:val="single"/>
              </w:rPr>
              <w:t>1.</w:t>
            </w:r>
            <w:r w:rsidRPr="0040604D">
              <w:rPr>
                <w:rFonts w:ascii="Times New Roman" w:hAnsi="Times New Roman"/>
                <w:b/>
                <w:sz w:val="24"/>
                <w:u w:val="single"/>
              </w:rPr>
              <w:t>4.3</w:t>
            </w:r>
            <w:r w:rsidR="003E309A">
              <w:rPr>
                <w:rFonts w:ascii="Times New Roman" w:hAnsi="Times New Roman"/>
                <w:b/>
                <w:sz w:val="24"/>
                <w:u w:val="single"/>
              </w:rPr>
              <w:t xml:space="preserve"> </w:t>
            </w:r>
            <w:r w:rsidRPr="0040604D">
              <w:rPr>
                <w:rFonts w:ascii="Times New Roman" w:hAnsi="Times New Roman"/>
                <w:b/>
                <w:sz w:val="24"/>
                <w:u w:val="single"/>
              </w:rPr>
              <w:t>credit quality step 3</w:t>
            </w:r>
          </w:p>
          <w:p w:rsidR="00AD794C" w:rsidRPr="0040604D" w:rsidRDefault="00743492" w:rsidP="0051512B">
            <w:pPr>
              <w:jc w:val="left"/>
              <w:rPr>
                <w:rFonts w:ascii="Times New Roman" w:hAnsi="Times New Roman"/>
                <w:b/>
                <w:sz w:val="24"/>
                <w:u w:val="singl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w:t>
            </w:r>
            <w:r w:rsidR="005A7EC0">
              <w:rPr>
                <w:rStyle w:val="InstructionsTabelleberschrift"/>
                <w:rFonts w:ascii="Times New Roman" w:hAnsi="Times New Roman"/>
                <w:b w:val="0"/>
                <w:sz w:val="24"/>
                <w:u w:val="none"/>
                <w:lang w:eastAsia="de-DE"/>
              </w:rPr>
              <w:t>reported</w:t>
            </w:r>
            <w:r w:rsidR="00AD794C" w:rsidRPr="0040604D">
              <w:rPr>
                <w:rFonts w:ascii="Times New Roman" w:hAnsi="Times New Roman"/>
                <w:sz w:val="24"/>
              </w:rPr>
              <w:t xml:space="preserve"> in </w:t>
            </w:r>
            <w:r w:rsidR="00AD794C" w:rsidRPr="0040604D">
              <w:rPr>
                <w:rStyle w:val="InstructionsTabelleberschrift"/>
                <w:rFonts w:ascii="Times New Roman" w:hAnsi="Times New Roman"/>
                <w:b w:val="0"/>
                <w:sz w:val="24"/>
                <w:u w:val="none"/>
                <w:lang w:eastAsia="de-DE"/>
              </w:rPr>
              <w:t>2.1.</w:t>
            </w:r>
            <w:r w:rsidR="005A7EC0">
              <w:rPr>
                <w:rStyle w:val="InstructionsTabelleberschrift"/>
                <w:rFonts w:ascii="Times New Roman" w:hAnsi="Times New Roman"/>
                <w:b w:val="0"/>
                <w:sz w:val="24"/>
                <w:u w:val="none"/>
                <w:lang w:eastAsia="de-DE"/>
              </w:rPr>
              <w:t>1.4</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5A7EC0">
              <w:rPr>
                <w:rStyle w:val="InstructionsTabelleberschrift"/>
                <w:rFonts w:ascii="Times New Roman" w:hAnsi="Times New Roman"/>
                <w:b w:val="0"/>
                <w:sz w:val="24"/>
                <w:u w:val="none"/>
                <w:lang w:eastAsia="de-DE"/>
              </w:rPr>
              <w:t>is collaterali</w:t>
            </w:r>
            <w:r w:rsidR="00387314">
              <w:rPr>
                <w:rStyle w:val="InstructionsTabelleberschrift"/>
                <w:rFonts w:ascii="Times New Roman" w:hAnsi="Times New Roman"/>
                <w:b w:val="0"/>
                <w:sz w:val="24"/>
                <w:u w:val="none"/>
                <w:lang w:eastAsia="de-DE"/>
              </w:rPr>
              <w:t>s</w:t>
            </w:r>
            <w:r w:rsidR="005A7EC0">
              <w:rPr>
                <w:rStyle w:val="InstructionsTabelleberschrift"/>
                <w:rFonts w:ascii="Times New Roman" w:hAnsi="Times New Roman"/>
                <w:b w:val="0"/>
                <w:sz w:val="24"/>
                <w:u w:val="none"/>
                <w:lang w:eastAsia="de-DE"/>
              </w:rPr>
              <w:t>ed by</w:t>
            </w:r>
            <w:r w:rsidR="005A7EC0" w:rsidRPr="0040604D">
              <w:rPr>
                <w:rStyle w:val="InstructionsTabelleberschrift"/>
                <w:rFonts w:ascii="Times New Roman" w:hAnsi="Times New Roman"/>
                <w:b w:val="0"/>
                <w:sz w:val="24"/>
                <w:u w:val="none"/>
                <w:lang w:eastAsia="de-DE"/>
              </w:rPr>
              <w:t xml:space="preserve"> </w:t>
            </w:r>
            <w:r w:rsidR="00D56F3A">
              <w:rPr>
                <w:rStyle w:val="InstructionsTabelleberschrift"/>
                <w:rFonts w:ascii="Times New Roman" w:hAnsi="Times New Roman"/>
                <w:b w:val="0"/>
                <w:sz w:val="24"/>
                <w:u w:val="none"/>
                <w:lang w:eastAsia="de-DE"/>
              </w:rPr>
              <w:t xml:space="preserve">bonds of </w:t>
            </w:r>
            <w:r w:rsidR="00AD794C" w:rsidRPr="0040604D">
              <w:rPr>
                <w:rStyle w:val="InstructionsTabelleberschrift"/>
                <w:rFonts w:ascii="Times New Roman" w:hAnsi="Times New Roman"/>
                <w:b w:val="0"/>
                <w:sz w:val="24"/>
                <w:u w:val="none"/>
                <w:lang w:eastAsia="de-DE"/>
              </w:rPr>
              <w:t>credit quality step 3</w:t>
            </w:r>
            <w:r w:rsidR="00801EC5" w:rsidRPr="00801EC5">
              <w:rPr>
                <w:rFonts w:ascii="Times New Roman" w:hAnsi="Times New Roman"/>
                <w:sz w:val="24"/>
              </w:rPr>
              <w:t xml:space="preserve"> under Chapter 2, Title II of Part Three </w:t>
            </w:r>
            <w:r w:rsidR="00387314" w:rsidRPr="0040604D">
              <w:rPr>
                <w:rStyle w:val="InstructionsTabelleberschrift"/>
                <w:rFonts w:ascii="Times New Roman" w:hAnsi="Times New Roman"/>
                <w:b w:val="0"/>
                <w:sz w:val="24"/>
                <w:u w:val="none"/>
                <w:lang w:eastAsia="de-DE"/>
              </w:rPr>
              <w:t xml:space="preserve">of </w:t>
            </w:r>
            <w:r w:rsidR="00387314"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387314">
              <w:rPr>
                <w:rFonts w:ascii="Times New Roman" w:hAnsi="Times New Roman"/>
                <w:sz w:val="24"/>
                <w:lang w:eastAsia="en-GB"/>
              </w:rPr>
              <w:t>575/2013</w:t>
            </w:r>
            <w:r w:rsidR="00AD794C" w:rsidRPr="0040604D">
              <w:rPr>
                <w:rStyle w:val="InstructionsTabelleberschrift"/>
                <w:rFonts w:ascii="Times New Roman" w:hAnsi="Times New Roman"/>
                <w:b w:val="0"/>
                <w:sz w:val="24"/>
                <w:u w:val="none"/>
                <w:lang w:eastAsia="de-DE"/>
              </w:rPr>
              <w:t>.</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680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2.1.</w:t>
            </w:r>
            <w:r w:rsidR="002873EA">
              <w:rPr>
                <w:rFonts w:ascii="Times New Roman" w:hAnsi="Times New Roman"/>
                <w:b/>
                <w:sz w:val="24"/>
                <w:u w:val="single"/>
              </w:rPr>
              <w:t>1.</w:t>
            </w:r>
            <w:r w:rsidRPr="0040604D">
              <w:rPr>
                <w:rFonts w:ascii="Times New Roman" w:hAnsi="Times New Roman"/>
                <w:b/>
                <w:sz w:val="24"/>
                <w:u w:val="single"/>
              </w:rPr>
              <w:t>5 non financial corporate bonds</w:t>
            </w:r>
          </w:p>
          <w:p w:rsidR="00AD794C" w:rsidRPr="0040604D" w:rsidRDefault="00743492" w:rsidP="00D468AB">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817AF6">
              <w:rPr>
                <w:rStyle w:val="InstructionsTabelleberschrift"/>
                <w:rFonts w:ascii="Times New Roman" w:hAnsi="Times New Roman"/>
                <w:b w:val="0"/>
                <w:sz w:val="24"/>
                <w:u w:val="none"/>
                <w:lang w:eastAsia="de-DE"/>
              </w:rPr>
              <w:t>cas</w:t>
            </w:r>
            <w:r w:rsidR="00AD794C">
              <w:rPr>
                <w:rStyle w:val="InstructionsTabelleberschrift"/>
                <w:rFonts w:ascii="Times New Roman" w:hAnsi="Times New Roman"/>
                <w:b w:val="0"/>
                <w:sz w:val="24"/>
                <w:u w:val="none"/>
                <w:lang w:eastAsia="de-DE"/>
              </w:rPr>
              <w:t>h</w:t>
            </w:r>
            <w:r w:rsidR="00817AF6">
              <w:rPr>
                <w:rStyle w:val="InstructionsTabelleberschrift"/>
                <w:rFonts w:ascii="Times New Roman" w:hAnsi="Times New Roman"/>
                <w:b w:val="0"/>
                <w:sz w:val="24"/>
                <w:u w:val="none"/>
                <w:lang w:eastAsia="de-DE"/>
              </w:rPr>
              <w:t xml:space="preserve"> </w:t>
            </w:r>
            <w:r w:rsidR="00AD794C">
              <w:rPr>
                <w:rStyle w:val="InstructionsTabelleberschrift"/>
                <w:rFonts w:ascii="Times New Roman" w:hAnsi="Times New Roman"/>
                <w:b w:val="0"/>
                <w:sz w:val="24"/>
                <w:u w:val="none"/>
                <w:lang w:eastAsia="de-DE"/>
              </w:rPr>
              <w:t>inflows</w:t>
            </w:r>
            <w:r w:rsidR="00AD794C" w:rsidRPr="0040604D">
              <w:rPr>
                <w:rStyle w:val="InstructionsTabelleberschrift"/>
                <w:rFonts w:ascii="Times New Roman" w:hAnsi="Times New Roman"/>
                <w:b w:val="0"/>
                <w:sz w:val="24"/>
                <w:u w:val="none"/>
                <w:lang w:eastAsia="de-DE"/>
              </w:rPr>
              <w:t xml:space="preserve"> reported in item 2.1.</w:t>
            </w:r>
            <w:r w:rsidR="002873EA">
              <w:rPr>
                <w:rStyle w:val="InstructionsTabelleberschrift"/>
                <w:rFonts w:ascii="Times New Roman" w:hAnsi="Times New Roman"/>
                <w:b w:val="0"/>
                <w:sz w:val="24"/>
                <w:u w:val="none"/>
                <w:lang w:eastAsia="de-DE"/>
              </w:rPr>
              <w:t>1</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is collateralised by</w:t>
            </w:r>
            <w:r w:rsidR="002B27BD">
              <w:rPr>
                <w:rStyle w:val="InstructionsTabelleberschrift"/>
                <w:rFonts w:ascii="Times New Roman" w:hAnsi="Times New Roman"/>
                <w:b w:val="0"/>
                <w:sz w:val="24"/>
                <w:u w:val="none"/>
                <w:lang w:eastAsia="de-DE"/>
              </w:rPr>
              <w:t xml:space="preserve"> non-financial corporate</w:t>
            </w:r>
            <w:r w:rsidR="00AD794C" w:rsidRPr="0040604D">
              <w:rPr>
                <w:rStyle w:val="InstructionsTabelleberschrift"/>
                <w:rFonts w:ascii="Times New Roman" w:hAnsi="Times New Roman"/>
                <w:b w:val="0"/>
                <w:sz w:val="24"/>
                <w:u w:val="none"/>
                <w:lang w:eastAsia="de-DE"/>
              </w:rPr>
              <w:t xml:space="preserve"> bonds.</w:t>
            </w:r>
          </w:p>
          <w:p w:rsidR="00AD794C" w:rsidRPr="0040604D" w:rsidRDefault="00AD794C" w:rsidP="00D468AB">
            <w:pPr>
              <w:spacing w:before="0" w:after="0"/>
              <w:jc w:val="left"/>
              <w:rPr>
                <w:rFonts w:ascii="Times New Roman" w:hAnsi="Times New Roman"/>
                <w:bCs/>
                <w:sz w:val="24"/>
                <w:lang w:eastAsia="de-DE"/>
              </w:rPr>
            </w:pP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690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2.1.</w:t>
            </w:r>
            <w:r w:rsidR="00D47309">
              <w:rPr>
                <w:rFonts w:ascii="Times New Roman" w:hAnsi="Times New Roman"/>
                <w:b/>
                <w:sz w:val="24"/>
                <w:u w:val="single"/>
              </w:rPr>
              <w:t>1.</w:t>
            </w:r>
            <w:r w:rsidRPr="0040604D">
              <w:rPr>
                <w:rFonts w:ascii="Times New Roman" w:hAnsi="Times New Roman"/>
                <w:b/>
                <w:sz w:val="24"/>
                <w:u w:val="single"/>
              </w:rPr>
              <w:t>5.1 credit quality step 1</w:t>
            </w:r>
          </w:p>
          <w:p w:rsidR="00AD794C" w:rsidRPr="0040604D" w:rsidRDefault="00743492" w:rsidP="00D468AB">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reported in item 2.1.</w:t>
            </w:r>
            <w:r w:rsidR="00D51025">
              <w:rPr>
                <w:rStyle w:val="InstructionsTabelleberschrift"/>
                <w:rFonts w:ascii="Times New Roman" w:hAnsi="Times New Roman"/>
                <w:b w:val="0"/>
                <w:sz w:val="24"/>
                <w:u w:val="none"/>
                <w:lang w:eastAsia="de-DE"/>
              </w:rPr>
              <w:t>1.</w:t>
            </w:r>
            <w:r w:rsidR="00AD794C" w:rsidRPr="0040604D">
              <w:rPr>
                <w:rStyle w:val="InstructionsTabelleberschrift"/>
                <w:rFonts w:ascii="Times New Roman" w:hAnsi="Times New Roman"/>
                <w:b w:val="0"/>
                <w:sz w:val="24"/>
                <w:u w:val="none"/>
                <w:lang w:eastAsia="de-DE"/>
              </w:rPr>
              <w:t xml:space="preserve">5,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D51025">
              <w:rPr>
                <w:rStyle w:val="InstructionsTabelleberschrift"/>
                <w:rFonts w:ascii="Times New Roman" w:hAnsi="Times New Roman"/>
                <w:b w:val="0"/>
                <w:sz w:val="24"/>
                <w:u w:val="none"/>
                <w:lang w:eastAsia="de-DE"/>
              </w:rPr>
              <w:t>is collaterali</w:t>
            </w:r>
            <w:r w:rsidR="00387314">
              <w:rPr>
                <w:rStyle w:val="InstructionsTabelleberschrift"/>
                <w:rFonts w:ascii="Times New Roman" w:hAnsi="Times New Roman"/>
                <w:b w:val="0"/>
                <w:sz w:val="24"/>
                <w:u w:val="none"/>
                <w:lang w:eastAsia="de-DE"/>
              </w:rPr>
              <w:t>s</w:t>
            </w:r>
            <w:r w:rsidR="00D51025">
              <w:rPr>
                <w:rStyle w:val="InstructionsTabelleberschrift"/>
                <w:rFonts w:ascii="Times New Roman" w:hAnsi="Times New Roman"/>
                <w:b w:val="0"/>
                <w:sz w:val="24"/>
                <w:u w:val="none"/>
                <w:lang w:eastAsia="de-DE"/>
              </w:rPr>
              <w:t>ed by</w:t>
            </w:r>
            <w:r w:rsidR="00D56F3A">
              <w:rPr>
                <w:rStyle w:val="InstructionsTabelleberschrift"/>
                <w:rFonts w:ascii="Times New Roman" w:hAnsi="Times New Roman"/>
                <w:b w:val="0"/>
                <w:sz w:val="24"/>
                <w:u w:val="none"/>
                <w:lang w:eastAsia="de-DE"/>
              </w:rPr>
              <w:t xml:space="preserve"> bonds of</w:t>
            </w:r>
            <w:r w:rsidR="003E309A">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credit quality step 1</w:t>
            </w:r>
            <w:r w:rsidR="00801EC5" w:rsidRPr="00801EC5">
              <w:rPr>
                <w:rFonts w:ascii="Times New Roman" w:hAnsi="Times New Roman"/>
                <w:sz w:val="24"/>
              </w:rPr>
              <w:t xml:space="preserve"> under Chapter 2, Title II of Part Three</w:t>
            </w:r>
            <w:r w:rsidR="00387314">
              <w:rPr>
                <w:rFonts w:ascii="Times New Roman" w:hAnsi="Times New Roman"/>
                <w:sz w:val="24"/>
              </w:rPr>
              <w:t xml:space="preserve"> </w:t>
            </w:r>
            <w:r w:rsidR="00387314" w:rsidRPr="0040604D">
              <w:rPr>
                <w:rStyle w:val="InstructionsTabelleberschrift"/>
                <w:rFonts w:ascii="Times New Roman" w:hAnsi="Times New Roman"/>
                <w:b w:val="0"/>
                <w:sz w:val="24"/>
                <w:u w:val="none"/>
                <w:lang w:eastAsia="de-DE"/>
              </w:rPr>
              <w:t xml:space="preserve">of </w:t>
            </w:r>
            <w:r w:rsidR="00387314"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387314">
              <w:rPr>
                <w:rFonts w:ascii="Times New Roman" w:hAnsi="Times New Roman"/>
                <w:sz w:val="24"/>
                <w:lang w:eastAsia="en-GB"/>
              </w:rPr>
              <w:t>575/2013</w:t>
            </w:r>
            <w:r w:rsidR="00AD794C" w:rsidRPr="0040604D">
              <w:rPr>
                <w:rStyle w:val="InstructionsTabelleberschrift"/>
                <w:rFonts w:ascii="Times New Roman" w:hAnsi="Times New Roman"/>
                <w:b w:val="0"/>
                <w:sz w:val="24"/>
                <w:u w:val="none"/>
                <w:lang w:eastAsia="de-DE"/>
              </w:rPr>
              <w:t>.</w:t>
            </w:r>
          </w:p>
          <w:p w:rsidR="00AD794C" w:rsidRPr="0040604D" w:rsidRDefault="00AD794C" w:rsidP="00D468AB">
            <w:pPr>
              <w:spacing w:before="0" w:after="0"/>
              <w:jc w:val="left"/>
              <w:rPr>
                <w:rFonts w:ascii="Times New Roman" w:hAnsi="Times New Roman"/>
                <w:bCs/>
                <w:sz w:val="24"/>
                <w:lang w:eastAsia="de-DE"/>
              </w:rPr>
            </w:pPr>
          </w:p>
        </w:tc>
      </w:tr>
      <w:tr w:rsidR="00AD794C" w:rsidRPr="0040604D" w:rsidTr="0021066C">
        <w:trPr>
          <w:trHeight w:val="709"/>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700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2.1.</w:t>
            </w:r>
            <w:r w:rsidR="00D47309">
              <w:rPr>
                <w:rFonts w:ascii="Times New Roman" w:hAnsi="Times New Roman"/>
                <w:b/>
                <w:sz w:val="24"/>
                <w:u w:val="single"/>
              </w:rPr>
              <w:t>1.</w:t>
            </w:r>
            <w:r w:rsidRPr="0040604D">
              <w:rPr>
                <w:rFonts w:ascii="Times New Roman" w:hAnsi="Times New Roman"/>
                <w:b/>
                <w:sz w:val="24"/>
                <w:u w:val="single"/>
              </w:rPr>
              <w:t>5.2 credit quality step 2</w:t>
            </w:r>
          </w:p>
          <w:p w:rsidR="00AD794C" w:rsidRPr="0040604D" w:rsidRDefault="00743492" w:rsidP="00D468AB">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reported in item 2.1.</w:t>
            </w:r>
            <w:r w:rsidR="003A77C4">
              <w:rPr>
                <w:rStyle w:val="InstructionsTabelleberschrift"/>
                <w:rFonts w:ascii="Times New Roman" w:hAnsi="Times New Roman"/>
                <w:b w:val="0"/>
                <w:sz w:val="24"/>
                <w:u w:val="none"/>
                <w:lang w:eastAsia="de-DE"/>
              </w:rPr>
              <w:t>1.</w:t>
            </w:r>
            <w:r w:rsidR="00AD794C" w:rsidRPr="0040604D">
              <w:rPr>
                <w:rStyle w:val="InstructionsTabelleberschrift"/>
                <w:rFonts w:ascii="Times New Roman" w:hAnsi="Times New Roman"/>
                <w:b w:val="0"/>
                <w:sz w:val="24"/>
                <w:u w:val="none"/>
                <w:lang w:eastAsia="de-DE"/>
              </w:rPr>
              <w:t xml:space="preserve">5,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3A77C4">
              <w:rPr>
                <w:rStyle w:val="InstructionsTabelleberschrift"/>
                <w:rFonts w:ascii="Times New Roman" w:hAnsi="Times New Roman"/>
                <w:b w:val="0"/>
                <w:sz w:val="24"/>
                <w:u w:val="none"/>
                <w:lang w:eastAsia="de-DE"/>
              </w:rPr>
              <w:t>is collaterali</w:t>
            </w:r>
            <w:r w:rsidR="00387314">
              <w:rPr>
                <w:rStyle w:val="InstructionsTabelleberschrift"/>
                <w:rFonts w:ascii="Times New Roman" w:hAnsi="Times New Roman"/>
                <w:b w:val="0"/>
                <w:sz w:val="24"/>
                <w:u w:val="none"/>
                <w:lang w:eastAsia="de-DE"/>
              </w:rPr>
              <w:t>s</w:t>
            </w:r>
            <w:r w:rsidR="003A77C4">
              <w:rPr>
                <w:rStyle w:val="InstructionsTabelleberschrift"/>
                <w:rFonts w:ascii="Times New Roman" w:hAnsi="Times New Roman"/>
                <w:b w:val="0"/>
                <w:sz w:val="24"/>
                <w:u w:val="none"/>
                <w:lang w:eastAsia="de-DE"/>
              </w:rPr>
              <w:t>ed by</w:t>
            </w:r>
            <w:r w:rsidR="00D56F3A">
              <w:rPr>
                <w:rStyle w:val="InstructionsTabelleberschrift"/>
                <w:rFonts w:ascii="Times New Roman" w:hAnsi="Times New Roman"/>
                <w:b w:val="0"/>
                <w:sz w:val="24"/>
                <w:u w:val="none"/>
                <w:lang w:eastAsia="de-DE"/>
              </w:rPr>
              <w:t xml:space="preserve"> bonds of</w:t>
            </w:r>
            <w:r w:rsidR="003A77C4"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credit quality step 2</w:t>
            </w:r>
            <w:r w:rsidR="00801EC5" w:rsidRPr="00801EC5">
              <w:rPr>
                <w:rFonts w:ascii="Times New Roman" w:hAnsi="Times New Roman"/>
                <w:sz w:val="24"/>
              </w:rPr>
              <w:t xml:space="preserve"> under Chapter 2, Title II of Part Three </w:t>
            </w:r>
            <w:r w:rsidR="00387314" w:rsidRPr="0040604D">
              <w:rPr>
                <w:rStyle w:val="InstructionsTabelleberschrift"/>
                <w:rFonts w:ascii="Times New Roman" w:hAnsi="Times New Roman"/>
                <w:b w:val="0"/>
                <w:sz w:val="24"/>
                <w:u w:val="none"/>
                <w:lang w:eastAsia="de-DE"/>
              </w:rPr>
              <w:t xml:space="preserve">of </w:t>
            </w:r>
            <w:r w:rsidR="00387314"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387314">
              <w:rPr>
                <w:rFonts w:ascii="Times New Roman" w:hAnsi="Times New Roman"/>
                <w:sz w:val="24"/>
                <w:lang w:eastAsia="en-GB"/>
              </w:rPr>
              <w:t>575/2013</w:t>
            </w:r>
            <w:r w:rsidR="00AD794C" w:rsidRPr="0040604D">
              <w:rPr>
                <w:rStyle w:val="InstructionsTabelleberschrift"/>
                <w:rFonts w:ascii="Times New Roman" w:hAnsi="Times New Roman"/>
                <w:b w:val="0"/>
                <w:sz w:val="24"/>
                <w:u w:val="none"/>
                <w:lang w:eastAsia="de-DE"/>
              </w:rPr>
              <w:t>.</w:t>
            </w:r>
          </w:p>
          <w:p w:rsidR="00AD794C" w:rsidRPr="0040604D" w:rsidRDefault="00AD794C" w:rsidP="00D468AB">
            <w:pPr>
              <w:spacing w:before="0" w:after="0"/>
              <w:jc w:val="left"/>
              <w:rPr>
                <w:rFonts w:ascii="Times New Roman" w:hAnsi="Times New Roman"/>
                <w:bCs/>
                <w:sz w:val="24"/>
                <w:lang w:eastAsia="de-DE"/>
              </w:rPr>
            </w:pPr>
          </w:p>
        </w:tc>
      </w:tr>
      <w:tr w:rsidR="00AD794C" w:rsidRPr="0040604D" w:rsidTr="0021066C">
        <w:trPr>
          <w:trHeight w:val="709"/>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lastRenderedPageBreak/>
              <w:t>710</w:t>
            </w:r>
          </w:p>
        </w:tc>
        <w:tc>
          <w:tcPr>
            <w:tcW w:w="7766" w:type="dxa"/>
            <w:gridSpan w:val="2"/>
            <w:shd w:val="clear" w:color="auto" w:fill="auto"/>
            <w:noWrap/>
          </w:tcPr>
          <w:p w:rsidR="00AD794C" w:rsidRPr="0040604D" w:rsidRDefault="00AD794C" w:rsidP="009D35DD">
            <w:pPr>
              <w:jc w:val="left"/>
              <w:rPr>
                <w:rFonts w:ascii="Times New Roman" w:hAnsi="Times New Roman"/>
                <w:b/>
                <w:sz w:val="24"/>
                <w:u w:val="single"/>
              </w:rPr>
            </w:pPr>
            <w:r w:rsidRPr="0040604D">
              <w:rPr>
                <w:rFonts w:ascii="Times New Roman" w:hAnsi="Times New Roman"/>
                <w:b/>
                <w:sz w:val="24"/>
                <w:u w:val="single"/>
              </w:rPr>
              <w:t>2.1.</w:t>
            </w:r>
            <w:r w:rsidR="00D47309">
              <w:rPr>
                <w:rFonts w:ascii="Times New Roman" w:hAnsi="Times New Roman"/>
                <w:b/>
                <w:sz w:val="24"/>
                <w:u w:val="single"/>
              </w:rPr>
              <w:t>1.</w:t>
            </w:r>
            <w:r w:rsidRPr="0040604D">
              <w:rPr>
                <w:rFonts w:ascii="Times New Roman" w:hAnsi="Times New Roman"/>
                <w:b/>
                <w:sz w:val="24"/>
                <w:u w:val="single"/>
              </w:rPr>
              <w:t>5.3 credit quality step 3</w:t>
            </w:r>
          </w:p>
          <w:p w:rsidR="00AD794C" w:rsidRPr="0040604D" w:rsidRDefault="00743492" w:rsidP="009920BE">
            <w:pPr>
              <w:spacing w:before="0" w:after="0"/>
              <w:jc w:val="left"/>
              <w:rPr>
                <w:rFonts w:ascii="Times New Roman" w:hAnsi="Times New Roman"/>
                <w:b/>
                <w:sz w:val="24"/>
                <w:u w:val="singl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2.1.</w:t>
            </w:r>
            <w:r w:rsidR="003A77C4">
              <w:rPr>
                <w:rStyle w:val="InstructionsTabelleberschrift"/>
                <w:rFonts w:ascii="Times New Roman" w:hAnsi="Times New Roman"/>
                <w:b w:val="0"/>
                <w:sz w:val="24"/>
                <w:u w:val="none"/>
                <w:lang w:eastAsia="de-DE"/>
              </w:rPr>
              <w:t>1.</w:t>
            </w:r>
            <w:r w:rsidR="00AD794C" w:rsidRPr="0040604D">
              <w:rPr>
                <w:rStyle w:val="InstructionsTabelleberschrift"/>
                <w:rFonts w:ascii="Times New Roman" w:hAnsi="Times New Roman"/>
                <w:b w:val="0"/>
                <w:sz w:val="24"/>
                <w:u w:val="none"/>
                <w:lang w:eastAsia="de-DE"/>
              </w:rPr>
              <w:t xml:space="preserve">5,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3A77C4">
              <w:rPr>
                <w:rStyle w:val="InstructionsTabelleberschrift"/>
                <w:rFonts w:ascii="Times New Roman" w:hAnsi="Times New Roman"/>
                <w:b w:val="0"/>
                <w:sz w:val="24"/>
                <w:u w:val="none"/>
                <w:lang w:eastAsia="de-DE"/>
              </w:rPr>
              <w:t>is collaterali</w:t>
            </w:r>
            <w:r w:rsidR="00387314">
              <w:rPr>
                <w:rStyle w:val="InstructionsTabelleberschrift"/>
                <w:rFonts w:ascii="Times New Roman" w:hAnsi="Times New Roman"/>
                <w:b w:val="0"/>
                <w:sz w:val="24"/>
                <w:u w:val="none"/>
                <w:lang w:eastAsia="de-DE"/>
              </w:rPr>
              <w:t>s</w:t>
            </w:r>
            <w:r w:rsidR="003A77C4">
              <w:rPr>
                <w:rStyle w:val="InstructionsTabelleberschrift"/>
                <w:rFonts w:ascii="Times New Roman" w:hAnsi="Times New Roman"/>
                <w:b w:val="0"/>
                <w:sz w:val="24"/>
                <w:u w:val="none"/>
                <w:lang w:eastAsia="de-DE"/>
              </w:rPr>
              <w:t>ed by</w:t>
            </w:r>
            <w:r w:rsidR="003A77C4" w:rsidRPr="0040604D">
              <w:rPr>
                <w:rStyle w:val="InstructionsTabelleberschrift"/>
                <w:rFonts w:ascii="Times New Roman" w:hAnsi="Times New Roman"/>
                <w:b w:val="0"/>
                <w:sz w:val="24"/>
                <w:u w:val="none"/>
                <w:lang w:eastAsia="de-DE"/>
              </w:rPr>
              <w:t xml:space="preserve"> </w:t>
            </w:r>
            <w:r w:rsidR="00D56F3A">
              <w:rPr>
                <w:rStyle w:val="InstructionsTabelleberschrift"/>
                <w:rFonts w:ascii="Times New Roman" w:hAnsi="Times New Roman"/>
                <w:b w:val="0"/>
                <w:sz w:val="24"/>
                <w:u w:val="none"/>
                <w:lang w:eastAsia="de-DE"/>
              </w:rPr>
              <w:t xml:space="preserve">bonds of </w:t>
            </w:r>
            <w:r w:rsidR="00AD794C" w:rsidRPr="0040604D">
              <w:rPr>
                <w:rStyle w:val="InstructionsTabelleberschrift"/>
                <w:rFonts w:ascii="Times New Roman" w:hAnsi="Times New Roman"/>
                <w:b w:val="0"/>
                <w:sz w:val="24"/>
                <w:u w:val="none"/>
                <w:lang w:eastAsia="de-DE"/>
              </w:rPr>
              <w:t>credit quality step 3</w:t>
            </w:r>
            <w:r w:rsidR="00801EC5" w:rsidRPr="00801EC5">
              <w:rPr>
                <w:rFonts w:ascii="Times New Roman" w:hAnsi="Times New Roman"/>
                <w:sz w:val="24"/>
              </w:rPr>
              <w:t xml:space="preserve"> under Chapter 2, Title II of Part Three </w:t>
            </w:r>
            <w:r w:rsidR="00387314" w:rsidRPr="0040604D">
              <w:rPr>
                <w:rStyle w:val="InstructionsTabelleberschrift"/>
                <w:rFonts w:ascii="Times New Roman" w:hAnsi="Times New Roman"/>
                <w:b w:val="0"/>
                <w:sz w:val="24"/>
                <w:u w:val="none"/>
                <w:lang w:eastAsia="de-DE"/>
              </w:rPr>
              <w:t xml:space="preserve">of </w:t>
            </w:r>
            <w:r w:rsidR="00387314"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387314">
              <w:rPr>
                <w:rFonts w:ascii="Times New Roman" w:hAnsi="Times New Roman"/>
                <w:sz w:val="24"/>
                <w:lang w:eastAsia="en-GB"/>
              </w:rPr>
              <w:t>575/2013</w:t>
            </w:r>
            <w:r w:rsidR="00AD794C" w:rsidRPr="0040604D">
              <w:rPr>
                <w:rStyle w:val="InstructionsTabelleberschrift"/>
                <w:rFonts w:ascii="Times New Roman" w:hAnsi="Times New Roman"/>
                <w:b w:val="0"/>
                <w:sz w:val="24"/>
                <w:u w:val="none"/>
                <w:lang w:eastAsia="de-DE"/>
              </w:rPr>
              <w:t>.</w:t>
            </w:r>
          </w:p>
        </w:tc>
      </w:tr>
      <w:tr w:rsidR="00AD794C" w:rsidRPr="0040604D" w:rsidTr="0021066C">
        <w:trPr>
          <w:trHeight w:val="1460"/>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720</w:t>
            </w:r>
          </w:p>
        </w:tc>
        <w:tc>
          <w:tcPr>
            <w:tcW w:w="7766" w:type="dxa"/>
            <w:gridSpan w:val="2"/>
            <w:shd w:val="clear" w:color="auto" w:fill="auto"/>
            <w:noWrap/>
          </w:tcPr>
          <w:p w:rsidR="00AD794C" w:rsidRPr="0040604D" w:rsidRDefault="00AD794C" w:rsidP="00DD10B0">
            <w:pPr>
              <w:rPr>
                <w:rFonts w:ascii="Times New Roman" w:hAnsi="Times New Roman"/>
                <w:b/>
                <w:sz w:val="24"/>
                <w:u w:val="single"/>
              </w:rPr>
            </w:pPr>
            <w:r w:rsidRPr="0040604D">
              <w:rPr>
                <w:rFonts w:ascii="Times New Roman" w:hAnsi="Times New Roman"/>
                <w:b/>
                <w:sz w:val="24"/>
                <w:u w:val="single"/>
              </w:rPr>
              <w:t>2.1.</w:t>
            </w:r>
            <w:r w:rsidR="00C96B02">
              <w:rPr>
                <w:rFonts w:ascii="Times New Roman" w:hAnsi="Times New Roman"/>
                <w:b/>
                <w:sz w:val="24"/>
                <w:u w:val="single"/>
              </w:rPr>
              <w:t>1.</w:t>
            </w:r>
            <w:r w:rsidRPr="0040604D">
              <w:rPr>
                <w:rFonts w:ascii="Times New Roman" w:hAnsi="Times New Roman"/>
                <w:b/>
                <w:sz w:val="24"/>
                <w:u w:val="single"/>
              </w:rPr>
              <w:t>6 residential mortgage backed securities of credit quality step 1</w:t>
            </w:r>
          </w:p>
          <w:p w:rsidR="00AD794C" w:rsidRPr="0040604D" w:rsidRDefault="00743492" w:rsidP="001F0985">
            <w:pPr>
              <w:rPr>
                <w:rFonts w:ascii="Times New Roman" w:hAnsi="Times New Roman"/>
                <w:bCs/>
                <w:sz w:val="24"/>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from secured lending and capital market driven transactions as defined in Article </w:t>
            </w:r>
            <w:r w:rsidR="00B56743" w:rsidRPr="0040604D">
              <w:rPr>
                <w:rStyle w:val="InstructionsTabelleberschrift"/>
                <w:rFonts w:ascii="Times New Roman" w:hAnsi="Times New Roman"/>
                <w:b w:val="0"/>
                <w:sz w:val="24"/>
                <w:u w:val="none"/>
                <w:lang w:eastAsia="de-DE"/>
              </w:rPr>
              <w:t>1</w:t>
            </w:r>
            <w:r w:rsidR="00B56743">
              <w:rPr>
                <w:rStyle w:val="InstructionsTabelleberschrift"/>
                <w:rFonts w:ascii="Times New Roman" w:hAnsi="Times New Roman"/>
                <w:b w:val="0"/>
                <w:sz w:val="24"/>
                <w:u w:val="none"/>
                <w:lang w:eastAsia="de-DE"/>
              </w:rPr>
              <w:t>92</w:t>
            </w:r>
            <w:r w:rsidR="00B56743"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 xml:space="preserve">of </w:t>
            </w:r>
            <w:r w:rsidR="00AD794C" w:rsidRPr="0040604D">
              <w:rPr>
                <w:rFonts w:ascii="Times New Roman" w:hAnsi="Times New Roman"/>
                <w:sz w:val="24"/>
                <w:lang w:eastAsia="en-GB"/>
              </w:rPr>
              <w:t xml:space="preserve">Regulation </w:t>
            </w:r>
            <w:r w:rsidR="00B56743">
              <w:rPr>
                <w:rFonts w:ascii="Times New Roman" w:hAnsi="Times New Roman"/>
                <w:sz w:val="24"/>
                <w:lang w:eastAsia="en-GB"/>
              </w:rPr>
              <w:t>575/2013</w:t>
            </w:r>
            <w:r w:rsidR="003E309A">
              <w:rPr>
                <w:rFonts w:ascii="Times New Roman" w:hAnsi="Times New Roman"/>
                <w:sz w:val="24"/>
                <w:lang w:eastAsia="en-GB"/>
              </w:rPr>
              <w:t xml:space="preserve"> </w:t>
            </w:r>
            <w:r w:rsidR="00AD794C" w:rsidRPr="0040604D">
              <w:rPr>
                <w:rStyle w:val="InstructionsTabelleberschrift"/>
                <w:rFonts w:ascii="Times New Roman" w:hAnsi="Times New Roman"/>
                <w:b w:val="0"/>
                <w:sz w:val="24"/>
                <w:u w:val="none"/>
                <w:lang w:eastAsia="de-DE"/>
              </w:rPr>
              <w:t>reported in item 2.1.</w:t>
            </w:r>
            <w:r w:rsidR="00FB23AA">
              <w:rPr>
                <w:rStyle w:val="InstructionsTabelleberschrift"/>
                <w:rFonts w:ascii="Times New Roman" w:hAnsi="Times New Roman"/>
                <w:b w:val="0"/>
                <w:sz w:val="24"/>
                <w:u w:val="none"/>
                <w:lang w:eastAsia="de-DE"/>
              </w:rPr>
              <w:t>1</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is collateralised by </w:t>
            </w:r>
            <w:r w:rsidR="00AD794C" w:rsidRPr="0040604D">
              <w:rPr>
                <w:rFonts w:ascii="Times New Roman" w:hAnsi="Times New Roman"/>
                <w:sz w:val="24"/>
              </w:rPr>
              <w:t>residential mortgage backed securities of credit quality step 1</w:t>
            </w:r>
            <w:r w:rsidR="00801EC5" w:rsidRPr="00801EC5">
              <w:rPr>
                <w:rFonts w:ascii="Times New Roman" w:hAnsi="Times New Roman"/>
                <w:sz w:val="24"/>
              </w:rPr>
              <w:t xml:space="preserve"> under Chapter 2, Title II of Part Three </w:t>
            </w:r>
            <w:r w:rsidR="00387314" w:rsidRPr="0040604D">
              <w:rPr>
                <w:rStyle w:val="InstructionsTabelleberschrift"/>
                <w:rFonts w:ascii="Times New Roman" w:hAnsi="Times New Roman"/>
                <w:b w:val="0"/>
                <w:sz w:val="24"/>
                <w:u w:val="none"/>
                <w:lang w:eastAsia="de-DE"/>
              </w:rPr>
              <w:t xml:space="preserve">of </w:t>
            </w:r>
            <w:r w:rsidR="00387314" w:rsidRPr="0040604D">
              <w:rPr>
                <w:rFonts w:ascii="Times New Roman" w:hAnsi="Times New Roman"/>
                <w:sz w:val="24"/>
                <w:lang w:eastAsia="en-GB"/>
              </w:rPr>
              <w:t xml:space="preserve">Regulation </w:t>
            </w:r>
            <w:r w:rsidR="00994617">
              <w:rPr>
                <w:rFonts w:ascii="Times New Roman" w:hAnsi="Times New Roman"/>
                <w:sz w:val="24"/>
              </w:rPr>
              <w:t>(EU) No</w:t>
            </w:r>
            <w:r w:rsidR="00994617">
              <w:rPr>
                <w:rFonts w:ascii="Times New Roman" w:hAnsi="Times New Roman"/>
                <w:sz w:val="24"/>
                <w:lang w:eastAsia="en-GB"/>
              </w:rPr>
              <w:t xml:space="preserve"> </w:t>
            </w:r>
            <w:r w:rsidR="00387314">
              <w:rPr>
                <w:rFonts w:ascii="Times New Roman" w:hAnsi="Times New Roman"/>
                <w:sz w:val="24"/>
                <w:lang w:eastAsia="en-GB"/>
              </w:rPr>
              <w:t>575/2013</w:t>
            </w:r>
            <w:r w:rsidR="00AD794C" w:rsidRPr="0040604D">
              <w:rPr>
                <w:rFonts w:ascii="Times New Roman" w:hAnsi="Times New Roman"/>
                <w:sz w:val="24"/>
              </w:rPr>
              <w:t>.</w:t>
            </w:r>
          </w:p>
        </w:tc>
      </w:tr>
      <w:tr w:rsidR="008A7751" w:rsidRPr="0040604D" w:rsidTr="0021066C">
        <w:trPr>
          <w:trHeight w:val="1460"/>
        </w:trPr>
        <w:tc>
          <w:tcPr>
            <w:tcW w:w="828" w:type="dxa"/>
            <w:vAlign w:val="center"/>
          </w:tcPr>
          <w:p w:rsidR="008A7751" w:rsidRPr="009920BE" w:rsidRDefault="00166193" w:rsidP="009920BE">
            <w:pPr>
              <w:jc w:val="left"/>
              <w:rPr>
                <w:rFonts w:ascii="Times New Roman" w:hAnsi="Times New Roman"/>
                <w:sz w:val="24"/>
              </w:rPr>
            </w:pPr>
            <w:r>
              <w:rPr>
                <w:rFonts w:ascii="Times New Roman" w:hAnsi="Times New Roman"/>
                <w:sz w:val="24"/>
              </w:rPr>
              <w:t>730</w:t>
            </w:r>
          </w:p>
        </w:tc>
        <w:tc>
          <w:tcPr>
            <w:tcW w:w="7766" w:type="dxa"/>
            <w:gridSpan w:val="2"/>
            <w:shd w:val="clear" w:color="auto" w:fill="auto"/>
            <w:noWrap/>
          </w:tcPr>
          <w:p w:rsidR="008A7751" w:rsidRDefault="00E54031" w:rsidP="00E54031">
            <w:pPr>
              <w:rPr>
                <w:rFonts w:ascii="Times New Roman" w:hAnsi="Times New Roman"/>
                <w:b/>
                <w:sz w:val="24"/>
                <w:u w:val="single"/>
              </w:rPr>
            </w:pPr>
            <w:r w:rsidRPr="0040604D">
              <w:rPr>
                <w:rFonts w:ascii="Times New Roman" w:hAnsi="Times New Roman"/>
                <w:b/>
                <w:sz w:val="24"/>
                <w:u w:val="single"/>
              </w:rPr>
              <w:t>2.1.</w:t>
            </w:r>
            <w:r>
              <w:rPr>
                <w:rFonts w:ascii="Times New Roman" w:hAnsi="Times New Roman"/>
                <w:b/>
                <w:sz w:val="24"/>
                <w:u w:val="single"/>
              </w:rPr>
              <w:t>1.7</w:t>
            </w:r>
            <w:r w:rsidRPr="0040604D">
              <w:rPr>
                <w:rFonts w:ascii="Times New Roman" w:hAnsi="Times New Roman"/>
                <w:b/>
                <w:sz w:val="24"/>
                <w:u w:val="single"/>
              </w:rPr>
              <w:t xml:space="preserve"> </w:t>
            </w:r>
            <w:r>
              <w:rPr>
                <w:rFonts w:ascii="Times New Roman" w:hAnsi="Times New Roman"/>
                <w:b/>
                <w:sz w:val="24"/>
                <w:u w:val="single"/>
              </w:rPr>
              <w:t>other assets</w:t>
            </w:r>
          </w:p>
          <w:p w:rsidR="008F7C06" w:rsidRPr="008F7C06" w:rsidRDefault="00743492" w:rsidP="0051512B">
            <w:pPr>
              <w:rPr>
                <w:rFonts w:ascii="Times New Roman" w:hAnsi="Times New Roman"/>
                <w:sz w:val="24"/>
              </w:rPr>
            </w:pPr>
            <w:r>
              <w:rPr>
                <w:rFonts w:ascii="Times New Roman" w:hAnsi="Times New Roman"/>
                <w:sz w:val="24"/>
              </w:rPr>
              <w:t>The</w:t>
            </w:r>
            <w:r w:rsidR="008F7C06">
              <w:rPr>
                <w:rFonts w:ascii="Times New Roman" w:hAnsi="Times New Roman"/>
                <w:sz w:val="24"/>
              </w:rPr>
              <w:t xml:space="preserve"> amount of cash inflows from secured lending and capital market driven transactions as defined in Article 192 of </w:t>
            </w:r>
            <w:r w:rsidR="001F0985" w:rsidRPr="0040604D">
              <w:rPr>
                <w:rFonts w:ascii="Times New Roman" w:hAnsi="Times New Roman"/>
                <w:sz w:val="24"/>
                <w:lang w:eastAsia="en-GB"/>
              </w:rPr>
              <w:t xml:space="preserve">Regulation </w:t>
            </w:r>
            <w:r w:rsidR="00C1399E">
              <w:rPr>
                <w:rFonts w:ascii="Times New Roman" w:hAnsi="Times New Roman"/>
                <w:sz w:val="24"/>
              </w:rPr>
              <w:t>(EU) No</w:t>
            </w:r>
            <w:r w:rsidR="00C1399E">
              <w:rPr>
                <w:rFonts w:ascii="Times New Roman" w:hAnsi="Times New Roman"/>
                <w:sz w:val="24"/>
                <w:lang w:eastAsia="en-GB"/>
              </w:rPr>
              <w:t xml:space="preserve"> </w:t>
            </w:r>
            <w:r w:rsidR="001F0985">
              <w:rPr>
                <w:rFonts w:ascii="Times New Roman" w:hAnsi="Times New Roman"/>
                <w:sz w:val="24"/>
                <w:lang w:eastAsia="en-GB"/>
              </w:rPr>
              <w:t>575/2013</w:t>
            </w:r>
            <w:r w:rsidR="003E309A">
              <w:rPr>
                <w:rFonts w:ascii="Times New Roman" w:hAnsi="Times New Roman"/>
                <w:sz w:val="24"/>
                <w:lang w:eastAsia="en-GB"/>
              </w:rPr>
              <w:t xml:space="preserve"> </w:t>
            </w:r>
            <w:r w:rsidR="008F7C06">
              <w:rPr>
                <w:rFonts w:ascii="Times New Roman" w:hAnsi="Times New Roman"/>
                <w:sz w:val="24"/>
              </w:rPr>
              <w:t xml:space="preserve">reported in item 2.1.1 </w:t>
            </w:r>
            <w:r>
              <w:rPr>
                <w:rFonts w:ascii="Times New Roman" w:hAnsi="Times New Roman"/>
                <w:sz w:val="24"/>
              </w:rPr>
              <w:t>which</w:t>
            </w:r>
            <w:r w:rsidR="008F7C06">
              <w:rPr>
                <w:rFonts w:ascii="Times New Roman" w:hAnsi="Times New Roman"/>
                <w:sz w:val="24"/>
              </w:rPr>
              <w:t xml:space="preserve"> is collaterali</w:t>
            </w:r>
            <w:r w:rsidR="0051512B">
              <w:rPr>
                <w:rFonts w:ascii="Times New Roman" w:hAnsi="Times New Roman"/>
                <w:sz w:val="24"/>
              </w:rPr>
              <w:t>se</w:t>
            </w:r>
            <w:r w:rsidR="008F7C06">
              <w:rPr>
                <w:rFonts w:ascii="Times New Roman" w:hAnsi="Times New Roman"/>
                <w:sz w:val="24"/>
              </w:rPr>
              <w:t>d by other assets</w:t>
            </w:r>
            <w:r w:rsidR="00A40027">
              <w:rPr>
                <w:rFonts w:ascii="Times New Roman" w:hAnsi="Times New Roman"/>
                <w:sz w:val="24"/>
              </w:rPr>
              <w:t xml:space="preserve"> </w:t>
            </w:r>
            <w:r w:rsidR="00D0423F">
              <w:rPr>
                <w:rFonts w:ascii="Times New Roman" w:hAnsi="Times New Roman"/>
                <w:sz w:val="24"/>
              </w:rPr>
              <w:t>than inflows</w:t>
            </w:r>
            <w:r w:rsidR="00A40027">
              <w:rPr>
                <w:rFonts w:ascii="Times New Roman" w:hAnsi="Times New Roman"/>
                <w:sz w:val="24"/>
              </w:rPr>
              <w:t xml:space="preserve"> reported in 2.1.1.1 to 2.1.1.6.</w:t>
            </w:r>
          </w:p>
        </w:tc>
      </w:tr>
      <w:tr w:rsidR="003F5389" w:rsidRPr="0040604D" w:rsidTr="0021066C">
        <w:trPr>
          <w:trHeight w:val="1460"/>
        </w:trPr>
        <w:tc>
          <w:tcPr>
            <w:tcW w:w="828" w:type="dxa"/>
            <w:vAlign w:val="center"/>
          </w:tcPr>
          <w:p w:rsidR="003F5389" w:rsidRPr="009920BE" w:rsidRDefault="00166193" w:rsidP="009920BE">
            <w:pPr>
              <w:jc w:val="left"/>
              <w:rPr>
                <w:rFonts w:ascii="Times New Roman" w:hAnsi="Times New Roman"/>
                <w:sz w:val="24"/>
              </w:rPr>
            </w:pPr>
            <w:r>
              <w:rPr>
                <w:rFonts w:ascii="Times New Roman" w:hAnsi="Times New Roman"/>
                <w:sz w:val="24"/>
              </w:rPr>
              <w:t>740</w:t>
            </w:r>
          </w:p>
        </w:tc>
        <w:tc>
          <w:tcPr>
            <w:tcW w:w="7766" w:type="dxa"/>
            <w:gridSpan w:val="2"/>
            <w:shd w:val="clear" w:color="auto" w:fill="auto"/>
            <w:noWrap/>
          </w:tcPr>
          <w:p w:rsidR="003F5389" w:rsidRDefault="003F5389" w:rsidP="00E54031">
            <w:pPr>
              <w:rPr>
                <w:rFonts w:ascii="Times New Roman" w:hAnsi="Times New Roman"/>
                <w:b/>
                <w:sz w:val="24"/>
                <w:u w:val="single"/>
              </w:rPr>
            </w:pPr>
            <w:r w:rsidRPr="0040604D">
              <w:rPr>
                <w:rFonts w:ascii="Times New Roman" w:hAnsi="Times New Roman"/>
                <w:b/>
                <w:sz w:val="24"/>
                <w:u w:val="single"/>
              </w:rPr>
              <w:t>2.1.</w:t>
            </w:r>
            <w:r>
              <w:rPr>
                <w:rFonts w:ascii="Times New Roman" w:hAnsi="Times New Roman"/>
                <w:b/>
                <w:sz w:val="24"/>
                <w:u w:val="single"/>
              </w:rPr>
              <w:t>1.</w:t>
            </w:r>
            <w:r w:rsidR="0051512B">
              <w:rPr>
                <w:rFonts w:ascii="Times New Roman" w:hAnsi="Times New Roman"/>
                <w:b/>
                <w:sz w:val="24"/>
                <w:u w:val="single"/>
              </w:rPr>
              <w:t>8</w:t>
            </w:r>
            <w:r w:rsidRPr="0040604D">
              <w:rPr>
                <w:rFonts w:ascii="Times New Roman" w:hAnsi="Times New Roman"/>
                <w:b/>
                <w:sz w:val="24"/>
                <w:u w:val="single"/>
              </w:rPr>
              <w:t xml:space="preserve"> </w:t>
            </w:r>
            <w:r>
              <w:rPr>
                <w:rFonts w:ascii="Times New Roman" w:hAnsi="Times New Roman"/>
                <w:b/>
                <w:sz w:val="24"/>
                <w:u w:val="single"/>
              </w:rPr>
              <w:t>of which central bank open market operations</w:t>
            </w:r>
          </w:p>
          <w:p w:rsidR="003F5389" w:rsidRPr="00422366" w:rsidRDefault="00743492" w:rsidP="00E54031">
            <w:pPr>
              <w:rPr>
                <w:rFonts w:ascii="Times New Roman" w:hAnsi="Times New Roman"/>
                <w:sz w:val="24"/>
              </w:rPr>
            </w:pPr>
            <w:r>
              <w:rPr>
                <w:rFonts w:ascii="Times New Roman" w:hAnsi="Times New Roman"/>
                <w:sz w:val="24"/>
              </w:rPr>
              <w:t>The</w:t>
            </w:r>
            <w:r w:rsidR="003F5389" w:rsidRPr="00422366">
              <w:rPr>
                <w:rFonts w:ascii="Times New Roman" w:hAnsi="Times New Roman"/>
                <w:sz w:val="24"/>
              </w:rPr>
              <w:t xml:space="preserve"> amount of cash inflows reported in item 2.1.1 </w:t>
            </w:r>
            <w:r>
              <w:rPr>
                <w:rFonts w:ascii="Times New Roman" w:hAnsi="Times New Roman"/>
                <w:sz w:val="24"/>
              </w:rPr>
              <w:t>which</w:t>
            </w:r>
            <w:r w:rsidR="003F5389" w:rsidRPr="00422366">
              <w:rPr>
                <w:rFonts w:ascii="Times New Roman" w:hAnsi="Times New Roman"/>
                <w:sz w:val="24"/>
              </w:rPr>
              <w:t xml:space="preserve"> is from central bank open market operations.</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lastRenderedPageBreak/>
              <w:t>750</w:t>
            </w:r>
          </w:p>
        </w:tc>
        <w:tc>
          <w:tcPr>
            <w:tcW w:w="7766" w:type="dxa"/>
            <w:gridSpan w:val="2"/>
            <w:shd w:val="clear" w:color="auto" w:fill="auto"/>
            <w:noWrap/>
          </w:tcPr>
          <w:p w:rsidR="00AD794C" w:rsidRPr="0040604D" w:rsidRDefault="00AD794C" w:rsidP="008B32E0">
            <w:pPr>
              <w:rPr>
                <w:rFonts w:ascii="Times New Roman" w:hAnsi="Times New Roman"/>
                <w:b/>
                <w:sz w:val="24"/>
                <w:u w:val="single"/>
              </w:rPr>
            </w:pPr>
            <w:r w:rsidRPr="0040604D">
              <w:rPr>
                <w:rFonts w:ascii="Times New Roman" w:hAnsi="Times New Roman"/>
                <w:b/>
                <w:sz w:val="24"/>
                <w:u w:val="single"/>
              </w:rPr>
              <w:t>2.1.</w:t>
            </w:r>
            <w:r w:rsidR="0074239A">
              <w:rPr>
                <w:rFonts w:ascii="Times New Roman" w:hAnsi="Times New Roman"/>
                <w:b/>
                <w:sz w:val="24"/>
                <w:u w:val="single"/>
              </w:rPr>
              <w:t>2</w:t>
            </w:r>
            <w:r w:rsidR="003E309A">
              <w:rPr>
                <w:rFonts w:ascii="Times New Roman" w:hAnsi="Times New Roman"/>
                <w:b/>
                <w:sz w:val="24"/>
                <w:u w:val="single"/>
              </w:rPr>
              <w:t xml:space="preserve"> </w:t>
            </w:r>
            <w:r w:rsidR="0074239A">
              <w:rPr>
                <w:rFonts w:ascii="Times New Roman" w:hAnsi="Times New Roman"/>
                <w:b/>
                <w:sz w:val="24"/>
                <w:u w:val="single"/>
              </w:rPr>
              <w:t>N</w:t>
            </w:r>
            <w:r w:rsidRPr="0040604D">
              <w:rPr>
                <w:rFonts w:ascii="Times New Roman" w:hAnsi="Times New Roman"/>
                <w:b/>
                <w:sz w:val="24"/>
                <w:u w:val="single"/>
              </w:rPr>
              <w:t>on-central bank eligible but tradable assets</w:t>
            </w:r>
          </w:p>
          <w:p w:rsidR="00AD794C" w:rsidRPr="0040604D" w:rsidRDefault="00743492" w:rsidP="008B32E0">
            <w:pPr>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from secured lending and capital market driven transactions as defined in Article 1</w:t>
            </w:r>
            <w:r w:rsidR="00551909">
              <w:rPr>
                <w:rStyle w:val="InstructionsTabelleberschrift"/>
                <w:rFonts w:ascii="Times New Roman" w:hAnsi="Times New Roman"/>
                <w:b w:val="0"/>
                <w:sz w:val="24"/>
                <w:u w:val="none"/>
                <w:lang w:eastAsia="de-DE"/>
              </w:rPr>
              <w:t>92</w:t>
            </w:r>
            <w:r w:rsidR="00AD794C" w:rsidRPr="0040604D">
              <w:rPr>
                <w:rStyle w:val="InstructionsTabelleberschrift"/>
                <w:rFonts w:ascii="Times New Roman" w:hAnsi="Times New Roman"/>
                <w:b w:val="0"/>
                <w:sz w:val="24"/>
                <w:u w:val="none"/>
                <w:lang w:eastAsia="de-DE"/>
              </w:rPr>
              <w:t xml:space="preserve"> of </w:t>
            </w:r>
            <w:r w:rsidR="00AD794C" w:rsidRPr="0040604D">
              <w:rPr>
                <w:rFonts w:ascii="Times New Roman" w:hAnsi="Times New Roman"/>
                <w:sz w:val="24"/>
                <w:lang w:eastAsia="en-GB"/>
              </w:rPr>
              <w:t xml:space="preserve">Regulation </w:t>
            </w:r>
            <w:r w:rsidR="00C1399E">
              <w:rPr>
                <w:rFonts w:ascii="Times New Roman" w:hAnsi="Times New Roman"/>
                <w:sz w:val="24"/>
              </w:rPr>
              <w:t xml:space="preserve">(EU) No </w:t>
            </w:r>
            <w:r w:rsidR="001F0985">
              <w:rPr>
                <w:rFonts w:ascii="Times New Roman" w:hAnsi="Times New Roman"/>
                <w:sz w:val="24"/>
              </w:rPr>
              <w:t>575/2013</w:t>
            </w:r>
            <w:r w:rsidR="003E309A">
              <w:rPr>
                <w:rFonts w:ascii="Times New Roman" w:hAnsi="Times New Roman"/>
                <w:sz w:val="24"/>
              </w:rPr>
              <w:t xml:space="preserve"> </w:t>
            </w:r>
            <w:r w:rsidR="00AD794C" w:rsidRPr="0040604D">
              <w:rPr>
                <w:rStyle w:val="InstructionsTabelleberschrift"/>
                <w:rFonts w:ascii="Times New Roman" w:hAnsi="Times New Roman"/>
                <w:b w:val="0"/>
                <w:sz w:val="24"/>
                <w:u w:val="none"/>
                <w:lang w:eastAsia="de-DE"/>
              </w:rPr>
              <w:t xml:space="preserve"> reported in item 2.1,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is collateralised by non-central bank eligible but tradable assets</w:t>
            </w:r>
            <w:r w:rsidR="00DC6350">
              <w:rPr>
                <w:rStyle w:val="InstructionsTabelleberschrift"/>
                <w:rFonts w:ascii="Times New Roman" w:hAnsi="Times New Roman"/>
                <w:b w:val="0"/>
                <w:sz w:val="24"/>
                <w:u w:val="none"/>
                <w:lang w:eastAsia="de-DE"/>
              </w:rPr>
              <w:t>.</w:t>
            </w:r>
          </w:p>
          <w:p w:rsidR="00AD794C" w:rsidRPr="0040604D" w:rsidRDefault="00AD794C" w:rsidP="008B32E0">
            <w:pPr>
              <w:rPr>
                <w:rFonts w:ascii="Times New Roman" w:hAnsi="Times New Roman"/>
                <w:bCs/>
                <w:sz w:val="24"/>
                <w:lang w:eastAsia="de-DE"/>
              </w:rPr>
            </w:pPr>
          </w:p>
        </w:tc>
      </w:tr>
      <w:tr w:rsidR="00AD794C" w:rsidRPr="0040604D" w:rsidTr="0021066C">
        <w:trPr>
          <w:trHeight w:val="889"/>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760</w:t>
            </w:r>
          </w:p>
        </w:tc>
        <w:tc>
          <w:tcPr>
            <w:tcW w:w="7766" w:type="dxa"/>
            <w:gridSpan w:val="2"/>
            <w:shd w:val="clear" w:color="auto" w:fill="auto"/>
            <w:noWrap/>
          </w:tcPr>
          <w:p w:rsidR="00AD794C" w:rsidRPr="0040604D" w:rsidRDefault="00AD794C" w:rsidP="008B32E0">
            <w:pPr>
              <w:rPr>
                <w:rFonts w:ascii="Times New Roman" w:hAnsi="Times New Roman"/>
                <w:b/>
                <w:sz w:val="24"/>
                <w:u w:val="single"/>
              </w:rPr>
            </w:pPr>
            <w:r w:rsidRPr="0040604D">
              <w:rPr>
                <w:rFonts w:ascii="Times New Roman" w:hAnsi="Times New Roman"/>
                <w:b/>
                <w:sz w:val="24"/>
                <w:u w:val="single"/>
              </w:rPr>
              <w:t>2.1.</w:t>
            </w:r>
            <w:r w:rsidR="00967CA7">
              <w:rPr>
                <w:rFonts w:ascii="Times New Roman" w:hAnsi="Times New Roman"/>
                <w:b/>
                <w:sz w:val="24"/>
                <w:u w:val="single"/>
              </w:rPr>
              <w:t>2</w:t>
            </w:r>
            <w:r w:rsidRPr="0040604D">
              <w:rPr>
                <w:rFonts w:ascii="Times New Roman" w:hAnsi="Times New Roman"/>
                <w:b/>
                <w:sz w:val="24"/>
                <w:u w:val="single"/>
              </w:rPr>
              <w:t>.1 equities listed on a recognised exchange, not self issued or issued by financial institutions</w:t>
            </w:r>
          </w:p>
          <w:p w:rsidR="00801EC5" w:rsidRPr="00155E96" w:rsidRDefault="00801EC5" w:rsidP="00801EC5">
            <w:pPr>
              <w:rPr>
                <w:rStyle w:val="InstructionsTabelleberschrift"/>
                <w:rFonts w:ascii="Times New Roman" w:hAnsi="Times New Roman"/>
                <w:b w:val="0"/>
                <w:bCs w:val="0"/>
                <w:sz w:val="24"/>
                <w:u w:val="none"/>
                <w:lang w:val="cs-CZ"/>
              </w:rPr>
            </w:pPr>
            <w:r>
              <w:rPr>
                <w:rFonts w:ascii="Times New Roman" w:hAnsi="Times New Roman"/>
                <w:sz w:val="24"/>
              </w:rPr>
              <w:t xml:space="preserve">Point 11 of Annex III of Regulation </w:t>
            </w:r>
            <w:r w:rsidR="00C1399E">
              <w:rPr>
                <w:rFonts w:ascii="Times New Roman" w:hAnsi="Times New Roman"/>
                <w:sz w:val="24"/>
              </w:rPr>
              <w:t xml:space="preserve">(EU) No </w:t>
            </w:r>
            <w:r>
              <w:rPr>
                <w:rFonts w:ascii="Times New Roman" w:hAnsi="Times New Roman"/>
                <w:sz w:val="24"/>
              </w:rPr>
              <w:t>575/2013</w:t>
            </w:r>
            <w:r w:rsidR="00DC6350">
              <w:rPr>
                <w:rFonts w:ascii="Times New Roman" w:hAnsi="Times New Roman"/>
                <w:sz w:val="24"/>
              </w:rPr>
              <w:t>.</w:t>
            </w:r>
          </w:p>
          <w:p w:rsidR="00AD794C" w:rsidRPr="0040604D" w:rsidRDefault="00743492" w:rsidP="008B32E0">
            <w:pPr>
              <w:spacing w:before="0" w:after="0"/>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reported in item 2.1.</w:t>
            </w:r>
            <w:r w:rsidR="00CB0212">
              <w:rPr>
                <w:rStyle w:val="InstructionsTabelleberschrift"/>
                <w:rFonts w:ascii="Times New Roman" w:hAnsi="Times New Roman"/>
                <w:b w:val="0"/>
                <w:sz w:val="24"/>
                <w:u w:val="none"/>
                <w:lang w:eastAsia="de-DE"/>
              </w:rPr>
              <w:t>2</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CB0212">
              <w:rPr>
                <w:rStyle w:val="InstructionsTabelleberschrift"/>
                <w:rFonts w:ascii="Times New Roman" w:hAnsi="Times New Roman"/>
                <w:b w:val="0"/>
                <w:sz w:val="24"/>
                <w:u w:val="none"/>
                <w:lang w:eastAsia="de-DE"/>
              </w:rPr>
              <w:t>is</w:t>
            </w:r>
            <w:r w:rsidR="00CB0212"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collateralised by equities listed on a recognised exchange</w:t>
            </w:r>
            <w:r w:rsidR="00DC6350">
              <w:rPr>
                <w:rStyle w:val="InstructionsTabelleberschrift"/>
                <w:rFonts w:ascii="Times New Roman" w:hAnsi="Times New Roman"/>
                <w:b w:val="0"/>
                <w:sz w:val="24"/>
                <w:u w:val="none"/>
                <w:lang w:eastAsia="de-DE"/>
              </w:rPr>
              <w:t>.</w:t>
            </w:r>
          </w:p>
          <w:p w:rsidR="00AD794C" w:rsidRPr="0040604D" w:rsidRDefault="00AD794C" w:rsidP="008B32E0">
            <w:pPr>
              <w:spacing w:before="0" w:after="0"/>
              <w:rPr>
                <w:rFonts w:ascii="Times New Roman" w:hAnsi="Times New Roman"/>
                <w:b/>
                <w:bCs/>
                <w:sz w:val="24"/>
                <w:u w:val="single"/>
                <w:lang w:eastAsia="de-DE"/>
              </w:rPr>
            </w:pP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770</w:t>
            </w:r>
          </w:p>
        </w:tc>
        <w:tc>
          <w:tcPr>
            <w:tcW w:w="7766" w:type="dxa"/>
            <w:gridSpan w:val="2"/>
            <w:shd w:val="clear" w:color="auto" w:fill="auto"/>
            <w:noWrap/>
          </w:tcPr>
          <w:p w:rsidR="00AD794C" w:rsidRPr="0040604D" w:rsidRDefault="00AD794C" w:rsidP="008B32E0">
            <w:pPr>
              <w:rPr>
                <w:rFonts w:ascii="Times New Roman" w:hAnsi="Times New Roman"/>
                <w:b/>
                <w:sz w:val="24"/>
                <w:u w:val="single"/>
              </w:rPr>
            </w:pPr>
            <w:r w:rsidRPr="0040604D">
              <w:rPr>
                <w:rFonts w:ascii="Times New Roman" w:hAnsi="Times New Roman"/>
                <w:b/>
                <w:sz w:val="24"/>
                <w:u w:val="single"/>
              </w:rPr>
              <w:t>2.1.</w:t>
            </w:r>
            <w:r w:rsidR="00967CA7">
              <w:rPr>
                <w:rFonts w:ascii="Times New Roman" w:hAnsi="Times New Roman"/>
                <w:b/>
                <w:sz w:val="24"/>
                <w:u w:val="single"/>
              </w:rPr>
              <w:t>2</w:t>
            </w:r>
            <w:r w:rsidRPr="0040604D">
              <w:rPr>
                <w:rFonts w:ascii="Times New Roman" w:hAnsi="Times New Roman"/>
                <w:b/>
                <w:sz w:val="24"/>
                <w:u w:val="single"/>
              </w:rPr>
              <w:t>.2 gold</w:t>
            </w:r>
          </w:p>
          <w:p w:rsidR="00801EC5" w:rsidRPr="00155E96" w:rsidRDefault="00801EC5" w:rsidP="00801EC5">
            <w:pPr>
              <w:rPr>
                <w:rStyle w:val="InstructionsTabelleberschrift"/>
                <w:rFonts w:ascii="Times New Roman" w:hAnsi="Times New Roman"/>
                <w:b w:val="0"/>
                <w:bCs w:val="0"/>
                <w:sz w:val="24"/>
                <w:u w:val="none"/>
                <w:lang w:val="cs-CZ"/>
              </w:rPr>
            </w:pPr>
            <w:r>
              <w:rPr>
                <w:rFonts w:ascii="Times New Roman" w:hAnsi="Times New Roman"/>
                <w:sz w:val="24"/>
              </w:rPr>
              <w:t xml:space="preserve">Point 12 of Annex III of Regulation </w:t>
            </w:r>
            <w:r w:rsidR="00C1399E">
              <w:rPr>
                <w:rFonts w:ascii="Times New Roman" w:hAnsi="Times New Roman"/>
                <w:sz w:val="24"/>
              </w:rPr>
              <w:t xml:space="preserve">(EU) No </w:t>
            </w:r>
            <w:r>
              <w:rPr>
                <w:rFonts w:ascii="Times New Roman" w:hAnsi="Times New Roman"/>
                <w:sz w:val="24"/>
              </w:rPr>
              <w:t>575/2013</w:t>
            </w:r>
            <w:r w:rsidR="00DC6350">
              <w:rPr>
                <w:rFonts w:ascii="Times New Roman" w:hAnsi="Times New Roman"/>
                <w:sz w:val="24"/>
              </w:rPr>
              <w:t>.</w:t>
            </w:r>
          </w:p>
          <w:p w:rsidR="00AD794C" w:rsidRPr="0040604D" w:rsidRDefault="00743492" w:rsidP="00DD10B0">
            <w:pPr>
              <w:spacing w:before="0" w:after="0"/>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reported in item 2.1.</w:t>
            </w:r>
            <w:r w:rsidR="00E1261D">
              <w:rPr>
                <w:rStyle w:val="InstructionsTabelleberschrift"/>
                <w:rFonts w:ascii="Times New Roman" w:hAnsi="Times New Roman"/>
                <w:b w:val="0"/>
                <w:sz w:val="24"/>
                <w:u w:val="none"/>
                <w:lang w:eastAsia="de-DE"/>
              </w:rPr>
              <w:t>2</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C61DE2">
              <w:rPr>
                <w:rStyle w:val="InstructionsTabelleberschrift"/>
                <w:rFonts w:ascii="Times New Roman" w:hAnsi="Times New Roman"/>
                <w:b w:val="0"/>
                <w:sz w:val="24"/>
                <w:u w:val="none"/>
                <w:lang w:eastAsia="de-DE"/>
              </w:rPr>
              <w:t>is</w:t>
            </w:r>
            <w:r w:rsidR="00C61DE2"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collateralised by gold.</w:t>
            </w:r>
          </w:p>
          <w:p w:rsidR="00AD794C" w:rsidRPr="0040604D" w:rsidRDefault="00AD794C" w:rsidP="008B32E0">
            <w:pPr>
              <w:spacing w:before="0" w:after="0"/>
              <w:rPr>
                <w:rFonts w:ascii="Times New Roman" w:hAnsi="Times New Roman"/>
                <w:bCs/>
                <w:sz w:val="24"/>
                <w:lang w:eastAsia="de-DE"/>
              </w:rPr>
            </w:pPr>
          </w:p>
        </w:tc>
      </w:tr>
      <w:tr w:rsidR="00967CA7" w:rsidRPr="0040604D" w:rsidTr="0021066C">
        <w:trPr>
          <w:trHeight w:val="1134"/>
        </w:trPr>
        <w:tc>
          <w:tcPr>
            <w:tcW w:w="828" w:type="dxa"/>
            <w:vAlign w:val="center"/>
          </w:tcPr>
          <w:p w:rsidR="00967CA7" w:rsidRPr="009920BE" w:rsidRDefault="00166193" w:rsidP="009920BE">
            <w:pPr>
              <w:jc w:val="left"/>
              <w:rPr>
                <w:rFonts w:ascii="Times New Roman" w:hAnsi="Times New Roman"/>
                <w:sz w:val="24"/>
              </w:rPr>
            </w:pPr>
            <w:r>
              <w:rPr>
                <w:rFonts w:ascii="Times New Roman" w:hAnsi="Times New Roman"/>
                <w:sz w:val="24"/>
              </w:rPr>
              <w:t>780</w:t>
            </w:r>
          </w:p>
        </w:tc>
        <w:tc>
          <w:tcPr>
            <w:tcW w:w="7766" w:type="dxa"/>
            <w:gridSpan w:val="2"/>
            <w:shd w:val="clear" w:color="auto" w:fill="auto"/>
            <w:noWrap/>
          </w:tcPr>
          <w:p w:rsidR="00967CA7" w:rsidRPr="0040604D" w:rsidRDefault="00967CA7" w:rsidP="00967CA7">
            <w:pPr>
              <w:rPr>
                <w:rFonts w:ascii="Times New Roman" w:hAnsi="Times New Roman"/>
                <w:b/>
                <w:sz w:val="24"/>
                <w:u w:val="single"/>
              </w:rPr>
            </w:pPr>
            <w:r w:rsidRPr="0040604D">
              <w:rPr>
                <w:rFonts w:ascii="Times New Roman" w:hAnsi="Times New Roman"/>
                <w:b/>
                <w:sz w:val="24"/>
                <w:u w:val="single"/>
              </w:rPr>
              <w:t>2.1.</w:t>
            </w:r>
            <w:r>
              <w:rPr>
                <w:rFonts w:ascii="Times New Roman" w:hAnsi="Times New Roman"/>
                <w:b/>
                <w:sz w:val="24"/>
                <w:u w:val="single"/>
              </w:rPr>
              <w:t>2.3</w:t>
            </w:r>
            <w:r w:rsidRPr="0040604D">
              <w:rPr>
                <w:rFonts w:ascii="Times New Roman" w:hAnsi="Times New Roman"/>
                <w:b/>
                <w:sz w:val="24"/>
                <w:u w:val="single"/>
              </w:rPr>
              <w:t xml:space="preserve"> </w:t>
            </w:r>
            <w:r>
              <w:rPr>
                <w:rFonts w:ascii="Times New Roman" w:hAnsi="Times New Roman"/>
                <w:b/>
                <w:sz w:val="24"/>
                <w:u w:val="single"/>
              </w:rPr>
              <w:t>other assets</w:t>
            </w:r>
          </w:p>
          <w:p w:rsidR="00967CA7" w:rsidRPr="00AA2CAF" w:rsidRDefault="00743492" w:rsidP="0051512B">
            <w:pPr>
              <w:rPr>
                <w:rFonts w:ascii="Times New Roman" w:hAnsi="Times New Roman"/>
                <w:sz w:val="24"/>
              </w:rPr>
            </w:pPr>
            <w:r>
              <w:rPr>
                <w:rFonts w:ascii="Times New Roman" w:hAnsi="Times New Roman"/>
                <w:sz w:val="24"/>
              </w:rPr>
              <w:t>The</w:t>
            </w:r>
            <w:r w:rsidR="00C61DE2" w:rsidRPr="00AA2CAF">
              <w:rPr>
                <w:rFonts w:ascii="Times New Roman" w:hAnsi="Times New Roman"/>
                <w:sz w:val="24"/>
              </w:rPr>
              <w:t xml:space="preserve"> amount of cash inflows reported in item 2.1.2 </w:t>
            </w:r>
            <w:r>
              <w:rPr>
                <w:rFonts w:ascii="Times New Roman" w:hAnsi="Times New Roman"/>
                <w:sz w:val="24"/>
              </w:rPr>
              <w:t>which</w:t>
            </w:r>
            <w:r w:rsidR="00C61DE2" w:rsidRPr="00AA2CAF">
              <w:rPr>
                <w:rFonts w:ascii="Times New Roman" w:hAnsi="Times New Roman"/>
                <w:sz w:val="24"/>
              </w:rPr>
              <w:t xml:space="preserve"> is collaterali</w:t>
            </w:r>
            <w:r w:rsidR="0051512B">
              <w:rPr>
                <w:rFonts w:ascii="Times New Roman" w:hAnsi="Times New Roman"/>
                <w:sz w:val="24"/>
              </w:rPr>
              <w:t>s</w:t>
            </w:r>
            <w:r w:rsidR="00C61DE2" w:rsidRPr="00AA2CAF">
              <w:rPr>
                <w:rFonts w:ascii="Times New Roman" w:hAnsi="Times New Roman"/>
                <w:sz w:val="24"/>
              </w:rPr>
              <w:t>ed by assets other than those referred to in items 2.1.2.1 and 2.1.2.2.</w:t>
            </w:r>
          </w:p>
        </w:tc>
      </w:tr>
      <w:tr w:rsidR="006B33B8" w:rsidRPr="0040604D" w:rsidTr="0021066C">
        <w:trPr>
          <w:trHeight w:val="1134"/>
        </w:trPr>
        <w:tc>
          <w:tcPr>
            <w:tcW w:w="828" w:type="dxa"/>
            <w:vAlign w:val="center"/>
          </w:tcPr>
          <w:p w:rsidR="006B33B8" w:rsidRPr="009920BE" w:rsidRDefault="00166193" w:rsidP="009920BE">
            <w:pPr>
              <w:jc w:val="left"/>
              <w:rPr>
                <w:rFonts w:ascii="Times New Roman" w:hAnsi="Times New Roman"/>
                <w:sz w:val="24"/>
              </w:rPr>
            </w:pPr>
            <w:r>
              <w:rPr>
                <w:rFonts w:ascii="Times New Roman" w:hAnsi="Times New Roman"/>
                <w:sz w:val="24"/>
              </w:rPr>
              <w:t>790</w:t>
            </w:r>
          </w:p>
        </w:tc>
        <w:tc>
          <w:tcPr>
            <w:tcW w:w="7766" w:type="dxa"/>
            <w:gridSpan w:val="2"/>
            <w:shd w:val="clear" w:color="auto" w:fill="auto"/>
            <w:noWrap/>
          </w:tcPr>
          <w:p w:rsidR="006B33B8" w:rsidRDefault="006B33B8" w:rsidP="006B33B8">
            <w:pPr>
              <w:rPr>
                <w:rFonts w:ascii="Times New Roman" w:hAnsi="Times New Roman"/>
                <w:b/>
                <w:sz w:val="24"/>
                <w:u w:val="single"/>
              </w:rPr>
            </w:pPr>
            <w:r w:rsidRPr="0040604D">
              <w:rPr>
                <w:rFonts w:ascii="Times New Roman" w:hAnsi="Times New Roman"/>
                <w:b/>
                <w:sz w:val="24"/>
                <w:u w:val="single"/>
              </w:rPr>
              <w:t>2.1.</w:t>
            </w:r>
            <w:r>
              <w:rPr>
                <w:rFonts w:ascii="Times New Roman" w:hAnsi="Times New Roman"/>
                <w:b/>
                <w:sz w:val="24"/>
                <w:u w:val="single"/>
              </w:rPr>
              <w:t>3</w:t>
            </w:r>
            <w:r w:rsidRPr="0040604D">
              <w:rPr>
                <w:rFonts w:ascii="Times New Roman" w:hAnsi="Times New Roman"/>
                <w:b/>
                <w:sz w:val="24"/>
                <w:u w:val="single"/>
              </w:rPr>
              <w:t xml:space="preserve"> </w:t>
            </w:r>
            <w:r>
              <w:rPr>
                <w:rFonts w:ascii="Times New Roman" w:hAnsi="Times New Roman"/>
                <w:b/>
                <w:sz w:val="24"/>
                <w:u w:val="single"/>
              </w:rPr>
              <w:t>of which from intragroup entities</w:t>
            </w:r>
          </w:p>
          <w:p w:rsidR="006B33B8" w:rsidRPr="0040604D" w:rsidRDefault="00743492" w:rsidP="00967CA7">
            <w:pPr>
              <w:rPr>
                <w:rFonts w:ascii="Times New Roman" w:hAnsi="Times New Roman"/>
                <w:b/>
                <w:sz w:val="24"/>
                <w:u w:val="single"/>
              </w:rPr>
            </w:pPr>
            <w:r>
              <w:rPr>
                <w:rFonts w:ascii="Times New Roman" w:hAnsi="Times New Roman"/>
                <w:sz w:val="24"/>
              </w:rPr>
              <w:t>The</w:t>
            </w:r>
            <w:r w:rsidR="006B33B8" w:rsidRPr="00AA2CAF">
              <w:rPr>
                <w:rFonts w:ascii="Times New Roman" w:hAnsi="Times New Roman"/>
                <w:sz w:val="24"/>
              </w:rPr>
              <w:t xml:space="preserve"> amount of cash inflows reported in item 2.1 </w:t>
            </w:r>
            <w:r>
              <w:rPr>
                <w:rFonts w:ascii="Times New Roman" w:hAnsi="Times New Roman"/>
                <w:sz w:val="24"/>
              </w:rPr>
              <w:t>which</w:t>
            </w:r>
            <w:r w:rsidR="006B33B8" w:rsidRPr="00AA2CAF">
              <w:rPr>
                <w:rFonts w:ascii="Times New Roman" w:hAnsi="Times New Roman"/>
                <w:sz w:val="24"/>
              </w:rPr>
              <w:t xml:space="preserve"> is from intragroup entities.</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800</w:t>
            </w:r>
          </w:p>
        </w:tc>
        <w:tc>
          <w:tcPr>
            <w:tcW w:w="7766" w:type="dxa"/>
            <w:gridSpan w:val="2"/>
            <w:shd w:val="clear" w:color="auto" w:fill="auto"/>
            <w:noWrap/>
          </w:tcPr>
          <w:p w:rsidR="00AD794C" w:rsidRPr="0040604D" w:rsidRDefault="00AD794C" w:rsidP="00D468AB">
            <w:pPr>
              <w:spacing w:before="0" w:after="0"/>
              <w:rPr>
                <w:rStyle w:val="InstructionsTabelleberschrift"/>
                <w:rFonts w:ascii="Times New Roman" w:hAnsi="Times New Roman"/>
                <w:b w:val="0"/>
                <w:sz w:val="24"/>
                <w:u w:val="none"/>
                <w:lang w:eastAsia="de-DE"/>
              </w:rPr>
            </w:pPr>
            <w:r w:rsidRPr="0040604D">
              <w:rPr>
                <w:rFonts w:ascii="Times New Roman" w:hAnsi="Times New Roman"/>
                <w:b/>
                <w:sz w:val="24"/>
                <w:u w:val="single"/>
              </w:rPr>
              <w:t xml:space="preserve">2.2 Monies due </w:t>
            </w:r>
            <w:r w:rsidR="00C4202F">
              <w:rPr>
                <w:rFonts w:ascii="Times New Roman" w:hAnsi="Times New Roman"/>
                <w:b/>
                <w:sz w:val="24"/>
                <w:u w:val="single"/>
              </w:rPr>
              <w:t xml:space="preserve">not reported in item 2.1 </w:t>
            </w:r>
            <w:r w:rsidRPr="0040604D">
              <w:rPr>
                <w:rFonts w:ascii="Times New Roman" w:hAnsi="Times New Roman"/>
                <w:b/>
                <w:sz w:val="24"/>
                <w:u w:val="single"/>
              </w:rPr>
              <w:t>from customers that are not financial customers</w:t>
            </w:r>
            <w:r w:rsidRPr="0040604D">
              <w:rPr>
                <w:rStyle w:val="InstructionsTabelleberschrift"/>
                <w:rFonts w:ascii="Times New Roman" w:hAnsi="Times New Roman"/>
                <w:b w:val="0"/>
                <w:sz w:val="24"/>
                <w:u w:val="none"/>
                <w:lang w:eastAsia="de-DE"/>
              </w:rPr>
              <w:t xml:space="preserve"> </w:t>
            </w:r>
          </w:p>
          <w:p w:rsidR="00AD794C" w:rsidRPr="0040604D" w:rsidRDefault="00AD794C" w:rsidP="00D468AB">
            <w:pPr>
              <w:spacing w:before="0" w:after="0"/>
              <w:rPr>
                <w:rStyle w:val="InstructionsTabelleberschrift"/>
                <w:rFonts w:ascii="Times New Roman" w:hAnsi="Times New Roman"/>
                <w:b w:val="0"/>
                <w:sz w:val="24"/>
                <w:u w:val="none"/>
                <w:lang w:eastAsia="de-DE"/>
              </w:rPr>
            </w:pPr>
          </w:p>
          <w:p w:rsidR="00D26049" w:rsidRDefault="00AD794C" w:rsidP="00D468AB">
            <w:pPr>
              <w:spacing w:before="0" w:after="0"/>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Cash inflows</w:t>
            </w:r>
            <w:r w:rsidRPr="0040604D">
              <w:rPr>
                <w:rStyle w:val="InstructionsTabelleberschrift"/>
                <w:rFonts w:ascii="Times New Roman" w:hAnsi="Times New Roman"/>
                <w:b w:val="0"/>
                <w:sz w:val="24"/>
                <w:u w:val="none"/>
                <w:lang w:eastAsia="de-DE"/>
              </w:rPr>
              <w:t xml:space="preserve"> from customers that are not financial customers </w:t>
            </w:r>
            <w:r w:rsidR="00F823BB">
              <w:rPr>
                <w:rStyle w:val="InstructionsTabelleberschrift"/>
                <w:rFonts w:ascii="Times New Roman" w:hAnsi="Times New Roman"/>
                <w:b w:val="0"/>
                <w:sz w:val="24"/>
                <w:u w:val="none"/>
                <w:lang w:eastAsia="de-DE"/>
              </w:rPr>
              <w:t>according to Article 411(1)</w:t>
            </w:r>
            <w:r w:rsidR="001F0985" w:rsidRPr="0040604D">
              <w:rPr>
                <w:rFonts w:ascii="Times New Roman" w:hAnsi="Times New Roman"/>
                <w:sz w:val="24"/>
                <w:lang w:eastAsia="en-GB"/>
              </w:rPr>
              <w:t xml:space="preserve"> Regulation </w:t>
            </w:r>
            <w:r w:rsidR="00C1399E">
              <w:rPr>
                <w:rFonts w:ascii="Times New Roman" w:hAnsi="Times New Roman"/>
                <w:sz w:val="24"/>
              </w:rPr>
              <w:t>(EU) No</w:t>
            </w:r>
            <w:r w:rsidR="00C1399E">
              <w:rPr>
                <w:rFonts w:ascii="Times New Roman" w:hAnsi="Times New Roman"/>
                <w:sz w:val="24"/>
                <w:lang w:eastAsia="en-GB"/>
              </w:rPr>
              <w:t xml:space="preserve"> </w:t>
            </w:r>
            <w:r w:rsidR="001F0985">
              <w:rPr>
                <w:rFonts w:ascii="Times New Roman" w:hAnsi="Times New Roman"/>
                <w:sz w:val="24"/>
                <w:lang w:eastAsia="en-GB"/>
              </w:rPr>
              <w:t>575/2013</w:t>
            </w:r>
            <w:r w:rsidR="00655F28">
              <w:rPr>
                <w:rStyle w:val="InstructionsTabelleberschrift"/>
                <w:rFonts w:ascii="Times New Roman" w:hAnsi="Times New Roman"/>
                <w:b w:val="0"/>
                <w:sz w:val="24"/>
                <w:u w:val="none"/>
                <w:lang w:eastAsia="de-DE"/>
              </w:rPr>
              <w:t>. Cash inflows</w:t>
            </w:r>
            <w:r w:rsidR="00F823BB">
              <w:rPr>
                <w:rStyle w:val="InstructionsTabelleberschrift"/>
                <w:rFonts w:ascii="Times New Roman" w:hAnsi="Times New Roman"/>
                <w:b w:val="0"/>
                <w:sz w:val="24"/>
                <w:u w:val="none"/>
                <w:lang w:eastAsia="de-DE"/>
              </w:rPr>
              <w:t xml:space="preserve"> </w:t>
            </w:r>
            <w:r w:rsidRPr="0040604D">
              <w:rPr>
                <w:rStyle w:val="InstructionsTabelleberschrift"/>
                <w:rFonts w:ascii="Times New Roman" w:hAnsi="Times New Roman"/>
                <w:b w:val="0"/>
                <w:sz w:val="24"/>
                <w:u w:val="none"/>
                <w:lang w:eastAsia="de-DE"/>
              </w:rPr>
              <w:t xml:space="preserve">shall only consist of payments due on </w:t>
            </w:r>
            <w:r w:rsidR="002A0287">
              <w:rPr>
                <w:rStyle w:val="InstructionsTabelleberschrift"/>
                <w:rFonts w:ascii="Times New Roman" w:hAnsi="Times New Roman"/>
                <w:b w:val="0"/>
                <w:sz w:val="24"/>
                <w:u w:val="none"/>
                <w:lang w:eastAsia="de-DE"/>
              </w:rPr>
              <w:t>exposures that are not</w:t>
            </w:r>
            <w:r w:rsidR="00D26049">
              <w:rPr>
                <w:rStyle w:val="InstructionsTabelleberschrift"/>
                <w:rFonts w:ascii="Times New Roman" w:hAnsi="Times New Roman"/>
                <w:b w:val="0"/>
                <w:sz w:val="24"/>
                <w:u w:val="none"/>
                <w:lang w:eastAsia="de-DE"/>
              </w:rPr>
              <w:t xml:space="preserve"> </w:t>
            </w:r>
            <w:r w:rsidR="00292D74">
              <w:rPr>
                <w:rStyle w:val="InstructionsTabelleberschrift"/>
                <w:rFonts w:ascii="Times New Roman" w:hAnsi="Times New Roman"/>
                <w:b w:val="0"/>
                <w:sz w:val="24"/>
                <w:u w:val="none"/>
                <w:lang w:eastAsia="de-DE"/>
              </w:rPr>
              <w:t>p</w:t>
            </w:r>
            <w:r w:rsidR="00292D74" w:rsidRPr="00292D74">
              <w:rPr>
                <w:rStyle w:val="InstructionsTabelleberschrift"/>
                <w:rFonts w:ascii="Times New Roman" w:hAnsi="Times New Roman"/>
                <w:b w:val="0"/>
                <w:sz w:val="24"/>
                <w:u w:val="none"/>
                <w:lang w:eastAsia="de-DE"/>
              </w:rPr>
              <w:t>ast due and for which the institution has</w:t>
            </w:r>
            <w:r w:rsidR="00292D74">
              <w:rPr>
                <w:rStyle w:val="InstructionsTabelleberschrift"/>
                <w:rFonts w:ascii="Times New Roman" w:hAnsi="Times New Roman"/>
                <w:b w:val="0"/>
                <w:sz w:val="24"/>
                <w:u w:val="none"/>
                <w:lang w:eastAsia="de-DE"/>
              </w:rPr>
              <w:t xml:space="preserve"> </w:t>
            </w:r>
            <w:r w:rsidR="00292D74" w:rsidRPr="00292D74">
              <w:rPr>
                <w:rStyle w:val="InstructionsTabelleberschrift"/>
                <w:rFonts w:ascii="Times New Roman" w:hAnsi="Times New Roman"/>
                <w:b w:val="0"/>
                <w:sz w:val="24"/>
                <w:u w:val="none"/>
                <w:lang w:eastAsia="de-DE"/>
              </w:rPr>
              <w:t>no reason to expect non-performance.</w:t>
            </w:r>
          </w:p>
          <w:p w:rsidR="00AD794C" w:rsidRPr="0040604D" w:rsidRDefault="00AD794C" w:rsidP="00D468AB">
            <w:pPr>
              <w:spacing w:before="0" w:after="0"/>
              <w:rPr>
                <w:rStyle w:val="InstructionsTabelleberschrift"/>
                <w:rFonts w:ascii="Times New Roman" w:hAnsi="Times New Roman"/>
                <w:b w:val="0"/>
                <w:sz w:val="24"/>
                <w:u w:val="none"/>
                <w:lang w:eastAsia="de-DE"/>
              </w:rPr>
            </w:pPr>
          </w:p>
          <w:p w:rsidR="00AD794C" w:rsidRPr="0040604D" w:rsidRDefault="00AD794C" w:rsidP="00D468AB">
            <w:pPr>
              <w:spacing w:before="0" w:after="0"/>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Cash inflows</w:t>
            </w:r>
            <w:r w:rsidRPr="0040604D">
              <w:rPr>
                <w:rStyle w:val="InstructionsTabelleberschrift"/>
                <w:rFonts w:ascii="Times New Roman" w:hAnsi="Times New Roman"/>
                <w:b w:val="0"/>
                <w:sz w:val="24"/>
                <w:u w:val="none"/>
                <w:lang w:eastAsia="de-DE"/>
              </w:rPr>
              <w:t xml:space="preserve"> shall be reported at the latest contractual date for repayment. Thus, inflows from credit cards and overdrafts shall be reported at the end of validity of the card or at the end of the exposure period for overdraft.</w:t>
            </w:r>
            <w:r w:rsidR="00C4202F">
              <w:rPr>
                <w:rStyle w:val="InstructionsTabelleberschrift"/>
                <w:rFonts w:ascii="Times New Roman" w:hAnsi="Times New Roman"/>
                <w:b w:val="0"/>
                <w:sz w:val="24"/>
                <w:u w:val="none"/>
                <w:lang w:eastAsia="de-DE"/>
              </w:rPr>
              <w:t xml:space="preserve"> Cash inflows from derivatives shall not be reported here but in items 2.4 or 2.5.</w:t>
            </w:r>
          </w:p>
          <w:p w:rsidR="00AD794C" w:rsidRPr="0040604D" w:rsidRDefault="00AD794C" w:rsidP="00D67340">
            <w:pPr>
              <w:spacing w:before="0" w:after="0"/>
              <w:rPr>
                <w:rFonts w:ascii="Times New Roman" w:hAnsi="Times New Roman"/>
                <w:b/>
                <w:sz w:val="24"/>
                <w:u w:val="single"/>
              </w:rPr>
            </w:pP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810</w:t>
            </w:r>
          </w:p>
        </w:tc>
        <w:tc>
          <w:tcPr>
            <w:tcW w:w="7766" w:type="dxa"/>
            <w:gridSpan w:val="2"/>
            <w:shd w:val="clear" w:color="auto" w:fill="auto"/>
            <w:noWrap/>
          </w:tcPr>
          <w:p w:rsidR="00AD794C" w:rsidRPr="0040604D" w:rsidRDefault="00AD794C" w:rsidP="0077793E">
            <w:pPr>
              <w:rPr>
                <w:rFonts w:ascii="Times New Roman" w:hAnsi="Times New Roman"/>
                <w:b/>
                <w:sz w:val="24"/>
                <w:u w:val="single"/>
              </w:rPr>
            </w:pPr>
            <w:r w:rsidRPr="0040604D">
              <w:rPr>
                <w:rFonts w:ascii="Times New Roman" w:hAnsi="Times New Roman"/>
                <w:b/>
                <w:sz w:val="24"/>
                <w:u w:val="single"/>
              </w:rPr>
              <w:t>2.2.1</w:t>
            </w:r>
            <w:r w:rsidR="003E309A">
              <w:rPr>
                <w:rFonts w:ascii="Times New Roman" w:hAnsi="Times New Roman"/>
                <w:b/>
                <w:sz w:val="24"/>
                <w:u w:val="single"/>
              </w:rPr>
              <w:t xml:space="preserve"> </w:t>
            </w:r>
            <w:r w:rsidR="001E26C9">
              <w:rPr>
                <w:rFonts w:ascii="Times New Roman" w:hAnsi="Times New Roman"/>
                <w:b/>
                <w:sz w:val="24"/>
                <w:u w:val="single"/>
              </w:rPr>
              <w:t xml:space="preserve">from </w:t>
            </w:r>
            <w:r w:rsidRPr="0040604D">
              <w:rPr>
                <w:rFonts w:ascii="Times New Roman" w:hAnsi="Times New Roman"/>
                <w:b/>
                <w:sz w:val="24"/>
                <w:u w:val="single"/>
              </w:rPr>
              <w:t>retail</w:t>
            </w:r>
            <w:r w:rsidR="00BE5F65">
              <w:rPr>
                <w:rFonts w:ascii="Times New Roman" w:hAnsi="Times New Roman"/>
                <w:b/>
                <w:sz w:val="24"/>
                <w:u w:val="single"/>
              </w:rPr>
              <w:t xml:space="preserve"> customers</w:t>
            </w:r>
          </w:p>
          <w:p w:rsidR="00DC6350" w:rsidRPr="0040604D" w:rsidRDefault="00743492" w:rsidP="0077793E">
            <w:pPr>
              <w:spacing w:before="0" w:after="0"/>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w:t>
            </w:r>
            <w:r w:rsidR="0022499B">
              <w:rPr>
                <w:rStyle w:val="InstructionsTabelleberschrift"/>
                <w:rFonts w:ascii="Times New Roman" w:hAnsi="Times New Roman"/>
                <w:b w:val="0"/>
                <w:sz w:val="24"/>
                <w:u w:val="none"/>
                <w:lang w:eastAsia="de-DE"/>
              </w:rPr>
              <w:t xml:space="preserve">reported </w:t>
            </w:r>
            <w:r w:rsidR="00AD794C" w:rsidRPr="0040604D">
              <w:rPr>
                <w:rStyle w:val="InstructionsTabelleberschrift"/>
                <w:rFonts w:ascii="Times New Roman" w:hAnsi="Times New Roman"/>
                <w:b w:val="0"/>
                <w:sz w:val="24"/>
                <w:u w:val="none"/>
                <w:lang w:eastAsia="de-DE"/>
              </w:rPr>
              <w:t xml:space="preserve">in item 2.2,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926380">
              <w:rPr>
                <w:rStyle w:val="InstructionsTabelleberschrift"/>
                <w:rFonts w:ascii="Times New Roman" w:hAnsi="Times New Roman"/>
                <w:b w:val="0"/>
                <w:sz w:val="24"/>
                <w:u w:val="none"/>
                <w:lang w:eastAsia="de-DE"/>
              </w:rPr>
              <w:t>is from</w:t>
            </w:r>
            <w:r w:rsidR="00926380"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retail exposures qualify</w:t>
            </w:r>
            <w:r w:rsidR="00A9260A">
              <w:rPr>
                <w:rStyle w:val="InstructionsTabelleberschrift"/>
                <w:rFonts w:ascii="Times New Roman" w:hAnsi="Times New Roman"/>
                <w:b w:val="0"/>
                <w:sz w:val="24"/>
                <w:u w:val="none"/>
                <w:lang w:eastAsia="de-DE"/>
              </w:rPr>
              <w:t>ing</w:t>
            </w:r>
            <w:r w:rsidR="00AD794C" w:rsidRPr="0040604D">
              <w:rPr>
                <w:rStyle w:val="InstructionsTabelleberschrift"/>
                <w:rFonts w:ascii="Times New Roman" w:hAnsi="Times New Roman"/>
                <w:b w:val="0"/>
                <w:sz w:val="24"/>
                <w:u w:val="none"/>
                <w:lang w:eastAsia="de-DE"/>
              </w:rPr>
              <w:t xml:space="preserve"> for the retail exposure class under the Standardised or IRB approaches for credit risk (Articles </w:t>
            </w:r>
            <w:r w:rsidR="003C7C25">
              <w:rPr>
                <w:rStyle w:val="InstructionsTabelleberschrift"/>
                <w:rFonts w:ascii="Times New Roman" w:hAnsi="Times New Roman"/>
                <w:b w:val="0"/>
                <w:sz w:val="24"/>
                <w:u w:val="none"/>
                <w:lang w:eastAsia="de-DE"/>
              </w:rPr>
              <w:t>123</w:t>
            </w:r>
            <w:r w:rsidR="00AD794C" w:rsidRPr="0040604D">
              <w:rPr>
                <w:rStyle w:val="InstructionsTabelleberschrift"/>
                <w:rFonts w:ascii="Times New Roman" w:hAnsi="Times New Roman"/>
                <w:b w:val="0"/>
                <w:sz w:val="24"/>
                <w:u w:val="none"/>
                <w:lang w:eastAsia="de-DE"/>
              </w:rPr>
              <w:t xml:space="preserve"> and 14</w:t>
            </w:r>
            <w:r w:rsidR="003C7C25">
              <w:rPr>
                <w:rStyle w:val="InstructionsTabelleberschrift"/>
                <w:rFonts w:ascii="Times New Roman" w:hAnsi="Times New Roman"/>
                <w:b w:val="0"/>
                <w:sz w:val="24"/>
                <w:u w:val="none"/>
                <w:lang w:eastAsia="de-DE"/>
              </w:rPr>
              <w:t>7</w:t>
            </w:r>
            <w:r w:rsidR="00AD794C" w:rsidRPr="0040604D">
              <w:rPr>
                <w:rStyle w:val="InstructionsTabelleberschrift"/>
                <w:rFonts w:ascii="Times New Roman" w:hAnsi="Times New Roman"/>
                <w:b w:val="0"/>
                <w:sz w:val="24"/>
                <w:u w:val="none"/>
                <w:lang w:eastAsia="de-DE"/>
              </w:rPr>
              <w:t>(</w:t>
            </w:r>
            <w:r w:rsidR="003C7C25">
              <w:rPr>
                <w:rStyle w:val="InstructionsTabelleberschrift"/>
                <w:rFonts w:ascii="Times New Roman" w:hAnsi="Times New Roman"/>
                <w:b w:val="0"/>
                <w:sz w:val="24"/>
                <w:u w:val="none"/>
                <w:lang w:eastAsia="de-DE"/>
              </w:rPr>
              <w:t>5</w:t>
            </w:r>
            <w:r w:rsidR="00AD794C" w:rsidRPr="0040604D">
              <w:rPr>
                <w:rStyle w:val="InstructionsTabelleberschrift"/>
                <w:rFonts w:ascii="Times New Roman" w:hAnsi="Times New Roman"/>
                <w:b w:val="0"/>
                <w:sz w:val="24"/>
                <w:u w:val="none"/>
                <w:lang w:eastAsia="de-DE"/>
              </w:rPr>
              <w:t xml:space="preserve">) </w:t>
            </w:r>
            <w:r w:rsidR="008B0347">
              <w:rPr>
                <w:rStyle w:val="InstructionsTabelleberschrift"/>
                <w:rFonts w:ascii="Times New Roman" w:hAnsi="Times New Roman"/>
                <w:b w:val="0"/>
                <w:sz w:val="24"/>
                <w:u w:val="none"/>
                <w:lang w:eastAsia="de-DE"/>
              </w:rPr>
              <w:t xml:space="preserve">of </w:t>
            </w:r>
            <w:r w:rsidR="008B0347" w:rsidRPr="0040604D">
              <w:rPr>
                <w:rFonts w:ascii="Times New Roman" w:hAnsi="Times New Roman"/>
                <w:sz w:val="24"/>
                <w:lang w:eastAsia="en-GB"/>
              </w:rPr>
              <w:t xml:space="preserve">Regulation </w:t>
            </w:r>
            <w:r w:rsidR="00C1399E">
              <w:rPr>
                <w:rFonts w:ascii="Times New Roman" w:hAnsi="Times New Roman"/>
                <w:sz w:val="24"/>
              </w:rPr>
              <w:t xml:space="preserve">(EU) </w:t>
            </w:r>
            <w:r w:rsidR="00C1399E">
              <w:rPr>
                <w:rFonts w:ascii="Times New Roman" w:hAnsi="Times New Roman"/>
                <w:sz w:val="24"/>
              </w:rPr>
              <w:lastRenderedPageBreak/>
              <w:t>No</w:t>
            </w:r>
            <w:r w:rsidR="00C1399E">
              <w:rPr>
                <w:rFonts w:ascii="Times New Roman" w:hAnsi="Times New Roman"/>
                <w:sz w:val="24"/>
                <w:lang w:eastAsia="en-GB"/>
              </w:rPr>
              <w:t xml:space="preserve"> </w:t>
            </w:r>
            <w:r w:rsidR="008B0347">
              <w:rPr>
                <w:rFonts w:ascii="Times New Roman" w:hAnsi="Times New Roman"/>
                <w:sz w:val="24"/>
                <w:lang w:eastAsia="en-GB"/>
              </w:rPr>
              <w:t>575/2013</w:t>
            </w:r>
            <w:r w:rsidR="00AD794C" w:rsidRPr="0040604D">
              <w:rPr>
                <w:rStyle w:val="InstructionsTabelleberschrift"/>
                <w:rFonts w:ascii="Times New Roman" w:hAnsi="Times New Roman"/>
                <w:b w:val="0"/>
                <w:sz w:val="24"/>
                <w:u w:val="none"/>
                <w:lang w:eastAsia="de-DE"/>
              </w:rPr>
              <w:t>).</w:t>
            </w:r>
          </w:p>
          <w:p w:rsidR="00AD794C" w:rsidRPr="0040604D" w:rsidRDefault="00AD794C" w:rsidP="009920BE">
            <w:pPr>
              <w:spacing w:before="0" w:after="0"/>
              <w:rPr>
                <w:rFonts w:ascii="Times New Roman" w:hAnsi="Times New Roman"/>
                <w:b/>
                <w:sz w:val="24"/>
                <w:u w:val="single"/>
              </w:rPr>
            </w:pP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lastRenderedPageBreak/>
              <w:t>820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2.2.2</w:t>
            </w:r>
            <w:r w:rsidR="003E309A">
              <w:rPr>
                <w:rFonts w:ascii="Times New Roman" w:hAnsi="Times New Roman"/>
                <w:b/>
                <w:sz w:val="24"/>
                <w:u w:val="single"/>
              </w:rPr>
              <w:t xml:space="preserve"> </w:t>
            </w:r>
            <w:r w:rsidR="001E26C9">
              <w:rPr>
                <w:rFonts w:ascii="Times New Roman" w:hAnsi="Times New Roman"/>
                <w:b/>
                <w:sz w:val="24"/>
                <w:u w:val="single"/>
              </w:rPr>
              <w:t xml:space="preserve">from </w:t>
            </w:r>
            <w:r w:rsidRPr="0040604D">
              <w:rPr>
                <w:rFonts w:ascii="Times New Roman" w:hAnsi="Times New Roman"/>
                <w:b/>
                <w:sz w:val="24"/>
                <w:u w:val="single"/>
              </w:rPr>
              <w:t>non-financial corporate customers</w:t>
            </w:r>
          </w:p>
          <w:p w:rsidR="00AD794C" w:rsidRPr="0040604D" w:rsidRDefault="00743492" w:rsidP="0077793E">
            <w:pPr>
              <w:spacing w:before="0" w:after="0"/>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reported in item 2.2,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926380">
              <w:rPr>
                <w:rStyle w:val="InstructionsTabelleberschrift"/>
                <w:rFonts w:ascii="Times New Roman" w:hAnsi="Times New Roman"/>
                <w:b w:val="0"/>
                <w:sz w:val="24"/>
                <w:u w:val="none"/>
                <w:lang w:eastAsia="de-DE"/>
              </w:rPr>
              <w:t>is</w:t>
            </w:r>
            <w:r w:rsidR="00926380" w:rsidRPr="0040604D">
              <w:rPr>
                <w:rStyle w:val="InstructionsTabelleberschrift"/>
                <w:rFonts w:ascii="Times New Roman" w:hAnsi="Times New Roman"/>
                <w:b w:val="0"/>
                <w:sz w:val="24"/>
                <w:u w:val="none"/>
                <w:lang w:eastAsia="de-DE"/>
              </w:rPr>
              <w:t xml:space="preserve"> </w:t>
            </w:r>
            <w:r w:rsidR="00AE2CE9">
              <w:rPr>
                <w:rStyle w:val="InstructionsTabelleberschrift"/>
                <w:rFonts w:ascii="Times New Roman" w:hAnsi="Times New Roman"/>
                <w:b w:val="0"/>
                <w:sz w:val="24"/>
                <w:u w:val="none"/>
                <w:lang w:eastAsia="de-DE"/>
              </w:rPr>
              <w:t>from</w:t>
            </w:r>
            <w:r w:rsidR="00AE2CE9"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non-financial corporate customers.</w:t>
            </w:r>
          </w:p>
          <w:p w:rsidR="00AD794C" w:rsidRPr="0040604D" w:rsidRDefault="00AD794C" w:rsidP="00B00D6E">
            <w:pPr>
              <w:jc w:val="left"/>
              <w:rPr>
                <w:rFonts w:ascii="Times New Roman" w:hAnsi="Times New Roman"/>
                <w:b/>
                <w:sz w:val="24"/>
                <w:u w:val="single"/>
              </w:rPr>
            </w:pP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830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2.2.2.1</w:t>
            </w:r>
            <w:r w:rsidR="003E309A">
              <w:rPr>
                <w:rFonts w:ascii="Times New Roman" w:hAnsi="Times New Roman"/>
                <w:b/>
                <w:sz w:val="24"/>
                <w:u w:val="single"/>
              </w:rPr>
              <w:t xml:space="preserve"> </w:t>
            </w:r>
            <w:r w:rsidRPr="0040604D">
              <w:rPr>
                <w:rFonts w:ascii="Times New Roman" w:hAnsi="Times New Roman"/>
                <w:b/>
                <w:sz w:val="24"/>
                <w:u w:val="single"/>
              </w:rPr>
              <w:t>of which are intragroup entities</w:t>
            </w:r>
          </w:p>
          <w:p w:rsidR="00AD794C" w:rsidRPr="0040604D" w:rsidRDefault="00743492" w:rsidP="0077793E">
            <w:pPr>
              <w:spacing w:before="0" w:after="0"/>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w:t>
            </w:r>
            <w:r w:rsidR="0022499B">
              <w:rPr>
                <w:rStyle w:val="InstructionsTabelleberschrift"/>
                <w:rFonts w:ascii="Times New Roman" w:hAnsi="Times New Roman"/>
                <w:b w:val="0"/>
                <w:sz w:val="24"/>
                <w:u w:val="none"/>
                <w:lang w:eastAsia="de-DE"/>
              </w:rPr>
              <w:t>reported in item 2.2.2</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926380">
              <w:rPr>
                <w:rStyle w:val="InstructionsTabelleberschrift"/>
                <w:rFonts w:ascii="Times New Roman" w:hAnsi="Times New Roman"/>
                <w:b w:val="0"/>
                <w:sz w:val="24"/>
                <w:u w:val="none"/>
                <w:lang w:eastAsia="de-DE"/>
              </w:rPr>
              <w:t>is</w:t>
            </w:r>
            <w:r w:rsidR="00926380"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from intragroup entities.</w:t>
            </w:r>
          </w:p>
          <w:p w:rsidR="00AD794C" w:rsidRPr="0040604D" w:rsidRDefault="00AD794C" w:rsidP="00B00D6E">
            <w:pPr>
              <w:jc w:val="left"/>
              <w:rPr>
                <w:rFonts w:ascii="Times New Roman" w:hAnsi="Times New Roman"/>
                <w:b/>
                <w:sz w:val="24"/>
                <w:u w:val="single"/>
              </w:rPr>
            </w:pP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840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2.2.3</w:t>
            </w:r>
            <w:r w:rsidR="003E309A">
              <w:rPr>
                <w:rFonts w:ascii="Times New Roman" w:hAnsi="Times New Roman"/>
                <w:b/>
                <w:sz w:val="24"/>
                <w:u w:val="single"/>
              </w:rPr>
              <w:t xml:space="preserve"> </w:t>
            </w:r>
            <w:r w:rsidR="001E26C9">
              <w:rPr>
                <w:rFonts w:ascii="Times New Roman" w:hAnsi="Times New Roman"/>
                <w:b/>
                <w:sz w:val="24"/>
                <w:u w:val="single"/>
              </w:rPr>
              <w:t xml:space="preserve">from </w:t>
            </w:r>
            <w:r w:rsidRPr="0040604D">
              <w:rPr>
                <w:rFonts w:ascii="Times New Roman" w:hAnsi="Times New Roman"/>
                <w:b/>
                <w:sz w:val="24"/>
                <w:u w:val="single"/>
              </w:rPr>
              <w:t>central banks</w:t>
            </w:r>
          </w:p>
          <w:p w:rsidR="00AD794C" w:rsidRPr="0040604D" w:rsidRDefault="00743492" w:rsidP="0077793E">
            <w:pPr>
              <w:spacing w:before="0" w:after="0"/>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reported in item 2.2,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926380">
              <w:rPr>
                <w:rStyle w:val="InstructionsTabelleberschrift"/>
                <w:rFonts w:ascii="Times New Roman" w:hAnsi="Times New Roman"/>
                <w:b w:val="0"/>
                <w:sz w:val="24"/>
                <w:u w:val="none"/>
                <w:lang w:eastAsia="de-DE"/>
              </w:rPr>
              <w:t>is</w:t>
            </w:r>
            <w:r w:rsidR="00052C04">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from central banks.</w:t>
            </w:r>
          </w:p>
          <w:p w:rsidR="00AD794C" w:rsidRPr="0040604D" w:rsidRDefault="00AD794C" w:rsidP="00B00D6E">
            <w:pPr>
              <w:jc w:val="left"/>
              <w:rPr>
                <w:rFonts w:ascii="Times New Roman" w:hAnsi="Times New Roman"/>
                <w:b/>
                <w:sz w:val="24"/>
                <w:u w:val="single"/>
              </w:rPr>
            </w:pP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850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2.2.4</w:t>
            </w:r>
            <w:r w:rsidR="003E309A">
              <w:rPr>
                <w:rFonts w:ascii="Times New Roman" w:hAnsi="Times New Roman"/>
                <w:b/>
                <w:sz w:val="24"/>
                <w:u w:val="single"/>
              </w:rPr>
              <w:t xml:space="preserve"> </w:t>
            </w:r>
            <w:r w:rsidR="001E26C9">
              <w:rPr>
                <w:rFonts w:ascii="Times New Roman" w:hAnsi="Times New Roman"/>
                <w:b/>
                <w:sz w:val="24"/>
                <w:u w:val="single"/>
              </w:rPr>
              <w:t xml:space="preserve">from </w:t>
            </w:r>
            <w:r w:rsidRPr="0040604D">
              <w:rPr>
                <w:rFonts w:ascii="Times New Roman" w:hAnsi="Times New Roman"/>
                <w:b/>
                <w:sz w:val="24"/>
                <w:u w:val="single"/>
              </w:rPr>
              <w:t>other entities</w:t>
            </w:r>
          </w:p>
          <w:p w:rsidR="00AD794C" w:rsidRDefault="00743492" w:rsidP="00926380">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reported in item 2.2,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926380">
              <w:rPr>
                <w:rStyle w:val="InstructionsTabelleberschrift"/>
                <w:rFonts w:ascii="Times New Roman" w:hAnsi="Times New Roman"/>
                <w:b w:val="0"/>
                <w:sz w:val="24"/>
                <w:u w:val="none"/>
                <w:lang w:eastAsia="de-DE"/>
              </w:rPr>
              <w:t>is</w:t>
            </w:r>
            <w:r w:rsidR="00926380" w:rsidRPr="0040604D">
              <w:rPr>
                <w:rStyle w:val="InstructionsTabelleberschrift"/>
                <w:rFonts w:ascii="Times New Roman" w:hAnsi="Times New Roman"/>
                <w:b w:val="0"/>
                <w:sz w:val="24"/>
                <w:u w:val="none"/>
                <w:lang w:eastAsia="de-DE"/>
              </w:rPr>
              <w:t xml:space="preserve"> </w:t>
            </w:r>
            <w:r w:rsidR="007C43CE">
              <w:rPr>
                <w:rStyle w:val="InstructionsTabelleberschrift"/>
                <w:rFonts w:ascii="Times New Roman" w:hAnsi="Times New Roman"/>
                <w:b w:val="0"/>
                <w:sz w:val="24"/>
                <w:u w:val="none"/>
                <w:lang w:eastAsia="de-DE"/>
              </w:rPr>
              <w:t xml:space="preserve">from </w:t>
            </w:r>
            <w:r w:rsidR="00AD794C" w:rsidRPr="0040604D">
              <w:rPr>
                <w:rStyle w:val="InstructionsTabelleberschrift"/>
                <w:rFonts w:ascii="Times New Roman" w:hAnsi="Times New Roman"/>
                <w:b w:val="0"/>
                <w:sz w:val="24"/>
                <w:u w:val="none"/>
                <w:lang w:eastAsia="de-DE"/>
              </w:rPr>
              <w:t xml:space="preserve">exposures to other entities not </w:t>
            </w:r>
            <w:r w:rsidR="009946CF">
              <w:rPr>
                <w:rStyle w:val="InstructionsTabelleberschrift"/>
                <w:rFonts w:ascii="Times New Roman" w:hAnsi="Times New Roman"/>
                <w:b w:val="0"/>
                <w:sz w:val="24"/>
                <w:u w:val="none"/>
                <w:lang w:eastAsia="de-DE"/>
              </w:rPr>
              <w:t>referred to</w:t>
            </w:r>
            <w:r w:rsidR="00AD794C" w:rsidRPr="0040604D">
              <w:rPr>
                <w:rStyle w:val="InstructionsTabelleberschrift"/>
                <w:rFonts w:ascii="Times New Roman" w:hAnsi="Times New Roman"/>
                <w:b w:val="0"/>
                <w:sz w:val="24"/>
                <w:u w:val="none"/>
                <w:lang w:eastAsia="de-DE"/>
              </w:rPr>
              <w:t xml:space="preserve"> in sections 2.2.1-2.2.3.</w:t>
            </w:r>
          </w:p>
          <w:p w:rsidR="00455269" w:rsidRPr="0040604D" w:rsidRDefault="00455269" w:rsidP="00926380">
            <w:pPr>
              <w:jc w:val="left"/>
              <w:rPr>
                <w:rFonts w:ascii="Times New Roman" w:hAnsi="Times New Roman"/>
                <w:b/>
                <w:sz w:val="24"/>
                <w:u w:val="single"/>
              </w:rPr>
            </w:pP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860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2.2.4.1</w:t>
            </w:r>
            <w:r w:rsidR="003E309A">
              <w:rPr>
                <w:rFonts w:ascii="Times New Roman" w:hAnsi="Times New Roman"/>
                <w:b/>
                <w:sz w:val="24"/>
                <w:u w:val="single"/>
              </w:rPr>
              <w:t xml:space="preserve"> </w:t>
            </w:r>
            <w:r w:rsidRPr="0040604D">
              <w:rPr>
                <w:rFonts w:ascii="Times New Roman" w:hAnsi="Times New Roman"/>
                <w:b/>
                <w:sz w:val="24"/>
                <w:u w:val="single"/>
              </w:rPr>
              <w:t>of which are intragroup entities</w:t>
            </w:r>
          </w:p>
          <w:p w:rsidR="00AD794C" w:rsidRDefault="00743492" w:rsidP="00926380">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reported in item 2.2.4,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926380">
              <w:rPr>
                <w:rStyle w:val="InstructionsTabelleberschrift"/>
                <w:rFonts w:ascii="Times New Roman" w:hAnsi="Times New Roman"/>
                <w:b w:val="0"/>
                <w:sz w:val="24"/>
                <w:u w:val="none"/>
                <w:lang w:eastAsia="de-DE"/>
              </w:rPr>
              <w:t xml:space="preserve">is </w:t>
            </w:r>
            <w:r w:rsidR="006A32C7">
              <w:rPr>
                <w:rStyle w:val="InstructionsTabelleberschrift"/>
                <w:rFonts w:ascii="Times New Roman" w:hAnsi="Times New Roman"/>
                <w:b w:val="0"/>
                <w:sz w:val="24"/>
                <w:u w:val="none"/>
                <w:lang w:eastAsia="de-DE"/>
              </w:rPr>
              <w:t>from</w:t>
            </w:r>
            <w:r w:rsidR="00AD794C" w:rsidRPr="0040604D">
              <w:rPr>
                <w:rStyle w:val="InstructionsTabelleberschrift"/>
                <w:rFonts w:ascii="Times New Roman" w:hAnsi="Times New Roman"/>
                <w:b w:val="0"/>
                <w:sz w:val="24"/>
                <w:u w:val="none"/>
                <w:lang w:eastAsia="de-DE"/>
              </w:rPr>
              <w:t xml:space="preserve"> intragroup entities.</w:t>
            </w:r>
          </w:p>
          <w:p w:rsidR="00455269" w:rsidRPr="0040604D" w:rsidRDefault="00455269" w:rsidP="00926380">
            <w:pPr>
              <w:jc w:val="left"/>
              <w:rPr>
                <w:rFonts w:ascii="Times New Roman" w:hAnsi="Times New Roman"/>
                <w:b/>
                <w:sz w:val="24"/>
                <w:u w:val="single"/>
              </w:rPr>
            </w:pP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870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2.2.4.2</w:t>
            </w:r>
            <w:r w:rsidR="003E309A">
              <w:rPr>
                <w:rFonts w:ascii="Times New Roman" w:hAnsi="Times New Roman"/>
                <w:b/>
                <w:sz w:val="24"/>
                <w:u w:val="single"/>
              </w:rPr>
              <w:t xml:space="preserve"> </w:t>
            </w:r>
            <w:r w:rsidRPr="0040604D">
              <w:rPr>
                <w:rFonts w:ascii="Times New Roman" w:hAnsi="Times New Roman"/>
                <w:b/>
                <w:sz w:val="24"/>
                <w:u w:val="single"/>
              </w:rPr>
              <w:t>of which are public sector entities</w:t>
            </w:r>
          </w:p>
          <w:p w:rsidR="00AD794C" w:rsidRPr="0040604D" w:rsidRDefault="00743492" w:rsidP="00F51E54">
            <w:pPr>
              <w:jc w:val="left"/>
              <w:rPr>
                <w:rFonts w:ascii="Times New Roman" w:hAnsi="Times New Roman"/>
                <w:b/>
                <w:sz w:val="24"/>
                <w:u w:val="singl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of </w:t>
            </w:r>
            <w:r w:rsidR="00AD794C">
              <w:rPr>
                <w:rStyle w:val="InstructionsTabelleberschrift"/>
                <w:rFonts w:ascii="Times New Roman" w:hAnsi="Times New Roman"/>
                <w:b w:val="0"/>
                <w:sz w:val="24"/>
                <w:u w:val="none"/>
                <w:lang w:eastAsia="de-DE"/>
              </w:rPr>
              <w:t>cash inflows</w:t>
            </w:r>
            <w:r w:rsidR="00AD794C" w:rsidRPr="0040604D">
              <w:rPr>
                <w:rStyle w:val="InstructionsTabelleberschrift"/>
                <w:rFonts w:ascii="Times New Roman" w:hAnsi="Times New Roman"/>
                <w:b w:val="0"/>
                <w:sz w:val="24"/>
                <w:u w:val="none"/>
                <w:lang w:eastAsia="de-DE"/>
              </w:rPr>
              <w:t xml:space="preserve"> </w:t>
            </w:r>
            <w:r w:rsidR="00926380">
              <w:rPr>
                <w:rStyle w:val="InstructionsTabelleberschrift"/>
                <w:rFonts w:ascii="Times New Roman" w:hAnsi="Times New Roman"/>
                <w:b w:val="0"/>
                <w:sz w:val="24"/>
                <w:u w:val="none"/>
                <w:lang w:eastAsia="de-DE"/>
              </w:rPr>
              <w:t xml:space="preserve">reported in item 2.2.4 </w:t>
            </w:r>
            <w:r>
              <w:rPr>
                <w:rStyle w:val="InstructionsTabelleberschrift"/>
                <w:rFonts w:ascii="Times New Roman" w:hAnsi="Times New Roman"/>
                <w:b w:val="0"/>
                <w:sz w:val="24"/>
                <w:u w:val="none"/>
                <w:lang w:eastAsia="de-DE"/>
              </w:rPr>
              <w:t>which</w:t>
            </w:r>
            <w:r w:rsidR="00926380">
              <w:rPr>
                <w:rStyle w:val="InstructionsTabelleberschrift"/>
                <w:rFonts w:ascii="Times New Roman" w:hAnsi="Times New Roman"/>
                <w:b w:val="0"/>
                <w:sz w:val="24"/>
                <w:u w:val="none"/>
                <w:lang w:eastAsia="de-DE"/>
              </w:rPr>
              <w:t xml:space="preserve"> is from</w:t>
            </w:r>
            <w:r w:rsidR="00AD794C" w:rsidRPr="0040604D">
              <w:rPr>
                <w:rStyle w:val="InstructionsTabelleberschrift"/>
                <w:rFonts w:ascii="Times New Roman" w:hAnsi="Times New Roman"/>
                <w:b w:val="0"/>
                <w:sz w:val="24"/>
                <w:u w:val="none"/>
                <w:lang w:eastAsia="de-DE"/>
              </w:rPr>
              <w:t xml:space="preserve"> exposures to public sector entities.</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880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2.3 Monies due</w:t>
            </w:r>
            <w:r w:rsidR="00CA60F9">
              <w:rPr>
                <w:rFonts w:ascii="Times New Roman" w:hAnsi="Times New Roman"/>
                <w:b/>
                <w:sz w:val="24"/>
                <w:u w:val="single"/>
              </w:rPr>
              <w:t xml:space="preserve"> </w:t>
            </w:r>
            <w:r w:rsidR="00EE246C">
              <w:rPr>
                <w:rFonts w:ascii="Times New Roman" w:hAnsi="Times New Roman"/>
                <w:b/>
                <w:sz w:val="24"/>
                <w:u w:val="single"/>
              </w:rPr>
              <w:t>not reported in 2.1</w:t>
            </w:r>
            <w:r w:rsidRPr="0040604D">
              <w:rPr>
                <w:rFonts w:ascii="Times New Roman" w:hAnsi="Times New Roman"/>
                <w:b/>
                <w:sz w:val="24"/>
                <w:u w:val="single"/>
              </w:rPr>
              <w:t xml:space="preserve"> from financial customers</w:t>
            </w:r>
          </w:p>
          <w:p w:rsidR="00AD794C" w:rsidRPr="0040604D" w:rsidRDefault="00AD794C" w:rsidP="0077793E">
            <w:pPr>
              <w:spacing w:before="0" w:after="0"/>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Cash inflows</w:t>
            </w:r>
            <w:r w:rsidRPr="0040604D">
              <w:rPr>
                <w:rStyle w:val="InstructionsTabelleberschrift"/>
                <w:rFonts w:ascii="Times New Roman" w:hAnsi="Times New Roman"/>
                <w:b w:val="0"/>
                <w:sz w:val="24"/>
                <w:u w:val="none"/>
                <w:lang w:eastAsia="de-DE"/>
              </w:rPr>
              <w:t xml:space="preserve"> from financial </w:t>
            </w:r>
            <w:r w:rsidR="002E1D10">
              <w:rPr>
                <w:rStyle w:val="InstructionsTabelleberschrift"/>
                <w:rFonts w:ascii="Times New Roman" w:hAnsi="Times New Roman"/>
                <w:b w:val="0"/>
                <w:sz w:val="24"/>
                <w:u w:val="none"/>
                <w:lang w:eastAsia="de-DE"/>
              </w:rPr>
              <w:t>customers</w:t>
            </w:r>
            <w:r w:rsidR="002E1D10" w:rsidRPr="0040604D">
              <w:rPr>
                <w:rStyle w:val="InstructionsTabelleberschrift"/>
                <w:rFonts w:ascii="Times New Roman" w:hAnsi="Times New Roman"/>
                <w:b w:val="0"/>
                <w:sz w:val="24"/>
                <w:u w:val="none"/>
                <w:lang w:eastAsia="de-DE"/>
              </w:rPr>
              <w:t xml:space="preserve"> </w:t>
            </w:r>
            <w:r w:rsidRPr="0040604D">
              <w:rPr>
                <w:rStyle w:val="InstructionsTabelleberschrift"/>
                <w:rFonts w:ascii="Times New Roman" w:hAnsi="Times New Roman"/>
                <w:b w:val="0"/>
                <w:sz w:val="24"/>
                <w:u w:val="none"/>
                <w:lang w:eastAsia="de-DE"/>
              </w:rPr>
              <w:t>in accordance with Article 4</w:t>
            </w:r>
            <w:r w:rsidR="00EE246C">
              <w:rPr>
                <w:rStyle w:val="InstructionsTabelleberschrift"/>
                <w:rFonts w:ascii="Times New Roman" w:hAnsi="Times New Roman"/>
                <w:b w:val="0"/>
                <w:sz w:val="24"/>
                <w:u w:val="none"/>
                <w:lang w:eastAsia="de-DE"/>
              </w:rPr>
              <w:t>11</w:t>
            </w:r>
            <w:r w:rsidRPr="0040604D">
              <w:rPr>
                <w:rStyle w:val="InstructionsTabelleberschrift"/>
                <w:rFonts w:ascii="Times New Roman" w:hAnsi="Times New Roman"/>
                <w:b w:val="0"/>
                <w:sz w:val="24"/>
                <w:u w:val="none"/>
                <w:lang w:eastAsia="de-DE"/>
              </w:rPr>
              <w:t xml:space="preserve">(1) of Regulation </w:t>
            </w:r>
            <w:r w:rsidR="00C1399E">
              <w:rPr>
                <w:rFonts w:ascii="Times New Roman" w:hAnsi="Times New Roman"/>
                <w:sz w:val="24"/>
              </w:rPr>
              <w:t>(EU) No</w:t>
            </w:r>
            <w:r w:rsidR="00C1399E">
              <w:rPr>
                <w:rFonts w:ascii="Times New Roman" w:hAnsi="Times New Roman"/>
                <w:sz w:val="24"/>
                <w:lang w:eastAsia="en-GB"/>
              </w:rPr>
              <w:t xml:space="preserve"> </w:t>
            </w:r>
            <w:r w:rsidR="00EE246C">
              <w:rPr>
                <w:rFonts w:ascii="Times New Roman" w:hAnsi="Times New Roman"/>
                <w:sz w:val="24"/>
                <w:lang w:eastAsia="en-GB"/>
              </w:rPr>
              <w:t>575/2013</w:t>
            </w:r>
            <w:r w:rsidRPr="0040604D">
              <w:rPr>
                <w:rStyle w:val="InstructionsTabelleberschrift"/>
                <w:rFonts w:ascii="Times New Roman" w:hAnsi="Times New Roman"/>
                <w:b w:val="0"/>
                <w:sz w:val="24"/>
                <w:u w:val="none"/>
                <w:lang w:eastAsia="de-DE"/>
              </w:rPr>
              <w:t xml:space="preserve">, shall only consist of contractual principal </w:t>
            </w:r>
            <w:r w:rsidR="00EE246C">
              <w:rPr>
                <w:rStyle w:val="InstructionsTabelleberschrift"/>
                <w:rFonts w:ascii="Times New Roman" w:hAnsi="Times New Roman"/>
                <w:b w:val="0"/>
                <w:sz w:val="24"/>
                <w:u w:val="none"/>
                <w:lang w:eastAsia="de-DE"/>
              </w:rPr>
              <w:t xml:space="preserve">and interest </w:t>
            </w:r>
            <w:r w:rsidRPr="0040604D">
              <w:rPr>
                <w:rStyle w:val="InstructionsTabelleberschrift"/>
                <w:rFonts w:ascii="Times New Roman" w:hAnsi="Times New Roman"/>
                <w:b w:val="0"/>
                <w:sz w:val="24"/>
                <w:u w:val="none"/>
                <w:lang w:eastAsia="de-DE"/>
              </w:rPr>
              <w:t xml:space="preserve">payments due </w:t>
            </w:r>
            <w:r w:rsidR="005332F1">
              <w:rPr>
                <w:rStyle w:val="InstructionsTabelleberschrift"/>
                <w:rFonts w:ascii="Times New Roman" w:hAnsi="Times New Roman"/>
                <w:b w:val="0"/>
                <w:sz w:val="24"/>
                <w:u w:val="none"/>
                <w:lang w:eastAsia="de-DE"/>
              </w:rPr>
              <w:t xml:space="preserve">on </w:t>
            </w:r>
            <w:r w:rsidR="002E6647">
              <w:rPr>
                <w:rStyle w:val="InstructionsTabelleberschrift"/>
                <w:rFonts w:ascii="Times New Roman" w:hAnsi="Times New Roman"/>
                <w:b w:val="0"/>
                <w:sz w:val="24"/>
                <w:u w:val="none"/>
                <w:lang w:eastAsia="de-DE"/>
              </w:rPr>
              <w:t>exposures that are not</w:t>
            </w:r>
            <w:r w:rsidR="00D67340">
              <w:rPr>
                <w:rStyle w:val="InstructionsTabelleberschrift"/>
                <w:rFonts w:ascii="Times New Roman" w:hAnsi="Times New Roman"/>
                <w:b w:val="0"/>
                <w:sz w:val="24"/>
                <w:u w:val="none"/>
                <w:lang w:eastAsia="de-DE"/>
              </w:rPr>
              <w:t xml:space="preserve"> </w:t>
            </w:r>
            <w:r w:rsidR="00292D74">
              <w:rPr>
                <w:rStyle w:val="InstructionsTabelleberschrift"/>
                <w:rFonts w:ascii="Times New Roman" w:hAnsi="Times New Roman"/>
                <w:b w:val="0"/>
                <w:sz w:val="24"/>
                <w:u w:val="none"/>
                <w:lang w:eastAsia="de-DE"/>
              </w:rPr>
              <w:t>p</w:t>
            </w:r>
            <w:r w:rsidR="00292D74" w:rsidRPr="00292D74">
              <w:rPr>
                <w:rStyle w:val="InstructionsTabelleberschrift"/>
                <w:rFonts w:ascii="Times New Roman" w:hAnsi="Times New Roman"/>
                <w:b w:val="0"/>
                <w:sz w:val="24"/>
                <w:u w:val="none"/>
                <w:lang w:eastAsia="de-DE"/>
              </w:rPr>
              <w:t>ast due and for which the institution has</w:t>
            </w:r>
            <w:r w:rsidR="00292D74">
              <w:rPr>
                <w:rStyle w:val="InstructionsTabelleberschrift"/>
                <w:rFonts w:ascii="Times New Roman" w:hAnsi="Times New Roman"/>
                <w:b w:val="0"/>
                <w:sz w:val="24"/>
                <w:u w:val="none"/>
                <w:lang w:eastAsia="de-DE"/>
              </w:rPr>
              <w:t xml:space="preserve"> </w:t>
            </w:r>
            <w:r w:rsidR="00292D74" w:rsidRPr="00292D74">
              <w:rPr>
                <w:rStyle w:val="InstructionsTabelleberschrift"/>
                <w:rFonts w:ascii="Times New Roman" w:hAnsi="Times New Roman"/>
                <w:b w:val="0"/>
                <w:sz w:val="24"/>
                <w:u w:val="none"/>
                <w:lang w:eastAsia="de-DE"/>
              </w:rPr>
              <w:t>no reason to expect non-performance.</w:t>
            </w:r>
          </w:p>
          <w:p w:rsidR="00AD794C" w:rsidRPr="0040604D" w:rsidRDefault="00AD794C" w:rsidP="0077793E">
            <w:pPr>
              <w:spacing w:before="0" w:after="0"/>
              <w:rPr>
                <w:rStyle w:val="InstructionsTabelleberschrift"/>
                <w:rFonts w:ascii="Times New Roman" w:hAnsi="Times New Roman"/>
                <w:b w:val="0"/>
                <w:sz w:val="24"/>
                <w:u w:val="none"/>
                <w:lang w:eastAsia="de-DE"/>
              </w:rPr>
            </w:pPr>
          </w:p>
          <w:p w:rsidR="00DC6350" w:rsidRPr="0040604D" w:rsidRDefault="00AD794C" w:rsidP="0077793E">
            <w:pPr>
              <w:spacing w:before="0" w:after="0"/>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Cash inflows</w:t>
            </w:r>
            <w:r w:rsidRPr="0040604D">
              <w:rPr>
                <w:rStyle w:val="InstructionsTabelleberschrift"/>
                <w:rFonts w:ascii="Times New Roman" w:hAnsi="Times New Roman"/>
                <w:b w:val="0"/>
                <w:sz w:val="24"/>
                <w:u w:val="none"/>
                <w:lang w:eastAsia="de-DE"/>
              </w:rPr>
              <w:t xml:space="preserve"> shall be reported at the latest contractual date for repayment. Thus, inflows from credit cards and overdrafts shall be reported at the end of validity of the card or at the end of loan period for overdraft.</w:t>
            </w:r>
          </w:p>
          <w:p w:rsidR="00AD794C" w:rsidRPr="0040604D" w:rsidRDefault="00AD794C" w:rsidP="009920BE">
            <w:pPr>
              <w:spacing w:before="0" w:after="0"/>
              <w:rPr>
                <w:rFonts w:ascii="Times New Roman" w:hAnsi="Times New Roman"/>
                <w:b/>
                <w:sz w:val="24"/>
                <w:u w:val="single"/>
              </w:rPr>
            </w:pP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lastRenderedPageBreak/>
              <w:t>890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2.3.1</w:t>
            </w:r>
            <w:r w:rsidR="003E309A">
              <w:rPr>
                <w:rFonts w:ascii="Times New Roman" w:hAnsi="Times New Roman"/>
                <w:b/>
                <w:sz w:val="24"/>
                <w:u w:val="single"/>
              </w:rPr>
              <w:t xml:space="preserve"> </w:t>
            </w:r>
            <w:r w:rsidR="001E26C9">
              <w:rPr>
                <w:rFonts w:ascii="Times New Roman" w:hAnsi="Times New Roman"/>
                <w:b/>
                <w:sz w:val="24"/>
                <w:u w:val="single"/>
              </w:rPr>
              <w:t xml:space="preserve">from </w:t>
            </w:r>
            <w:r w:rsidRPr="0040604D">
              <w:rPr>
                <w:rFonts w:ascii="Times New Roman" w:hAnsi="Times New Roman"/>
                <w:b/>
                <w:sz w:val="24"/>
                <w:u w:val="single"/>
              </w:rPr>
              <w:t>credit institutions</w:t>
            </w:r>
          </w:p>
          <w:p w:rsidR="00AD794C" w:rsidRPr="0040604D" w:rsidRDefault="00743492" w:rsidP="00973AB9">
            <w:pPr>
              <w:rPr>
                <w:rFonts w:ascii="Times New Roman" w:hAnsi="Times New Roman"/>
                <w:sz w:val="24"/>
              </w:rPr>
            </w:pPr>
            <w:r>
              <w:rPr>
                <w:rFonts w:ascii="Times New Roman" w:hAnsi="Times New Roman"/>
                <w:sz w:val="24"/>
              </w:rPr>
              <w:t>The</w:t>
            </w:r>
            <w:r w:rsidR="00AD794C" w:rsidRPr="0040604D">
              <w:rPr>
                <w:rFonts w:ascii="Times New Roman" w:hAnsi="Times New Roman"/>
                <w:sz w:val="24"/>
              </w:rPr>
              <w:t xml:space="preserve"> amount of </w:t>
            </w:r>
            <w:r w:rsidR="00AD794C">
              <w:rPr>
                <w:rFonts w:ascii="Times New Roman" w:hAnsi="Times New Roman"/>
                <w:sz w:val="24"/>
              </w:rPr>
              <w:t>cash inflows</w:t>
            </w:r>
            <w:r w:rsidR="00AD794C" w:rsidRPr="0040604D">
              <w:rPr>
                <w:rFonts w:ascii="Times New Roman" w:hAnsi="Times New Roman"/>
                <w:sz w:val="24"/>
              </w:rPr>
              <w:t xml:space="preserve"> reported in item 2.3 </w:t>
            </w:r>
            <w:r>
              <w:rPr>
                <w:rFonts w:ascii="Times New Roman" w:hAnsi="Times New Roman"/>
                <w:sz w:val="24"/>
              </w:rPr>
              <w:t>which</w:t>
            </w:r>
            <w:r w:rsidR="00AD794C" w:rsidRPr="0040604D">
              <w:rPr>
                <w:rFonts w:ascii="Times New Roman" w:hAnsi="Times New Roman"/>
                <w:sz w:val="24"/>
              </w:rPr>
              <w:t xml:space="preserve"> derives from credit institutions.</w:t>
            </w:r>
          </w:p>
          <w:p w:rsidR="00AD794C" w:rsidRPr="0040604D" w:rsidRDefault="00AD794C" w:rsidP="00973AB9">
            <w:pPr>
              <w:jc w:val="left"/>
              <w:rPr>
                <w:rFonts w:ascii="Times New Roman" w:hAnsi="Times New Roman"/>
                <w:b/>
                <w:sz w:val="24"/>
                <w:u w:val="single"/>
              </w:rPr>
            </w:pPr>
          </w:p>
        </w:tc>
      </w:tr>
      <w:tr w:rsidR="00AD794C" w:rsidRPr="0040604D" w:rsidTr="0021066C">
        <w:trPr>
          <w:trHeight w:val="529"/>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900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2.3.1.1 of which are intragroup entities</w:t>
            </w:r>
          </w:p>
          <w:p w:rsidR="00AD794C" w:rsidRPr="0040604D" w:rsidRDefault="00743492" w:rsidP="00187112">
            <w:pPr>
              <w:jc w:val="left"/>
              <w:rPr>
                <w:rFonts w:ascii="Times New Roman" w:hAnsi="Times New Roman"/>
                <w:b/>
                <w:sz w:val="24"/>
                <w:u w:val="single"/>
              </w:rPr>
            </w:pPr>
            <w:r>
              <w:rPr>
                <w:rFonts w:ascii="Times New Roman" w:hAnsi="Times New Roman"/>
                <w:sz w:val="24"/>
              </w:rPr>
              <w:t>The</w:t>
            </w:r>
            <w:r w:rsidR="00AD794C" w:rsidRPr="0040604D">
              <w:rPr>
                <w:rFonts w:ascii="Times New Roman" w:hAnsi="Times New Roman"/>
                <w:sz w:val="24"/>
              </w:rPr>
              <w:t xml:space="preserve"> amount of </w:t>
            </w:r>
            <w:r w:rsidR="00AD794C">
              <w:rPr>
                <w:rFonts w:ascii="Times New Roman" w:hAnsi="Times New Roman"/>
                <w:sz w:val="24"/>
              </w:rPr>
              <w:t>cash inflows</w:t>
            </w:r>
            <w:r w:rsidR="00AD794C" w:rsidRPr="0040604D">
              <w:rPr>
                <w:rFonts w:ascii="Times New Roman" w:hAnsi="Times New Roman"/>
                <w:sz w:val="24"/>
              </w:rPr>
              <w:t xml:space="preserve"> reported in item 2.3.1 </w:t>
            </w:r>
            <w:r>
              <w:rPr>
                <w:rFonts w:ascii="Times New Roman" w:hAnsi="Times New Roman"/>
                <w:sz w:val="24"/>
              </w:rPr>
              <w:t>which</w:t>
            </w:r>
            <w:r w:rsidR="00AD794C" w:rsidRPr="0040604D">
              <w:rPr>
                <w:rFonts w:ascii="Times New Roman" w:hAnsi="Times New Roman"/>
                <w:sz w:val="24"/>
              </w:rPr>
              <w:t xml:space="preserve"> derives from intragroup entities.</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910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2.3.2</w:t>
            </w:r>
            <w:r w:rsidR="003E309A">
              <w:rPr>
                <w:rFonts w:ascii="Times New Roman" w:hAnsi="Times New Roman"/>
                <w:b/>
                <w:sz w:val="24"/>
                <w:u w:val="single"/>
              </w:rPr>
              <w:t xml:space="preserve"> </w:t>
            </w:r>
            <w:r w:rsidR="001E26C9">
              <w:rPr>
                <w:rFonts w:ascii="Times New Roman" w:hAnsi="Times New Roman"/>
                <w:b/>
                <w:sz w:val="24"/>
                <w:u w:val="single"/>
              </w:rPr>
              <w:t xml:space="preserve">from </w:t>
            </w:r>
            <w:r w:rsidRPr="0040604D">
              <w:rPr>
                <w:rFonts w:ascii="Times New Roman" w:hAnsi="Times New Roman"/>
                <w:b/>
                <w:sz w:val="24"/>
                <w:u w:val="single"/>
              </w:rPr>
              <w:t>financial customers other than credit institutions</w:t>
            </w:r>
          </w:p>
          <w:p w:rsidR="00AD794C" w:rsidRPr="0040604D" w:rsidRDefault="00743492" w:rsidP="00973AB9">
            <w:pPr>
              <w:rPr>
                <w:rFonts w:ascii="Times New Roman" w:hAnsi="Times New Roman"/>
                <w:sz w:val="24"/>
              </w:rPr>
            </w:pPr>
            <w:r>
              <w:rPr>
                <w:rFonts w:ascii="Times New Roman" w:hAnsi="Times New Roman"/>
                <w:sz w:val="24"/>
              </w:rPr>
              <w:t>The</w:t>
            </w:r>
            <w:r w:rsidR="00AD794C" w:rsidRPr="0040604D">
              <w:rPr>
                <w:rFonts w:ascii="Times New Roman" w:hAnsi="Times New Roman"/>
                <w:sz w:val="24"/>
              </w:rPr>
              <w:t xml:space="preserve"> amount of </w:t>
            </w:r>
            <w:r w:rsidR="00AD794C">
              <w:rPr>
                <w:rFonts w:ascii="Times New Roman" w:hAnsi="Times New Roman"/>
                <w:sz w:val="24"/>
              </w:rPr>
              <w:t>cash inflows</w:t>
            </w:r>
            <w:r w:rsidR="00AD794C" w:rsidRPr="0040604D">
              <w:rPr>
                <w:rFonts w:ascii="Times New Roman" w:hAnsi="Times New Roman"/>
                <w:sz w:val="24"/>
              </w:rPr>
              <w:t xml:space="preserve"> reported in item 2.3 </w:t>
            </w:r>
            <w:r>
              <w:rPr>
                <w:rFonts w:ascii="Times New Roman" w:hAnsi="Times New Roman"/>
                <w:sz w:val="24"/>
              </w:rPr>
              <w:t>which</w:t>
            </w:r>
            <w:r w:rsidR="00AD794C" w:rsidRPr="0040604D">
              <w:rPr>
                <w:rFonts w:ascii="Times New Roman" w:hAnsi="Times New Roman"/>
                <w:sz w:val="24"/>
              </w:rPr>
              <w:t xml:space="preserve"> </w:t>
            </w:r>
            <w:r w:rsidR="002B4524">
              <w:rPr>
                <w:rFonts w:ascii="Times New Roman" w:hAnsi="Times New Roman"/>
                <w:sz w:val="24"/>
              </w:rPr>
              <w:t>is</w:t>
            </w:r>
            <w:r w:rsidR="002B4524" w:rsidRPr="0040604D">
              <w:rPr>
                <w:rFonts w:ascii="Times New Roman" w:hAnsi="Times New Roman"/>
                <w:sz w:val="24"/>
              </w:rPr>
              <w:t xml:space="preserve"> </w:t>
            </w:r>
            <w:r w:rsidR="00AD794C" w:rsidRPr="0040604D">
              <w:rPr>
                <w:rFonts w:ascii="Times New Roman" w:hAnsi="Times New Roman"/>
                <w:sz w:val="24"/>
              </w:rPr>
              <w:t>from financial customers other than credit institutions.</w:t>
            </w:r>
          </w:p>
          <w:p w:rsidR="00AD794C" w:rsidRPr="0040604D" w:rsidRDefault="00AD794C" w:rsidP="00973AB9">
            <w:pPr>
              <w:jc w:val="left"/>
              <w:rPr>
                <w:rFonts w:ascii="Times New Roman" w:hAnsi="Times New Roman"/>
                <w:b/>
                <w:sz w:val="24"/>
                <w:u w:val="single"/>
              </w:rPr>
            </w:pP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920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2.3.2.1 of which are intragroup entities</w:t>
            </w:r>
          </w:p>
          <w:p w:rsidR="00AD794C" w:rsidRPr="0040604D" w:rsidRDefault="00743492" w:rsidP="00187112">
            <w:pPr>
              <w:jc w:val="left"/>
              <w:rPr>
                <w:rFonts w:ascii="Times New Roman" w:hAnsi="Times New Roman"/>
                <w:b/>
                <w:sz w:val="24"/>
                <w:u w:val="single"/>
              </w:rPr>
            </w:pPr>
            <w:r>
              <w:rPr>
                <w:rFonts w:ascii="Times New Roman" w:hAnsi="Times New Roman"/>
                <w:sz w:val="24"/>
              </w:rPr>
              <w:t>The</w:t>
            </w:r>
            <w:r w:rsidR="00AD794C" w:rsidRPr="0040604D">
              <w:rPr>
                <w:rFonts w:ascii="Times New Roman" w:hAnsi="Times New Roman"/>
                <w:sz w:val="24"/>
              </w:rPr>
              <w:t xml:space="preserve"> amount of </w:t>
            </w:r>
            <w:r w:rsidR="00AD794C">
              <w:rPr>
                <w:rFonts w:ascii="Times New Roman" w:hAnsi="Times New Roman"/>
                <w:sz w:val="24"/>
              </w:rPr>
              <w:t>cash inflows</w:t>
            </w:r>
            <w:r w:rsidR="00AD794C" w:rsidRPr="0040604D">
              <w:rPr>
                <w:rFonts w:ascii="Times New Roman" w:hAnsi="Times New Roman"/>
                <w:sz w:val="24"/>
              </w:rPr>
              <w:t xml:space="preserve"> reported in item 2.3.2 </w:t>
            </w:r>
            <w:r>
              <w:rPr>
                <w:rFonts w:ascii="Times New Roman" w:hAnsi="Times New Roman"/>
                <w:sz w:val="24"/>
              </w:rPr>
              <w:t>which</w:t>
            </w:r>
            <w:r w:rsidR="00AD794C" w:rsidRPr="0040604D">
              <w:rPr>
                <w:rFonts w:ascii="Times New Roman" w:hAnsi="Times New Roman"/>
                <w:sz w:val="24"/>
              </w:rPr>
              <w:t xml:space="preserve"> </w:t>
            </w:r>
            <w:r w:rsidR="000774F6">
              <w:rPr>
                <w:rFonts w:ascii="Times New Roman" w:hAnsi="Times New Roman"/>
                <w:sz w:val="24"/>
              </w:rPr>
              <w:lastRenderedPageBreak/>
              <w:t>is</w:t>
            </w:r>
            <w:r w:rsidR="000774F6" w:rsidRPr="0040604D">
              <w:rPr>
                <w:rFonts w:ascii="Times New Roman" w:hAnsi="Times New Roman"/>
                <w:sz w:val="24"/>
              </w:rPr>
              <w:t xml:space="preserve"> </w:t>
            </w:r>
            <w:r w:rsidR="00AD794C" w:rsidRPr="0040604D">
              <w:rPr>
                <w:rFonts w:ascii="Times New Roman" w:hAnsi="Times New Roman"/>
                <w:sz w:val="24"/>
              </w:rPr>
              <w:t>from intragroup entities.</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930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2.3.3</w:t>
            </w:r>
            <w:r w:rsidR="003E309A">
              <w:rPr>
                <w:rFonts w:ascii="Times New Roman" w:hAnsi="Times New Roman"/>
                <w:b/>
                <w:sz w:val="24"/>
                <w:u w:val="single"/>
              </w:rPr>
              <w:t xml:space="preserve"> </w:t>
            </w:r>
            <w:r w:rsidRPr="0040604D">
              <w:rPr>
                <w:rFonts w:ascii="Times New Roman" w:hAnsi="Times New Roman"/>
                <w:b/>
                <w:sz w:val="24"/>
                <w:u w:val="single"/>
              </w:rPr>
              <w:t xml:space="preserve">of which are members of an institutional network </w:t>
            </w:r>
          </w:p>
          <w:p w:rsidR="00AD794C" w:rsidRPr="0040604D" w:rsidRDefault="00743492" w:rsidP="00261C3A">
            <w:pPr>
              <w:jc w:val="left"/>
              <w:rPr>
                <w:rFonts w:ascii="Times New Roman" w:hAnsi="Times New Roman"/>
                <w:b/>
                <w:sz w:val="24"/>
                <w:u w:val="single"/>
              </w:rPr>
            </w:pPr>
            <w:r>
              <w:rPr>
                <w:rFonts w:ascii="Times New Roman" w:hAnsi="Times New Roman"/>
                <w:sz w:val="24"/>
              </w:rPr>
              <w:t>The</w:t>
            </w:r>
            <w:r w:rsidR="00AD794C" w:rsidRPr="0040604D">
              <w:rPr>
                <w:rFonts w:ascii="Times New Roman" w:hAnsi="Times New Roman"/>
                <w:sz w:val="24"/>
              </w:rPr>
              <w:t xml:space="preserve"> amount of </w:t>
            </w:r>
            <w:r w:rsidR="00AD794C">
              <w:rPr>
                <w:rFonts w:ascii="Times New Roman" w:hAnsi="Times New Roman"/>
                <w:sz w:val="24"/>
              </w:rPr>
              <w:t>cash inflows</w:t>
            </w:r>
            <w:r w:rsidR="00AD794C" w:rsidRPr="0040604D">
              <w:rPr>
                <w:rFonts w:ascii="Times New Roman" w:hAnsi="Times New Roman"/>
                <w:sz w:val="24"/>
              </w:rPr>
              <w:t xml:space="preserve"> reported in item </w:t>
            </w:r>
            <w:r w:rsidR="00261C3A">
              <w:rPr>
                <w:rFonts w:ascii="Times New Roman" w:hAnsi="Times New Roman"/>
                <w:sz w:val="24"/>
              </w:rPr>
              <w:t>2.3</w:t>
            </w:r>
            <w:r w:rsidR="00AD794C" w:rsidRPr="0040604D">
              <w:rPr>
                <w:rFonts w:ascii="Times New Roman" w:hAnsi="Times New Roman"/>
                <w:sz w:val="24"/>
              </w:rPr>
              <w:t xml:space="preserve">, </w:t>
            </w:r>
            <w:r>
              <w:rPr>
                <w:rFonts w:ascii="Times New Roman" w:hAnsi="Times New Roman"/>
                <w:sz w:val="24"/>
              </w:rPr>
              <w:t>which</w:t>
            </w:r>
            <w:r w:rsidR="00261C3A">
              <w:rPr>
                <w:rFonts w:ascii="Times New Roman" w:hAnsi="Times New Roman"/>
                <w:sz w:val="24"/>
              </w:rPr>
              <w:t xml:space="preserve"> is</w:t>
            </w:r>
            <w:r w:rsidR="00AD794C" w:rsidRPr="0040604D">
              <w:rPr>
                <w:rFonts w:ascii="Times New Roman" w:hAnsi="Times New Roman"/>
                <w:sz w:val="24"/>
              </w:rPr>
              <w:t xml:space="preserve"> in the context of common task sharing within an</w:t>
            </w:r>
            <w:r w:rsidR="003E309A">
              <w:rPr>
                <w:rFonts w:ascii="Times New Roman" w:hAnsi="Times New Roman"/>
                <w:sz w:val="24"/>
              </w:rPr>
              <w:t xml:space="preserve"> </w:t>
            </w:r>
            <w:r w:rsidR="00AD794C" w:rsidRPr="0040604D">
              <w:rPr>
                <w:rFonts w:ascii="Times New Roman" w:hAnsi="Times New Roman"/>
                <w:sz w:val="24"/>
              </w:rPr>
              <w:t>institutional protection scheme meeting the requirements of Article 1</w:t>
            </w:r>
            <w:r w:rsidR="00D02C60">
              <w:rPr>
                <w:rFonts w:ascii="Times New Roman" w:hAnsi="Times New Roman"/>
                <w:sz w:val="24"/>
              </w:rPr>
              <w:t>13</w:t>
            </w:r>
            <w:r w:rsidR="00AD794C" w:rsidRPr="0040604D">
              <w:rPr>
                <w:rFonts w:ascii="Times New Roman" w:hAnsi="Times New Roman"/>
                <w:sz w:val="24"/>
              </w:rPr>
              <w:t xml:space="preserve">(7) </w:t>
            </w:r>
            <w:r w:rsidR="00D02C60">
              <w:rPr>
                <w:rFonts w:ascii="Times New Roman" w:hAnsi="Times New Roman"/>
                <w:sz w:val="24"/>
              </w:rPr>
              <w:t xml:space="preserve">Regulation </w:t>
            </w:r>
            <w:r w:rsidR="00C1399E">
              <w:rPr>
                <w:rFonts w:ascii="Times New Roman" w:hAnsi="Times New Roman"/>
                <w:sz w:val="24"/>
              </w:rPr>
              <w:t xml:space="preserve">(EU) No </w:t>
            </w:r>
            <w:r w:rsidR="00D02C60">
              <w:rPr>
                <w:rFonts w:ascii="Times New Roman" w:hAnsi="Times New Roman"/>
                <w:sz w:val="24"/>
              </w:rPr>
              <w:t xml:space="preserve">575/2013 </w:t>
            </w:r>
            <w:r w:rsidR="00AD794C" w:rsidRPr="0040604D">
              <w:rPr>
                <w:rFonts w:ascii="Times New Roman" w:hAnsi="Times New Roman"/>
                <w:sz w:val="24"/>
              </w:rPr>
              <w:t>or as a legal or statutory minimum deposit by another entity being a Member of the same institutional protection scheme</w:t>
            </w:r>
            <w:r w:rsidR="00DC6350">
              <w:rPr>
                <w:rFonts w:ascii="Times New Roman" w:hAnsi="Times New Roman"/>
                <w:sz w:val="24"/>
              </w:rPr>
              <w:t>.</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940</w:t>
            </w:r>
          </w:p>
        </w:tc>
        <w:tc>
          <w:tcPr>
            <w:tcW w:w="7766" w:type="dxa"/>
            <w:gridSpan w:val="2"/>
            <w:shd w:val="clear" w:color="auto" w:fill="auto"/>
            <w:noWrap/>
          </w:tcPr>
          <w:p w:rsidR="00AD794C" w:rsidRPr="0040604D" w:rsidRDefault="00AD794C" w:rsidP="00B00D6E">
            <w:pPr>
              <w:jc w:val="left"/>
              <w:rPr>
                <w:rStyle w:val="InstructionsTabelleberschrift"/>
                <w:rFonts w:ascii="Times New Roman" w:hAnsi="Times New Roman"/>
                <w:sz w:val="24"/>
                <w:lang w:eastAsia="de-DE"/>
              </w:rPr>
            </w:pPr>
            <w:r w:rsidRPr="0040604D">
              <w:rPr>
                <w:rFonts w:ascii="Times New Roman" w:hAnsi="Times New Roman"/>
                <w:b/>
                <w:sz w:val="24"/>
                <w:u w:val="single"/>
              </w:rPr>
              <w:t>2.4 FX-swaps maturing</w:t>
            </w:r>
            <w:r w:rsidRPr="0040604D">
              <w:rPr>
                <w:rStyle w:val="InstructionsTabelleberschrift"/>
                <w:rFonts w:ascii="Times New Roman" w:hAnsi="Times New Roman"/>
                <w:sz w:val="24"/>
                <w:lang w:eastAsia="de-DE"/>
              </w:rPr>
              <w:t xml:space="preserve"> </w:t>
            </w:r>
          </w:p>
          <w:p w:rsidR="00AD794C" w:rsidRPr="0040604D" w:rsidRDefault="00AD794C" w:rsidP="00973AB9">
            <w:pPr>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b w:val="0"/>
                <w:sz w:val="24"/>
                <w:u w:val="none"/>
                <w:lang w:eastAsia="de-DE"/>
              </w:rPr>
              <w:t>Total amount of contractual cash inflows resulting from the maturity of FX Swap transactions such as the exchange of principal amounts at the end of the contract.</w:t>
            </w:r>
          </w:p>
          <w:p w:rsidR="00DC6350" w:rsidRDefault="00AD794C" w:rsidP="00973AB9">
            <w:pPr>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b w:val="0"/>
                <w:sz w:val="24"/>
                <w:u w:val="none"/>
                <w:lang w:eastAsia="de-DE"/>
              </w:rPr>
              <w:t>This reflects the maturing notional value of cross-currency swaps, FX spot and forward transactions in the applicable time buckets of the template</w:t>
            </w:r>
            <w:r w:rsidR="00DC6350">
              <w:rPr>
                <w:rStyle w:val="InstructionsTabelleberschrift"/>
                <w:rFonts w:ascii="Times New Roman" w:hAnsi="Times New Roman"/>
                <w:b w:val="0"/>
                <w:sz w:val="24"/>
                <w:u w:val="none"/>
                <w:lang w:eastAsia="de-DE"/>
              </w:rPr>
              <w:t>.</w:t>
            </w:r>
          </w:p>
          <w:p w:rsidR="00AD794C" w:rsidRPr="0040604D" w:rsidRDefault="00AD794C" w:rsidP="00973AB9">
            <w:pPr>
              <w:rPr>
                <w:rFonts w:ascii="Times New Roman" w:hAnsi="Times New Roman"/>
                <w:b/>
                <w:sz w:val="24"/>
                <w:u w:val="single"/>
              </w:rPr>
            </w:pP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950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 xml:space="preserve">2.5 </w:t>
            </w:r>
            <w:r w:rsidR="00FF40D4">
              <w:rPr>
                <w:rFonts w:ascii="Times New Roman" w:hAnsi="Times New Roman"/>
                <w:b/>
                <w:sz w:val="24"/>
                <w:u w:val="single"/>
              </w:rPr>
              <w:t xml:space="preserve">Amount </w:t>
            </w:r>
            <w:r w:rsidRPr="0040604D">
              <w:rPr>
                <w:rFonts w:ascii="Times New Roman" w:hAnsi="Times New Roman"/>
                <w:b/>
                <w:sz w:val="24"/>
                <w:u w:val="single"/>
              </w:rPr>
              <w:t xml:space="preserve">receivable expected from the contracts listed in Annex II of </w:t>
            </w:r>
            <w:r w:rsidR="00BE5F65">
              <w:rPr>
                <w:rFonts w:ascii="Times New Roman" w:hAnsi="Times New Roman"/>
                <w:b/>
                <w:sz w:val="24"/>
                <w:u w:val="single"/>
              </w:rPr>
              <w:t>CR</w:t>
            </w:r>
            <w:r w:rsidRPr="0040604D">
              <w:rPr>
                <w:rFonts w:ascii="Times New Roman" w:hAnsi="Times New Roman"/>
                <w:b/>
                <w:sz w:val="24"/>
                <w:u w:val="single"/>
                <w:lang w:eastAsia="en-GB"/>
              </w:rPr>
              <w:t xml:space="preserve">R </w:t>
            </w:r>
            <w:r w:rsidR="00FF40D4">
              <w:rPr>
                <w:rFonts w:ascii="Times New Roman" w:hAnsi="Times New Roman"/>
                <w:b/>
                <w:sz w:val="24"/>
                <w:u w:val="single"/>
                <w:lang w:eastAsia="en-GB"/>
              </w:rPr>
              <w:t>other than those reported in item 2.4</w:t>
            </w:r>
          </w:p>
          <w:p w:rsidR="00AD794C" w:rsidRDefault="00AD794C" w:rsidP="00973AB9">
            <w:pPr>
              <w:jc w:val="left"/>
              <w:rPr>
                <w:rFonts w:ascii="Times New Roman" w:hAnsi="Times New Roman"/>
                <w:sz w:val="24"/>
              </w:rPr>
            </w:pPr>
            <w:r w:rsidRPr="0040604D">
              <w:rPr>
                <w:rFonts w:ascii="Times New Roman" w:hAnsi="Times New Roman"/>
                <w:sz w:val="24"/>
              </w:rPr>
              <w:t xml:space="preserve">Total amount of contractual cash inflows resulting from derivatives receivables positions from the contracts listed in Annex II of </w:t>
            </w:r>
            <w:r w:rsidRPr="0040604D">
              <w:rPr>
                <w:rFonts w:ascii="Times New Roman" w:hAnsi="Times New Roman"/>
                <w:sz w:val="24"/>
                <w:lang w:eastAsia="en-GB"/>
              </w:rPr>
              <w:t xml:space="preserve">Regulation </w:t>
            </w:r>
            <w:r w:rsidR="00C1399E">
              <w:rPr>
                <w:rFonts w:ascii="Times New Roman" w:hAnsi="Times New Roman"/>
                <w:sz w:val="24"/>
              </w:rPr>
              <w:t>(EU) No</w:t>
            </w:r>
            <w:r w:rsidR="00C1399E" w:rsidRPr="0040604D" w:rsidDel="008B0347">
              <w:rPr>
                <w:rFonts w:ascii="Times New Roman" w:hAnsi="Times New Roman"/>
                <w:sz w:val="24"/>
                <w:lang w:eastAsia="en-GB"/>
              </w:rPr>
              <w:t xml:space="preserve"> </w:t>
            </w:r>
            <w:r w:rsidR="008B0347">
              <w:rPr>
                <w:rFonts w:ascii="Times New Roman" w:hAnsi="Times New Roman"/>
                <w:sz w:val="24"/>
                <w:lang w:eastAsia="en-GB"/>
              </w:rPr>
              <w:t>575/2013</w:t>
            </w:r>
            <w:r w:rsidR="003E309A">
              <w:rPr>
                <w:rFonts w:ascii="Times New Roman" w:hAnsi="Times New Roman"/>
                <w:sz w:val="24"/>
                <w:lang w:eastAsia="en-GB"/>
              </w:rPr>
              <w:t xml:space="preserve"> </w:t>
            </w:r>
            <w:r w:rsidR="00A737F5">
              <w:rPr>
                <w:rFonts w:ascii="Times New Roman" w:hAnsi="Times New Roman"/>
                <w:sz w:val="24"/>
              </w:rPr>
              <w:t xml:space="preserve">with the exception of inflows resulting from maturing FX swaps which shall be reported in item </w:t>
            </w:r>
            <w:r w:rsidR="002378C6">
              <w:rPr>
                <w:rFonts w:ascii="Times New Roman" w:hAnsi="Times New Roman"/>
                <w:sz w:val="24"/>
              </w:rPr>
              <w:t>2.4</w:t>
            </w:r>
            <w:r w:rsidR="00A737F5">
              <w:rPr>
                <w:rFonts w:ascii="Times New Roman" w:hAnsi="Times New Roman"/>
                <w:sz w:val="24"/>
              </w:rPr>
              <w:t>.</w:t>
            </w:r>
          </w:p>
          <w:p w:rsidR="005332F1" w:rsidRDefault="005332F1" w:rsidP="005332F1">
            <w:pPr>
              <w:jc w:val="left"/>
              <w:rPr>
                <w:rFonts w:ascii="Times New Roman" w:hAnsi="Times New Roman"/>
                <w:sz w:val="24"/>
              </w:rPr>
            </w:pPr>
            <w:r>
              <w:rPr>
                <w:rFonts w:ascii="Times New Roman" w:hAnsi="Times New Roman"/>
                <w:sz w:val="24"/>
              </w:rPr>
              <w:lastRenderedPageBreak/>
              <w:t>The total amount shall reflect settlement amounts including unsettled margin calls as of reporting date.</w:t>
            </w:r>
          </w:p>
          <w:p w:rsidR="00AD794C" w:rsidRPr="0040604D" w:rsidRDefault="00AD794C" w:rsidP="00973AB9">
            <w:pPr>
              <w:jc w:val="left"/>
              <w:rPr>
                <w:rFonts w:ascii="Times New Roman" w:hAnsi="Times New Roman"/>
                <w:sz w:val="24"/>
              </w:rPr>
            </w:pPr>
            <w:r w:rsidRPr="0040604D">
              <w:rPr>
                <w:rFonts w:ascii="Times New Roman" w:hAnsi="Times New Roman"/>
                <w:sz w:val="24"/>
              </w:rPr>
              <w:t>The total amount shall reflect the sum of (1) and (2) as follows, across the various time buckets.</w:t>
            </w:r>
          </w:p>
          <w:p w:rsidR="00AD794C" w:rsidRPr="0040604D" w:rsidRDefault="00AD794C" w:rsidP="00973AB9">
            <w:pPr>
              <w:pStyle w:val="InstructionsText2"/>
              <w:numPr>
                <w:ilvl w:val="0"/>
                <w:numId w:val="29"/>
              </w:numPr>
              <w:rPr>
                <w:rStyle w:val="InstructionsTabelleberschrift"/>
                <w:rFonts w:ascii="Times New Roman" w:hAnsi="Times New Roman"/>
                <w:b w:val="0"/>
                <w:sz w:val="24"/>
                <w:szCs w:val="24"/>
                <w:u w:val="none"/>
              </w:rPr>
            </w:pPr>
            <w:r w:rsidRPr="00C26C1D">
              <w:rPr>
                <w:rStyle w:val="InstructionsTabelleberschrift"/>
                <w:rFonts w:ascii="Times New Roman" w:hAnsi="Times New Roman"/>
                <w:b w:val="0"/>
                <w:sz w:val="24"/>
                <w:szCs w:val="24"/>
                <w:u w:val="none"/>
              </w:rPr>
              <w:t>Cash and securities flows related to derivatives for which there is a collateral agreement</w:t>
            </w:r>
            <w:r w:rsidRPr="008D3C0F">
              <w:rPr>
                <w:rStyle w:val="InstructionsTabelleberschrift"/>
                <w:rFonts w:ascii="Times New Roman" w:hAnsi="Times New Roman"/>
                <w:b w:val="0"/>
                <w:sz w:val="24"/>
                <w:szCs w:val="24"/>
                <w:u w:val="none"/>
              </w:rPr>
              <w:t xml:space="preserve"> in place that requires the full (or adequate) collateralisation of counterparty exposures</w:t>
            </w:r>
            <w:r w:rsidRPr="0040604D">
              <w:rPr>
                <w:rStyle w:val="InstructionsTabelleberschrift"/>
                <w:rFonts w:ascii="Times New Roman" w:hAnsi="Times New Roman"/>
                <w:b w:val="0"/>
                <w:sz w:val="24"/>
                <w:szCs w:val="24"/>
                <w:u w:val="none"/>
              </w:rPr>
              <w:t xml:space="preserve"> shall be excluded from both maturity ladder templates. This implies that all flows of cash, securities, cash collateral and securities collateral related to these derivatives shall be excluded from the template. Stocks of cash and securities collateral that have already been received or provided in the context of collateralised derivatives shall furthermore also not be reflected in the ‘stock’ column of section 3 of the contractual template covering the counterbalancing capacity. The sole exception to this are cash and securities flows in the context of recent margin calls (cash or securities collateral flows) which are due/payable in due course but have not yet been settled. The latter shall be reflected in lines 1.8 (derivatives cash-outflows) and 2.6 (derivatives cash-inflows) in case of cash collateral and in section 3 (counterbalancing capacity) in case of securities collateral in the contractual template. </w:t>
            </w:r>
          </w:p>
          <w:p w:rsidR="00AD794C" w:rsidRPr="0040604D" w:rsidRDefault="00AD794C" w:rsidP="00973AB9">
            <w:pPr>
              <w:pStyle w:val="InstructionsText2"/>
              <w:rPr>
                <w:rStyle w:val="InstructionsTabelleberschrift"/>
                <w:rFonts w:ascii="Times New Roman" w:hAnsi="Times New Roman"/>
                <w:b w:val="0"/>
                <w:sz w:val="24"/>
                <w:szCs w:val="24"/>
                <w:u w:val="none"/>
              </w:rPr>
            </w:pPr>
            <w:r w:rsidRPr="00C26C1D">
              <w:rPr>
                <w:rStyle w:val="InstructionsTabelleberschrift"/>
                <w:rFonts w:ascii="Times New Roman" w:hAnsi="Times New Roman"/>
                <w:b w:val="0"/>
                <w:sz w:val="24"/>
                <w:szCs w:val="24"/>
                <w:u w:val="none"/>
              </w:rPr>
              <w:t>For cash and securities inflows and outflows related to derivatives for which there is no collateral agreement in place (or where only partial collateralisation is required)</w:t>
            </w:r>
            <w:r w:rsidRPr="0040604D">
              <w:rPr>
                <w:rStyle w:val="InstructionsTabelleberschrift"/>
                <w:rFonts w:ascii="Times New Roman" w:hAnsi="Times New Roman"/>
                <w:b w:val="0"/>
                <w:sz w:val="24"/>
                <w:szCs w:val="24"/>
                <w:u w:val="none"/>
              </w:rPr>
              <w:t>, a distinction is made between contracts that involve optionality and other contracts:</w:t>
            </w:r>
          </w:p>
          <w:p w:rsidR="00AD794C" w:rsidRPr="0040604D" w:rsidRDefault="00AD794C" w:rsidP="00973AB9">
            <w:pPr>
              <w:pStyle w:val="InstructionsText2"/>
              <w:numPr>
                <w:ilvl w:val="1"/>
                <w:numId w:val="2"/>
              </w:numPr>
              <w:rPr>
                <w:rStyle w:val="InstructionsTabelleberschrift"/>
                <w:rFonts w:ascii="Times New Roman" w:hAnsi="Times New Roman"/>
                <w:b w:val="0"/>
                <w:sz w:val="24"/>
                <w:szCs w:val="24"/>
                <w:u w:val="none"/>
              </w:rPr>
            </w:pPr>
            <w:r w:rsidRPr="0040604D">
              <w:rPr>
                <w:rStyle w:val="InstructionsTabelleberschrift"/>
                <w:rFonts w:ascii="Times New Roman" w:hAnsi="Times New Roman"/>
                <w:b w:val="0"/>
                <w:sz w:val="24"/>
                <w:szCs w:val="24"/>
                <w:u w:val="none"/>
              </w:rPr>
              <w:t>Flows related to option-like derivatives are only included if they are ‘in the money’, i.e. when the strike price is below (for a call) or above (for a put) the market price. These flows are proxied by including the current market value or net present value of the contract as inflow in line 2.</w:t>
            </w:r>
            <w:r w:rsidR="00945629">
              <w:rPr>
                <w:rStyle w:val="InstructionsTabelleberschrift"/>
                <w:rFonts w:ascii="Times New Roman" w:hAnsi="Times New Roman"/>
                <w:b w:val="0"/>
                <w:sz w:val="24"/>
                <w:szCs w:val="24"/>
                <w:u w:val="none"/>
              </w:rPr>
              <w:t>5</w:t>
            </w:r>
            <w:r w:rsidRPr="0040604D">
              <w:rPr>
                <w:rStyle w:val="InstructionsTabelleberschrift"/>
                <w:rFonts w:ascii="Times New Roman" w:hAnsi="Times New Roman"/>
                <w:b w:val="0"/>
                <w:sz w:val="24"/>
                <w:szCs w:val="24"/>
                <w:u w:val="none"/>
              </w:rPr>
              <w:t xml:space="preserve"> of the contractual template (derivatives cash-inflows) at the latest exercise date of the option if the bank has the right to exercise the option and as outflow in line 1.</w:t>
            </w:r>
            <w:r w:rsidR="00945629">
              <w:rPr>
                <w:rStyle w:val="InstructionsTabelleberschrift"/>
                <w:rFonts w:ascii="Times New Roman" w:hAnsi="Times New Roman"/>
                <w:b w:val="0"/>
                <w:sz w:val="24"/>
                <w:szCs w:val="24"/>
                <w:u w:val="none"/>
              </w:rPr>
              <w:t>6</w:t>
            </w:r>
            <w:r w:rsidR="00945629" w:rsidRPr="0040604D">
              <w:rPr>
                <w:rStyle w:val="InstructionsTabelleberschrift"/>
                <w:rFonts w:ascii="Times New Roman" w:hAnsi="Times New Roman"/>
                <w:b w:val="0"/>
                <w:sz w:val="24"/>
                <w:szCs w:val="24"/>
                <w:u w:val="none"/>
              </w:rPr>
              <w:t xml:space="preserve"> </w:t>
            </w:r>
            <w:r w:rsidRPr="0040604D">
              <w:rPr>
                <w:rStyle w:val="InstructionsTabelleberschrift"/>
                <w:rFonts w:ascii="Times New Roman" w:hAnsi="Times New Roman"/>
                <w:b w:val="0"/>
                <w:sz w:val="24"/>
                <w:szCs w:val="24"/>
                <w:u w:val="none"/>
              </w:rPr>
              <w:t xml:space="preserve">of the contractual template (derivatives cash-outflows) at the earliest exercise date of the option if the bank's counterparty has the right to exercise it. </w:t>
            </w:r>
          </w:p>
          <w:p w:rsidR="00AD794C" w:rsidRPr="0040604D" w:rsidRDefault="00AD794C" w:rsidP="00945629">
            <w:pPr>
              <w:pStyle w:val="InstructionsText2"/>
              <w:numPr>
                <w:ilvl w:val="1"/>
                <w:numId w:val="2"/>
              </w:numPr>
              <w:rPr>
                <w:bCs/>
                <w:sz w:val="24"/>
                <w:szCs w:val="24"/>
                <w:u w:val="none"/>
              </w:rPr>
            </w:pPr>
            <w:r w:rsidRPr="0040604D">
              <w:rPr>
                <w:rStyle w:val="InstructionsTabelleberschrift"/>
                <w:rFonts w:ascii="Times New Roman" w:hAnsi="Times New Roman"/>
                <w:b w:val="0"/>
                <w:sz w:val="24"/>
                <w:szCs w:val="24"/>
                <w:u w:val="none"/>
              </w:rPr>
              <w:t>Flows related to other contracts are included by projecting the gross contractual flows of cash in the respective time buckets in lines 1.</w:t>
            </w:r>
            <w:r w:rsidR="00945629">
              <w:rPr>
                <w:rStyle w:val="InstructionsTabelleberschrift"/>
                <w:rFonts w:ascii="Times New Roman" w:hAnsi="Times New Roman"/>
                <w:b w:val="0"/>
                <w:sz w:val="24"/>
                <w:szCs w:val="24"/>
                <w:u w:val="none"/>
              </w:rPr>
              <w:t>6</w:t>
            </w:r>
            <w:r w:rsidRPr="0040604D">
              <w:rPr>
                <w:rStyle w:val="InstructionsTabelleberschrift"/>
                <w:rFonts w:ascii="Times New Roman" w:hAnsi="Times New Roman"/>
                <w:b w:val="0"/>
                <w:sz w:val="24"/>
                <w:szCs w:val="24"/>
                <w:u w:val="none"/>
              </w:rPr>
              <w:t xml:space="preserve"> (derivatives cash-outflows) and 2.</w:t>
            </w:r>
            <w:r w:rsidR="00945629">
              <w:rPr>
                <w:rStyle w:val="InstructionsTabelleberschrift"/>
                <w:rFonts w:ascii="Times New Roman" w:hAnsi="Times New Roman"/>
                <w:b w:val="0"/>
                <w:sz w:val="24"/>
                <w:szCs w:val="24"/>
                <w:u w:val="none"/>
              </w:rPr>
              <w:t>5</w:t>
            </w:r>
            <w:r w:rsidRPr="0040604D">
              <w:rPr>
                <w:rStyle w:val="InstructionsTabelleberschrift"/>
                <w:rFonts w:ascii="Times New Roman" w:hAnsi="Times New Roman"/>
                <w:b w:val="0"/>
                <w:sz w:val="24"/>
                <w:szCs w:val="24"/>
                <w:u w:val="none"/>
              </w:rPr>
              <w:t xml:space="preserve"> (derivatives cash-inflows) and the contractual flows of securities in </w:t>
            </w:r>
            <w:r w:rsidR="00945629">
              <w:rPr>
                <w:rStyle w:val="InstructionsTabelleberschrift"/>
                <w:rFonts w:ascii="Times New Roman" w:hAnsi="Times New Roman"/>
                <w:b w:val="0"/>
                <w:sz w:val="24"/>
                <w:szCs w:val="24"/>
                <w:u w:val="none"/>
              </w:rPr>
              <w:t>line</w:t>
            </w:r>
            <w:r w:rsidRPr="0040604D">
              <w:rPr>
                <w:rStyle w:val="InstructionsTabelleberschrift"/>
                <w:rFonts w:ascii="Times New Roman" w:hAnsi="Times New Roman"/>
                <w:b w:val="0"/>
                <w:sz w:val="24"/>
                <w:szCs w:val="24"/>
                <w:u w:val="none"/>
              </w:rPr>
              <w:t xml:space="preserve"> 3.</w:t>
            </w:r>
            <w:r w:rsidR="00945629">
              <w:rPr>
                <w:rStyle w:val="InstructionsTabelleberschrift"/>
                <w:rFonts w:ascii="Times New Roman" w:hAnsi="Times New Roman"/>
                <w:b w:val="0"/>
                <w:sz w:val="24"/>
                <w:szCs w:val="24"/>
                <w:u w:val="none"/>
              </w:rPr>
              <w:t>3</w:t>
            </w:r>
            <w:r w:rsidRPr="0040604D">
              <w:rPr>
                <w:rStyle w:val="InstructionsTabelleberschrift"/>
                <w:rFonts w:ascii="Times New Roman" w:hAnsi="Times New Roman"/>
                <w:b w:val="0"/>
                <w:sz w:val="24"/>
                <w:szCs w:val="24"/>
                <w:u w:val="none"/>
              </w:rPr>
              <w:t xml:space="preserve"> of the counterbalancing capacity of the contractual template, using the current market-implied forward rates applicable at reporting date if the amounts are not yet fixed. </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lastRenderedPageBreak/>
              <w:t>960</w:t>
            </w:r>
          </w:p>
        </w:tc>
        <w:tc>
          <w:tcPr>
            <w:tcW w:w="7766" w:type="dxa"/>
            <w:gridSpan w:val="2"/>
            <w:shd w:val="clear" w:color="auto" w:fill="auto"/>
            <w:noWrap/>
          </w:tcPr>
          <w:p w:rsidR="00AD794C" w:rsidRPr="008A1DB9" w:rsidRDefault="002B1FDF" w:rsidP="00B00D6E">
            <w:pPr>
              <w:jc w:val="left"/>
              <w:rPr>
                <w:rFonts w:ascii="Times New Roman" w:hAnsi="Times New Roman"/>
                <w:b/>
                <w:sz w:val="24"/>
                <w:u w:val="single"/>
              </w:rPr>
            </w:pPr>
            <w:r w:rsidRPr="008A1DB9">
              <w:rPr>
                <w:rFonts w:ascii="Times New Roman" w:hAnsi="Times New Roman"/>
                <w:b/>
                <w:sz w:val="24"/>
                <w:u w:val="single"/>
              </w:rPr>
              <w:t xml:space="preserve">2.6 Paper in own portfolio maturing </w:t>
            </w:r>
          </w:p>
          <w:p w:rsidR="00AD794C" w:rsidRPr="006D290D" w:rsidRDefault="00743492" w:rsidP="00B00D6E">
            <w:pPr>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2B1FDF" w:rsidRPr="00CF7642">
              <w:rPr>
                <w:rStyle w:val="InstructionsTabelleberschrift"/>
                <w:rFonts w:ascii="Times New Roman" w:hAnsi="Times New Roman"/>
                <w:b w:val="0"/>
                <w:sz w:val="24"/>
                <w:u w:val="none"/>
                <w:lang w:eastAsia="de-DE"/>
              </w:rPr>
              <w:t xml:space="preserve"> amount of inflows reported in items 2.2 or 2.3 </w:t>
            </w:r>
            <w:r>
              <w:rPr>
                <w:rStyle w:val="InstructionsTabelleberschrift"/>
                <w:rFonts w:ascii="Times New Roman" w:hAnsi="Times New Roman"/>
                <w:b w:val="0"/>
                <w:sz w:val="24"/>
                <w:u w:val="none"/>
                <w:lang w:eastAsia="de-DE"/>
              </w:rPr>
              <w:t>which</w:t>
            </w:r>
            <w:r w:rsidR="002B1FDF" w:rsidRPr="00CF7642">
              <w:rPr>
                <w:rStyle w:val="InstructionsTabelleberschrift"/>
                <w:rFonts w:ascii="Times New Roman" w:hAnsi="Times New Roman"/>
                <w:b w:val="0"/>
                <w:sz w:val="24"/>
                <w:u w:val="none"/>
                <w:lang w:eastAsia="de-DE"/>
              </w:rPr>
              <w:t xml:space="preserve"> is principal repayment from</w:t>
            </w:r>
            <w:r w:rsidR="005332F1" w:rsidRPr="004B179E">
              <w:rPr>
                <w:rStyle w:val="InstructionsTabelleberschrift"/>
                <w:rFonts w:ascii="Times New Roman" w:hAnsi="Times New Roman"/>
                <w:b w:val="0"/>
                <w:sz w:val="24"/>
                <w:u w:val="none"/>
                <w:lang w:eastAsia="de-DE"/>
              </w:rPr>
              <w:t xml:space="preserve"> </w:t>
            </w:r>
            <w:r w:rsidR="00AD794C" w:rsidRPr="004B179E">
              <w:rPr>
                <w:rStyle w:val="InstructionsTabelleberschrift"/>
                <w:rFonts w:ascii="Times New Roman" w:hAnsi="Times New Roman"/>
                <w:b w:val="0"/>
                <w:sz w:val="24"/>
                <w:u w:val="none"/>
                <w:lang w:eastAsia="de-DE"/>
              </w:rPr>
              <w:t>own investments</w:t>
            </w:r>
            <w:r w:rsidR="00B37127">
              <w:rPr>
                <w:rStyle w:val="InstructionsTabelleberschrift"/>
                <w:rFonts w:ascii="Times New Roman" w:hAnsi="Times New Roman"/>
                <w:b w:val="0"/>
                <w:sz w:val="24"/>
                <w:u w:val="none"/>
                <w:lang w:eastAsia="de-DE"/>
              </w:rPr>
              <w:t xml:space="preserve"> due</w:t>
            </w:r>
            <w:r w:rsidR="00AD794C" w:rsidRPr="004B179E">
              <w:rPr>
                <w:rStyle w:val="InstructionsTabelleberschrift"/>
                <w:rFonts w:ascii="Times New Roman" w:hAnsi="Times New Roman"/>
                <w:b w:val="0"/>
                <w:sz w:val="24"/>
                <w:u w:val="none"/>
                <w:lang w:eastAsia="de-DE"/>
              </w:rPr>
              <w:t xml:space="preserve"> taken in bonds, reported according to their </w:t>
            </w:r>
            <w:r w:rsidR="002B1FDF" w:rsidRPr="00CF7642">
              <w:rPr>
                <w:rStyle w:val="InstructionsTabelleberschrift"/>
                <w:rFonts w:ascii="Times New Roman" w:hAnsi="Times New Roman"/>
                <w:b w:val="0"/>
                <w:sz w:val="24"/>
                <w:u w:val="none"/>
                <w:lang w:eastAsia="de-DE"/>
              </w:rPr>
              <w:t>residual</w:t>
            </w:r>
            <w:r w:rsidR="00912545">
              <w:rPr>
                <w:rStyle w:val="InstructionsTabelleberschrift"/>
                <w:rFonts w:ascii="Times New Roman" w:hAnsi="Times New Roman"/>
                <w:b w:val="0"/>
                <w:sz w:val="24"/>
                <w:u w:val="none"/>
                <w:lang w:eastAsia="de-DE"/>
              </w:rPr>
              <w:t xml:space="preserve"> </w:t>
            </w:r>
            <w:r w:rsidR="00AD794C" w:rsidRPr="00DB71B1">
              <w:rPr>
                <w:rStyle w:val="InstructionsTabelleberschrift"/>
                <w:rFonts w:ascii="Times New Roman" w:hAnsi="Times New Roman"/>
                <w:b w:val="0"/>
                <w:sz w:val="24"/>
                <w:u w:val="none"/>
                <w:lang w:eastAsia="de-DE"/>
              </w:rPr>
              <w:t>contractual m</w:t>
            </w:r>
            <w:r w:rsidR="00AD794C" w:rsidRPr="006D290D">
              <w:rPr>
                <w:rStyle w:val="InstructionsTabelleberschrift"/>
                <w:rFonts w:ascii="Times New Roman" w:hAnsi="Times New Roman"/>
                <w:b w:val="0"/>
                <w:sz w:val="24"/>
                <w:u w:val="none"/>
                <w:lang w:eastAsia="de-DE"/>
              </w:rPr>
              <w:t xml:space="preserve">aturity. </w:t>
            </w:r>
          </w:p>
          <w:p w:rsidR="00AD794C" w:rsidRPr="007974FD" w:rsidRDefault="00AD794C" w:rsidP="00B00D6E">
            <w:pPr>
              <w:jc w:val="left"/>
              <w:rPr>
                <w:rFonts w:ascii="Times New Roman" w:hAnsi="Times New Roman"/>
                <w:sz w:val="24"/>
                <w:u w:val="single"/>
              </w:rPr>
            </w:pP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970</w:t>
            </w:r>
          </w:p>
        </w:tc>
        <w:tc>
          <w:tcPr>
            <w:tcW w:w="7766" w:type="dxa"/>
            <w:gridSpan w:val="2"/>
            <w:shd w:val="clear" w:color="auto" w:fill="auto"/>
            <w:noWrap/>
          </w:tcPr>
          <w:p w:rsidR="00AD794C" w:rsidRPr="008A1DB9" w:rsidRDefault="002B1FDF" w:rsidP="00B00D6E">
            <w:pPr>
              <w:jc w:val="left"/>
              <w:rPr>
                <w:u w:val="single"/>
              </w:rPr>
            </w:pPr>
            <w:r w:rsidRPr="008D3C0F">
              <w:rPr>
                <w:rFonts w:ascii="Times New Roman" w:hAnsi="Times New Roman"/>
                <w:b/>
                <w:sz w:val="24"/>
                <w:u w:val="single"/>
              </w:rPr>
              <w:t xml:space="preserve">2.7 </w:t>
            </w:r>
            <w:r w:rsidR="004B179E" w:rsidRPr="008A1DB9">
              <w:rPr>
                <w:rFonts w:ascii="Times New Roman" w:hAnsi="Times New Roman"/>
                <w:b/>
                <w:sz w:val="24"/>
                <w:u w:val="single"/>
              </w:rPr>
              <w:t>Other cash inflows</w:t>
            </w:r>
            <w:r w:rsidR="00AD794C" w:rsidRPr="008A1DB9">
              <w:rPr>
                <w:u w:val="single"/>
              </w:rPr>
              <w:t xml:space="preserve"> </w:t>
            </w:r>
          </w:p>
          <w:p w:rsidR="00AD794C" w:rsidRPr="007974FD" w:rsidRDefault="00AD794C" w:rsidP="005D6BA8">
            <w:pPr>
              <w:jc w:val="left"/>
              <w:rPr>
                <w:rFonts w:ascii="Times New Roman" w:hAnsi="Times New Roman"/>
                <w:sz w:val="24"/>
                <w:u w:val="single"/>
              </w:rPr>
            </w:pPr>
            <w:r w:rsidRPr="00DB71B1">
              <w:rPr>
                <w:rStyle w:val="InstructionsTabelleberschrift"/>
                <w:rFonts w:ascii="Times New Roman" w:hAnsi="Times New Roman"/>
                <w:b w:val="0"/>
                <w:sz w:val="24"/>
                <w:u w:val="none"/>
                <w:lang w:eastAsia="de-DE"/>
              </w:rPr>
              <w:t>Total amount of all other cash inflows, not reported in items 2.1</w:t>
            </w:r>
            <w:r w:rsidR="006D290D">
              <w:rPr>
                <w:rStyle w:val="InstructionsTabelleberschrift"/>
                <w:rFonts w:ascii="Times New Roman" w:hAnsi="Times New Roman"/>
                <w:b w:val="0"/>
                <w:sz w:val="24"/>
                <w:u w:val="none"/>
                <w:lang w:eastAsia="de-DE"/>
              </w:rPr>
              <w:t>, 2.2, 2.3, 2.4</w:t>
            </w:r>
            <w:r w:rsidR="00342A05">
              <w:rPr>
                <w:rStyle w:val="InstructionsTabelleberschrift"/>
                <w:rFonts w:ascii="Times New Roman" w:hAnsi="Times New Roman"/>
                <w:b w:val="0"/>
                <w:sz w:val="24"/>
                <w:u w:val="none"/>
                <w:lang w:eastAsia="de-DE"/>
              </w:rPr>
              <w:t xml:space="preserve"> or 2.5</w:t>
            </w:r>
            <w:r w:rsidR="006D290D">
              <w:rPr>
                <w:rStyle w:val="InstructionsTabelleberschrift"/>
                <w:rFonts w:ascii="Times New Roman" w:hAnsi="Times New Roman"/>
                <w:b w:val="0"/>
                <w:sz w:val="24"/>
                <w:u w:val="none"/>
                <w:lang w:eastAsia="de-DE"/>
              </w:rPr>
              <w:t xml:space="preserve"> </w:t>
            </w:r>
            <w:r w:rsidRPr="00DB71B1">
              <w:rPr>
                <w:rStyle w:val="InstructionsTabelleberschrift"/>
                <w:rFonts w:ascii="Times New Roman" w:hAnsi="Times New Roman"/>
                <w:b w:val="0"/>
                <w:sz w:val="24"/>
                <w:u w:val="none"/>
                <w:lang w:eastAsia="de-DE"/>
              </w:rPr>
              <w:t>above</w:t>
            </w:r>
            <w:r w:rsidR="006D290D">
              <w:rPr>
                <w:rStyle w:val="InstructionsTabelleberschrift"/>
                <w:rFonts w:ascii="Times New Roman" w:hAnsi="Times New Roman"/>
                <w:b w:val="0"/>
                <w:sz w:val="24"/>
                <w:u w:val="none"/>
                <w:lang w:eastAsia="de-DE"/>
              </w:rPr>
              <w:t>.</w:t>
            </w:r>
          </w:p>
        </w:tc>
      </w:tr>
      <w:tr w:rsidR="000A65B1" w:rsidRPr="0040604D" w:rsidTr="0021066C">
        <w:trPr>
          <w:trHeight w:val="1134"/>
        </w:trPr>
        <w:tc>
          <w:tcPr>
            <w:tcW w:w="828" w:type="dxa"/>
            <w:vAlign w:val="center"/>
          </w:tcPr>
          <w:p w:rsidR="000A65B1" w:rsidRPr="009920BE" w:rsidRDefault="00166193" w:rsidP="009920BE">
            <w:pPr>
              <w:jc w:val="left"/>
              <w:rPr>
                <w:rFonts w:ascii="Times New Roman" w:hAnsi="Times New Roman"/>
                <w:sz w:val="24"/>
              </w:rPr>
            </w:pPr>
            <w:r>
              <w:rPr>
                <w:rFonts w:ascii="Times New Roman" w:hAnsi="Times New Roman"/>
                <w:sz w:val="24"/>
              </w:rPr>
              <w:t>980</w:t>
            </w:r>
          </w:p>
        </w:tc>
        <w:tc>
          <w:tcPr>
            <w:tcW w:w="7766" w:type="dxa"/>
            <w:gridSpan w:val="2"/>
            <w:shd w:val="clear" w:color="auto" w:fill="auto"/>
            <w:noWrap/>
          </w:tcPr>
          <w:p w:rsidR="00140ABC" w:rsidRDefault="00140ABC" w:rsidP="00140ABC">
            <w:pPr>
              <w:jc w:val="left"/>
              <w:rPr>
                <w:rFonts w:ascii="Times New Roman" w:hAnsi="Times New Roman"/>
                <w:b/>
                <w:sz w:val="24"/>
                <w:u w:val="single"/>
              </w:rPr>
            </w:pPr>
            <w:r>
              <w:rPr>
                <w:rFonts w:ascii="Times New Roman" w:hAnsi="Times New Roman"/>
                <w:b/>
                <w:sz w:val="24"/>
                <w:u w:val="single"/>
              </w:rPr>
              <w:t xml:space="preserve">2.7.1 </w:t>
            </w:r>
            <w:r w:rsidR="0009355B">
              <w:rPr>
                <w:rFonts w:ascii="Times New Roman" w:hAnsi="Times New Roman"/>
                <w:b/>
                <w:sz w:val="24"/>
                <w:u w:val="single"/>
              </w:rPr>
              <w:t>of which from</w:t>
            </w:r>
            <w:r>
              <w:rPr>
                <w:rFonts w:ascii="Times New Roman" w:hAnsi="Times New Roman"/>
                <w:b/>
                <w:sz w:val="24"/>
                <w:u w:val="single"/>
              </w:rPr>
              <w:t xml:space="preserve"> intragroup entities</w:t>
            </w:r>
          </w:p>
          <w:p w:rsidR="000A65B1" w:rsidRPr="007974FD" w:rsidRDefault="00743492" w:rsidP="00F34604">
            <w:pPr>
              <w:jc w:val="left"/>
              <w:rPr>
                <w:rFonts w:ascii="Times New Roman" w:hAnsi="Times New Roman"/>
                <w:sz w:val="24"/>
                <w:u w:val="single"/>
              </w:rPr>
            </w:pPr>
            <w:r>
              <w:rPr>
                <w:rFonts w:ascii="Times New Roman" w:hAnsi="Times New Roman"/>
                <w:sz w:val="24"/>
              </w:rPr>
              <w:t>The</w:t>
            </w:r>
            <w:r w:rsidR="00140ABC" w:rsidRPr="000C2B9F">
              <w:rPr>
                <w:rFonts w:ascii="Times New Roman" w:hAnsi="Times New Roman"/>
                <w:sz w:val="24"/>
              </w:rPr>
              <w:t xml:space="preserve"> amount of cash </w:t>
            </w:r>
            <w:r w:rsidR="00140ABC">
              <w:rPr>
                <w:rFonts w:ascii="Times New Roman" w:hAnsi="Times New Roman"/>
                <w:sz w:val="24"/>
              </w:rPr>
              <w:t>inflows reported in item 2</w:t>
            </w:r>
            <w:r w:rsidR="00140ABC" w:rsidRPr="000C2B9F">
              <w:rPr>
                <w:rFonts w:ascii="Times New Roman" w:hAnsi="Times New Roman"/>
                <w:sz w:val="24"/>
              </w:rPr>
              <w:t xml:space="preserve">.7 </w:t>
            </w:r>
            <w:r>
              <w:rPr>
                <w:rFonts w:ascii="Times New Roman" w:hAnsi="Times New Roman"/>
                <w:sz w:val="24"/>
              </w:rPr>
              <w:t>which</w:t>
            </w:r>
            <w:r w:rsidR="00140ABC" w:rsidRPr="000C2B9F">
              <w:rPr>
                <w:rFonts w:ascii="Times New Roman" w:hAnsi="Times New Roman"/>
                <w:sz w:val="24"/>
              </w:rPr>
              <w:t xml:space="preserve"> </w:t>
            </w:r>
            <w:r w:rsidR="00F34604">
              <w:rPr>
                <w:rFonts w:ascii="Times New Roman" w:hAnsi="Times New Roman"/>
                <w:sz w:val="24"/>
              </w:rPr>
              <w:t>is</w:t>
            </w:r>
            <w:r w:rsidR="0009355B">
              <w:rPr>
                <w:rFonts w:ascii="Times New Roman" w:hAnsi="Times New Roman"/>
                <w:sz w:val="24"/>
              </w:rPr>
              <w:t xml:space="preserve"> from</w:t>
            </w:r>
            <w:r w:rsidR="00140ABC" w:rsidRPr="000C2B9F">
              <w:rPr>
                <w:rFonts w:ascii="Times New Roman" w:hAnsi="Times New Roman"/>
                <w:sz w:val="24"/>
              </w:rPr>
              <w:t xml:space="preserve"> intragroup entities.</w:t>
            </w:r>
          </w:p>
        </w:tc>
      </w:tr>
      <w:tr w:rsidR="00AD794C" w:rsidRPr="0040604D" w:rsidTr="0021066C">
        <w:trPr>
          <w:trHeight w:val="1134"/>
        </w:trPr>
        <w:tc>
          <w:tcPr>
            <w:tcW w:w="828" w:type="dxa"/>
            <w:vAlign w:val="center"/>
          </w:tcPr>
          <w:p w:rsidR="00AD794C" w:rsidRPr="009920BE" w:rsidRDefault="00166193" w:rsidP="009920BE">
            <w:pPr>
              <w:jc w:val="left"/>
              <w:rPr>
                <w:rFonts w:ascii="Times New Roman" w:hAnsi="Times New Roman"/>
                <w:sz w:val="24"/>
              </w:rPr>
            </w:pPr>
            <w:r>
              <w:rPr>
                <w:rFonts w:ascii="Times New Roman" w:hAnsi="Times New Roman"/>
                <w:sz w:val="24"/>
              </w:rPr>
              <w:t>990</w:t>
            </w:r>
          </w:p>
        </w:tc>
        <w:tc>
          <w:tcPr>
            <w:tcW w:w="7766" w:type="dxa"/>
            <w:gridSpan w:val="2"/>
            <w:shd w:val="clear" w:color="auto" w:fill="auto"/>
            <w:noWrap/>
          </w:tcPr>
          <w:p w:rsidR="00AD794C" w:rsidRPr="0040604D" w:rsidRDefault="00AD794C" w:rsidP="00B00D6E">
            <w:pPr>
              <w:jc w:val="left"/>
              <w:rPr>
                <w:rFonts w:ascii="Times New Roman" w:hAnsi="Times New Roman"/>
                <w:b/>
                <w:sz w:val="24"/>
                <w:u w:val="single"/>
              </w:rPr>
            </w:pPr>
            <w:r w:rsidRPr="0040604D">
              <w:rPr>
                <w:rFonts w:ascii="Times New Roman" w:hAnsi="Times New Roman"/>
                <w:b/>
                <w:sz w:val="24"/>
                <w:u w:val="single"/>
              </w:rPr>
              <w:t>2.</w:t>
            </w:r>
            <w:r w:rsidR="006C24B8">
              <w:rPr>
                <w:rFonts w:ascii="Times New Roman" w:hAnsi="Times New Roman"/>
                <w:b/>
                <w:sz w:val="24"/>
                <w:u w:val="single"/>
              </w:rPr>
              <w:t>8</w:t>
            </w:r>
            <w:r w:rsidR="003E309A">
              <w:rPr>
                <w:rFonts w:ascii="Times New Roman" w:hAnsi="Times New Roman"/>
                <w:b/>
                <w:sz w:val="24"/>
                <w:u w:val="single"/>
              </w:rPr>
              <w:t xml:space="preserve"> </w:t>
            </w:r>
            <w:r w:rsidR="001E26C9">
              <w:rPr>
                <w:rFonts w:ascii="Times New Roman" w:hAnsi="Times New Roman"/>
                <w:b/>
                <w:sz w:val="24"/>
                <w:u w:val="single"/>
              </w:rPr>
              <w:t xml:space="preserve">Of which: </w:t>
            </w:r>
            <w:r w:rsidR="004B179E">
              <w:rPr>
                <w:rFonts w:ascii="Times New Roman" w:hAnsi="Times New Roman"/>
                <w:b/>
                <w:sz w:val="24"/>
                <w:u w:val="single"/>
              </w:rPr>
              <w:t>I</w:t>
            </w:r>
            <w:r w:rsidRPr="0040604D">
              <w:rPr>
                <w:rFonts w:ascii="Times New Roman" w:hAnsi="Times New Roman"/>
                <w:b/>
                <w:sz w:val="24"/>
                <w:u w:val="single"/>
              </w:rPr>
              <w:t>nterest flows received</w:t>
            </w:r>
          </w:p>
          <w:p w:rsidR="00B42738" w:rsidRDefault="00743492" w:rsidP="00F34D51">
            <w:pPr>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B42738">
              <w:rPr>
                <w:rStyle w:val="InstructionsTabelleberschrift"/>
                <w:rFonts w:ascii="Times New Roman" w:hAnsi="Times New Roman"/>
                <w:b w:val="0"/>
                <w:sz w:val="24"/>
                <w:u w:val="none"/>
                <w:lang w:eastAsia="de-DE"/>
              </w:rPr>
              <w:t xml:space="preserve"> amount of inflows reported in 2.1, 2.2, 2.3, 2.4, 2.5 and 2.7 </w:t>
            </w:r>
            <w:r>
              <w:rPr>
                <w:rStyle w:val="InstructionsTabelleberschrift"/>
                <w:rFonts w:ascii="Times New Roman" w:hAnsi="Times New Roman"/>
                <w:b w:val="0"/>
                <w:sz w:val="24"/>
                <w:u w:val="none"/>
                <w:lang w:eastAsia="de-DE"/>
              </w:rPr>
              <w:t>which</w:t>
            </w:r>
            <w:r w:rsidR="00B42738">
              <w:rPr>
                <w:rStyle w:val="InstructionsTabelleberschrift"/>
                <w:rFonts w:ascii="Times New Roman" w:hAnsi="Times New Roman"/>
                <w:b w:val="0"/>
                <w:sz w:val="24"/>
                <w:u w:val="none"/>
                <w:lang w:eastAsia="de-DE"/>
              </w:rPr>
              <w:t xml:space="preserve"> is total amount of interest inflows due on all interest bearing items.</w:t>
            </w:r>
          </w:p>
          <w:p w:rsidR="00AD794C" w:rsidRPr="0040604D" w:rsidRDefault="008263F9" w:rsidP="00F34D51">
            <w:pPr>
              <w:rPr>
                <w:rFonts w:ascii="Times New Roman" w:hAnsi="Times New Roman"/>
                <w:b/>
                <w:sz w:val="24"/>
                <w:u w:val="single"/>
              </w:rPr>
            </w:pPr>
            <w:r>
              <w:rPr>
                <w:rStyle w:val="InstructionsTabelleberschrift"/>
                <w:rFonts w:ascii="Times New Roman" w:hAnsi="Times New Roman"/>
                <w:b w:val="0"/>
                <w:sz w:val="24"/>
                <w:u w:val="none"/>
                <w:lang w:eastAsia="de-DE"/>
              </w:rPr>
              <w:t>Total amount</w:t>
            </w:r>
            <w:r w:rsidR="00AD794C" w:rsidRPr="0040604D">
              <w:rPr>
                <w:rStyle w:val="InstructionsTabelleberschrift"/>
                <w:rFonts w:ascii="Times New Roman" w:hAnsi="Times New Roman"/>
                <w:b w:val="0"/>
                <w:sz w:val="24"/>
                <w:u w:val="none"/>
                <w:lang w:eastAsia="de-DE"/>
              </w:rPr>
              <w:t xml:space="preserve"> of all interest inflows due on interest bearing instruments shall be aggregated and reported here.</w:t>
            </w:r>
          </w:p>
        </w:tc>
      </w:tr>
      <w:tr w:rsidR="006C24B8" w:rsidRPr="0040604D" w:rsidTr="0021066C">
        <w:trPr>
          <w:trHeight w:val="1134"/>
        </w:trPr>
        <w:tc>
          <w:tcPr>
            <w:tcW w:w="828" w:type="dxa"/>
            <w:vAlign w:val="center"/>
          </w:tcPr>
          <w:p w:rsidR="006C24B8" w:rsidRPr="009920BE" w:rsidRDefault="00166193" w:rsidP="009920BE">
            <w:pPr>
              <w:jc w:val="left"/>
              <w:rPr>
                <w:rFonts w:ascii="Times New Roman" w:hAnsi="Times New Roman"/>
                <w:sz w:val="24"/>
              </w:rPr>
            </w:pPr>
            <w:r>
              <w:rPr>
                <w:rFonts w:ascii="Times New Roman" w:hAnsi="Times New Roman"/>
                <w:sz w:val="24"/>
              </w:rPr>
              <w:t>1000</w:t>
            </w:r>
          </w:p>
        </w:tc>
        <w:tc>
          <w:tcPr>
            <w:tcW w:w="7766" w:type="dxa"/>
            <w:gridSpan w:val="2"/>
            <w:shd w:val="clear" w:color="auto" w:fill="auto"/>
            <w:noWrap/>
          </w:tcPr>
          <w:p w:rsidR="006C24B8" w:rsidRDefault="006C24B8" w:rsidP="006C24B8">
            <w:pPr>
              <w:jc w:val="left"/>
              <w:rPr>
                <w:rFonts w:ascii="Times New Roman" w:hAnsi="Times New Roman"/>
                <w:b/>
                <w:sz w:val="24"/>
                <w:u w:val="single"/>
              </w:rPr>
            </w:pPr>
            <w:r w:rsidRPr="0040604D">
              <w:rPr>
                <w:rFonts w:ascii="Times New Roman" w:hAnsi="Times New Roman"/>
                <w:b/>
                <w:sz w:val="24"/>
                <w:u w:val="single"/>
              </w:rPr>
              <w:t>2.</w:t>
            </w:r>
            <w:r>
              <w:rPr>
                <w:rFonts w:ascii="Times New Roman" w:hAnsi="Times New Roman"/>
                <w:b/>
                <w:sz w:val="24"/>
                <w:u w:val="single"/>
              </w:rPr>
              <w:t>8.1 of which from intragroup entities</w:t>
            </w:r>
          </w:p>
          <w:p w:rsidR="006C24B8" w:rsidRPr="005F63A9" w:rsidRDefault="00743492" w:rsidP="006C24B8">
            <w:pPr>
              <w:jc w:val="left"/>
              <w:rPr>
                <w:rFonts w:ascii="Times New Roman" w:hAnsi="Times New Roman"/>
                <w:sz w:val="24"/>
              </w:rPr>
            </w:pPr>
            <w:r>
              <w:rPr>
                <w:rFonts w:ascii="Times New Roman" w:hAnsi="Times New Roman"/>
                <w:sz w:val="24"/>
              </w:rPr>
              <w:t>The</w:t>
            </w:r>
            <w:r w:rsidR="006C24B8" w:rsidRPr="005F63A9">
              <w:rPr>
                <w:rFonts w:ascii="Times New Roman" w:hAnsi="Times New Roman"/>
                <w:sz w:val="24"/>
              </w:rPr>
              <w:t xml:space="preserve"> amount of inflows reported in item 2.</w:t>
            </w:r>
            <w:r w:rsidR="00C62E8E">
              <w:rPr>
                <w:rFonts w:ascii="Times New Roman" w:hAnsi="Times New Roman"/>
                <w:sz w:val="24"/>
              </w:rPr>
              <w:t>8</w:t>
            </w:r>
            <w:r w:rsidR="006C24B8" w:rsidRPr="005F63A9">
              <w:rPr>
                <w:rFonts w:ascii="Times New Roman" w:hAnsi="Times New Roman"/>
                <w:sz w:val="24"/>
              </w:rPr>
              <w:t>.</w:t>
            </w:r>
            <w:r w:rsidR="00C62E8E">
              <w:rPr>
                <w:rFonts w:ascii="Times New Roman" w:hAnsi="Times New Roman"/>
                <w:sz w:val="24"/>
              </w:rPr>
              <w:t>1</w:t>
            </w:r>
            <w:r w:rsidR="006C24B8" w:rsidRPr="005F63A9">
              <w:rPr>
                <w:rFonts w:ascii="Times New Roman" w:hAnsi="Times New Roman"/>
                <w:sz w:val="24"/>
              </w:rPr>
              <w:t xml:space="preserve"> </w:t>
            </w:r>
            <w:r>
              <w:rPr>
                <w:rFonts w:ascii="Times New Roman" w:hAnsi="Times New Roman"/>
                <w:sz w:val="24"/>
              </w:rPr>
              <w:t>which</w:t>
            </w:r>
            <w:r w:rsidR="006C24B8" w:rsidRPr="005F63A9">
              <w:rPr>
                <w:rFonts w:ascii="Times New Roman" w:hAnsi="Times New Roman"/>
                <w:sz w:val="24"/>
              </w:rPr>
              <w:t xml:space="preserve"> is from intragroup entities. </w:t>
            </w:r>
          </w:p>
        </w:tc>
      </w:tr>
      <w:tr w:rsidR="00C94E5E" w:rsidRPr="0040604D" w:rsidTr="0021066C">
        <w:trPr>
          <w:trHeight w:val="1134"/>
        </w:trPr>
        <w:tc>
          <w:tcPr>
            <w:tcW w:w="828" w:type="dxa"/>
            <w:vAlign w:val="center"/>
          </w:tcPr>
          <w:p w:rsidR="00C94E5E" w:rsidRPr="009920BE" w:rsidRDefault="00166193" w:rsidP="009920BE">
            <w:pPr>
              <w:jc w:val="left"/>
              <w:rPr>
                <w:rFonts w:ascii="Times New Roman" w:hAnsi="Times New Roman"/>
                <w:sz w:val="24"/>
              </w:rPr>
            </w:pPr>
            <w:r>
              <w:rPr>
                <w:rFonts w:ascii="Times New Roman" w:hAnsi="Times New Roman"/>
                <w:sz w:val="24"/>
              </w:rPr>
              <w:t>1010</w:t>
            </w:r>
          </w:p>
        </w:tc>
        <w:tc>
          <w:tcPr>
            <w:tcW w:w="7766" w:type="dxa"/>
            <w:gridSpan w:val="2"/>
            <w:shd w:val="clear" w:color="auto" w:fill="auto"/>
            <w:noWrap/>
          </w:tcPr>
          <w:p w:rsidR="00C94E5E" w:rsidRDefault="00C94E5E" w:rsidP="006C24B8">
            <w:pPr>
              <w:jc w:val="left"/>
              <w:rPr>
                <w:rFonts w:ascii="Times New Roman" w:hAnsi="Times New Roman"/>
                <w:b/>
                <w:sz w:val="24"/>
                <w:u w:val="single"/>
              </w:rPr>
            </w:pPr>
            <w:r>
              <w:rPr>
                <w:rFonts w:ascii="Times New Roman" w:hAnsi="Times New Roman"/>
                <w:b/>
                <w:sz w:val="24"/>
                <w:u w:val="single"/>
              </w:rPr>
              <w:t>2.9 Total inflows</w:t>
            </w:r>
          </w:p>
          <w:p w:rsidR="00C94E5E" w:rsidRPr="00C94E5E" w:rsidRDefault="00330661" w:rsidP="00342A05">
            <w:pPr>
              <w:jc w:val="left"/>
              <w:rPr>
                <w:rFonts w:ascii="Times New Roman" w:hAnsi="Times New Roman"/>
                <w:sz w:val="24"/>
              </w:rPr>
            </w:pPr>
            <w:r>
              <w:rPr>
                <w:rFonts w:ascii="Times New Roman" w:hAnsi="Times New Roman"/>
                <w:sz w:val="24"/>
              </w:rPr>
              <w:t>Sum</w:t>
            </w:r>
            <w:r w:rsidR="00C94E5E" w:rsidRPr="00C94E5E">
              <w:rPr>
                <w:rFonts w:ascii="Times New Roman" w:hAnsi="Times New Roman"/>
                <w:sz w:val="24"/>
              </w:rPr>
              <w:t xml:space="preserve"> of inflows reported in items 2.1, 2.2, 2.3, 2.4</w:t>
            </w:r>
            <w:r w:rsidR="00342A05">
              <w:rPr>
                <w:rFonts w:ascii="Times New Roman" w:hAnsi="Times New Roman"/>
                <w:sz w:val="24"/>
              </w:rPr>
              <w:t>,</w:t>
            </w:r>
            <w:r w:rsidR="00C94E5E" w:rsidRPr="00C94E5E">
              <w:rPr>
                <w:rFonts w:ascii="Times New Roman" w:hAnsi="Times New Roman"/>
                <w:sz w:val="24"/>
              </w:rPr>
              <w:t xml:space="preserve"> 2.5</w:t>
            </w:r>
            <w:r w:rsidR="00342A05">
              <w:rPr>
                <w:rFonts w:ascii="Times New Roman" w:hAnsi="Times New Roman"/>
                <w:sz w:val="24"/>
              </w:rPr>
              <w:t xml:space="preserve"> and 2.7</w:t>
            </w:r>
            <w:r w:rsidR="00C94E5E" w:rsidRPr="00C94E5E">
              <w:rPr>
                <w:rFonts w:ascii="Times New Roman" w:hAnsi="Times New Roman"/>
                <w:sz w:val="24"/>
              </w:rPr>
              <w:t xml:space="preserve">. </w:t>
            </w:r>
          </w:p>
        </w:tc>
      </w:tr>
      <w:tr w:rsidR="00055892" w:rsidRPr="0040604D" w:rsidTr="0021066C">
        <w:trPr>
          <w:trHeight w:val="1134"/>
        </w:trPr>
        <w:tc>
          <w:tcPr>
            <w:tcW w:w="828" w:type="dxa"/>
            <w:vAlign w:val="center"/>
          </w:tcPr>
          <w:p w:rsidR="00055892" w:rsidRPr="009920BE" w:rsidRDefault="00166193" w:rsidP="009920BE">
            <w:pPr>
              <w:jc w:val="left"/>
              <w:rPr>
                <w:rFonts w:ascii="Times New Roman" w:hAnsi="Times New Roman"/>
                <w:sz w:val="24"/>
              </w:rPr>
            </w:pPr>
            <w:r>
              <w:rPr>
                <w:rFonts w:ascii="Times New Roman" w:hAnsi="Times New Roman"/>
                <w:sz w:val="24"/>
              </w:rPr>
              <w:t>1020</w:t>
            </w:r>
          </w:p>
        </w:tc>
        <w:tc>
          <w:tcPr>
            <w:tcW w:w="7766" w:type="dxa"/>
            <w:gridSpan w:val="2"/>
            <w:shd w:val="clear" w:color="auto" w:fill="auto"/>
            <w:noWrap/>
          </w:tcPr>
          <w:p w:rsidR="00055892" w:rsidRDefault="00055892" w:rsidP="00055892">
            <w:pPr>
              <w:jc w:val="left"/>
              <w:rPr>
                <w:rFonts w:ascii="Times New Roman" w:hAnsi="Times New Roman"/>
                <w:b/>
                <w:sz w:val="24"/>
                <w:u w:val="single"/>
              </w:rPr>
            </w:pPr>
            <w:r>
              <w:rPr>
                <w:rFonts w:ascii="Times New Roman" w:hAnsi="Times New Roman"/>
                <w:b/>
                <w:sz w:val="24"/>
                <w:u w:val="single"/>
              </w:rPr>
              <w:t>2.10 Net funding gap</w:t>
            </w:r>
          </w:p>
          <w:p w:rsidR="00055892" w:rsidRPr="00055892" w:rsidRDefault="008B0347" w:rsidP="0005541B">
            <w:pPr>
              <w:jc w:val="left"/>
              <w:rPr>
                <w:rFonts w:ascii="Times New Roman" w:hAnsi="Times New Roman"/>
                <w:sz w:val="24"/>
              </w:rPr>
            </w:pPr>
            <w:r>
              <w:rPr>
                <w:rFonts w:ascii="Times New Roman" w:hAnsi="Times New Roman"/>
                <w:sz w:val="24"/>
              </w:rPr>
              <w:t xml:space="preserve">Total </w:t>
            </w:r>
            <w:r w:rsidR="0005541B">
              <w:rPr>
                <w:rFonts w:ascii="Times New Roman" w:hAnsi="Times New Roman"/>
                <w:sz w:val="24"/>
              </w:rPr>
              <w:t xml:space="preserve">Inflows reported in item 2.9 less </w:t>
            </w:r>
            <w:r>
              <w:rPr>
                <w:rFonts w:ascii="Times New Roman" w:hAnsi="Times New Roman"/>
                <w:sz w:val="24"/>
              </w:rPr>
              <w:t xml:space="preserve">total </w:t>
            </w:r>
            <w:r w:rsidR="0005541B">
              <w:rPr>
                <w:rFonts w:ascii="Times New Roman" w:hAnsi="Times New Roman"/>
                <w:sz w:val="24"/>
              </w:rPr>
              <w:t xml:space="preserve">outflows reported in item 1.9. </w:t>
            </w:r>
          </w:p>
        </w:tc>
      </w:tr>
      <w:tr w:rsidR="00743F7E" w:rsidRPr="0040604D" w:rsidTr="0021066C">
        <w:trPr>
          <w:trHeight w:val="1134"/>
        </w:trPr>
        <w:tc>
          <w:tcPr>
            <w:tcW w:w="828" w:type="dxa"/>
            <w:vAlign w:val="center"/>
          </w:tcPr>
          <w:p w:rsidR="00743F7E" w:rsidRPr="009920BE" w:rsidRDefault="00166193" w:rsidP="009920BE">
            <w:pPr>
              <w:jc w:val="left"/>
              <w:rPr>
                <w:rFonts w:ascii="Times New Roman" w:hAnsi="Times New Roman"/>
                <w:sz w:val="24"/>
              </w:rPr>
            </w:pPr>
            <w:r>
              <w:rPr>
                <w:rFonts w:ascii="Times New Roman" w:hAnsi="Times New Roman"/>
                <w:sz w:val="24"/>
              </w:rPr>
              <w:t>1030</w:t>
            </w:r>
          </w:p>
        </w:tc>
        <w:tc>
          <w:tcPr>
            <w:tcW w:w="7766" w:type="dxa"/>
            <w:gridSpan w:val="2"/>
            <w:shd w:val="clear" w:color="auto" w:fill="auto"/>
            <w:noWrap/>
          </w:tcPr>
          <w:p w:rsidR="00743F7E" w:rsidRDefault="00743F7E" w:rsidP="00743F7E">
            <w:pPr>
              <w:jc w:val="left"/>
              <w:rPr>
                <w:rFonts w:ascii="Times New Roman" w:hAnsi="Times New Roman"/>
                <w:b/>
                <w:sz w:val="24"/>
                <w:u w:val="single"/>
              </w:rPr>
            </w:pPr>
            <w:r>
              <w:rPr>
                <w:rFonts w:ascii="Times New Roman" w:hAnsi="Times New Roman"/>
                <w:b/>
                <w:sz w:val="24"/>
                <w:u w:val="single"/>
              </w:rPr>
              <w:t>2.1</w:t>
            </w:r>
            <w:r w:rsidR="000516AE">
              <w:rPr>
                <w:rFonts w:ascii="Times New Roman" w:hAnsi="Times New Roman"/>
                <w:b/>
                <w:sz w:val="24"/>
                <w:u w:val="single"/>
              </w:rPr>
              <w:t>1</w:t>
            </w:r>
            <w:r>
              <w:rPr>
                <w:rFonts w:ascii="Times New Roman" w:hAnsi="Times New Roman"/>
                <w:b/>
                <w:sz w:val="24"/>
                <w:u w:val="single"/>
              </w:rPr>
              <w:t xml:space="preserve"> Cumulated net funding gap</w:t>
            </w:r>
          </w:p>
          <w:p w:rsidR="000858D4" w:rsidRDefault="000858D4" w:rsidP="000858D4">
            <w:pPr>
              <w:spacing w:before="0" w:after="0"/>
              <w:jc w:val="left"/>
              <w:rPr>
                <w:rFonts w:ascii="Times New Roman" w:hAnsi="Times New Roman"/>
                <w:sz w:val="24"/>
                <w:lang w:eastAsia="en-GB"/>
              </w:rPr>
            </w:pPr>
            <w:r>
              <w:rPr>
                <w:rFonts w:ascii="Times New Roman" w:hAnsi="Times New Roman"/>
                <w:sz w:val="24"/>
                <w:lang w:eastAsia="en-GB"/>
              </w:rPr>
              <w:t xml:space="preserve">Cumulated net funding gap from </w:t>
            </w:r>
            <w:r w:rsidR="00A312A7">
              <w:rPr>
                <w:rFonts w:ascii="Times New Roman" w:hAnsi="Times New Roman"/>
                <w:sz w:val="24"/>
                <w:lang w:eastAsia="en-GB"/>
              </w:rPr>
              <w:t>reporting date</w:t>
            </w:r>
            <w:r>
              <w:rPr>
                <w:rFonts w:ascii="Times New Roman" w:hAnsi="Times New Roman"/>
                <w:sz w:val="24"/>
                <w:lang w:eastAsia="en-GB"/>
              </w:rPr>
              <w:t xml:space="preserve"> to the upper limit of a relevant time bucket. </w:t>
            </w:r>
          </w:p>
          <w:p w:rsidR="00743F7E" w:rsidRPr="00743F7E" w:rsidRDefault="00743F7E" w:rsidP="00743F7E">
            <w:pPr>
              <w:jc w:val="left"/>
              <w:rPr>
                <w:rFonts w:ascii="Times New Roman" w:hAnsi="Times New Roman"/>
                <w:sz w:val="24"/>
              </w:rPr>
            </w:pPr>
          </w:p>
        </w:tc>
      </w:tr>
      <w:tr w:rsidR="00AD794C" w:rsidRPr="0040604D" w:rsidTr="0021066C">
        <w:trPr>
          <w:gridAfter w:val="1"/>
          <w:wAfter w:w="26" w:type="dxa"/>
          <w:trHeight w:val="270"/>
        </w:trPr>
        <w:tc>
          <w:tcPr>
            <w:tcW w:w="828" w:type="dxa"/>
            <w:shd w:val="clear" w:color="auto" w:fill="E6E6E6"/>
            <w:vAlign w:val="center"/>
          </w:tcPr>
          <w:p w:rsidR="00AD794C" w:rsidRPr="009920BE" w:rsidRDefault="00166193" w:rsidP="009920BE">
            <w:pPr>
              <w:jc w:val="left"/>
              <w:rPr>
                <w:rFonts w:ascii="Times New Roman" w:hAnsi="Times New Roman"/>
                <w:sz w:val="24"/>
              </w:rPr>
            </w:pPr>
            <w:r>
              <w:rPr>
                <w:rFonts w:ascii="Times New Roman" w:hAnsi="Times New Roman"/>
                <w:sz w:val="24"/>
              </w:rPr>
              <w:t>1040-1420</w:t>
            </w:r>
          </w:p>
        </w:tc>
        <w:tc>
          <w:tcPr>
            <w:tcW w:w="7740" w:type="dxa"/>
            <w:shd w:val="clear" w:color="auto" w:fill="E6E6E6"/>
            <w:noWrap/>
            <w:vAlign w:val="bottom"/>
          </w:tcPr>
          <w:p w:rsidR="00AD794C" w:rsidRPr="0040604D" w:rsidRDefault="00AD794C" w:rsidP="00ED6567">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 COUNTERBALANCING CAPACITY</w:t>
            </w:r>
            <w:r w:rsidRPr="0040604D">
              <w:rPr>
                <w:rStyle w:val="InstructionsTabelleberschrift"/>
                <w:rFonts w:ascii="Times New Roman" w:hAnsi="Times New Roman"/>
                <w:sz w:val="24"/>
                <w:lang w:eastAsia="de-DE"/>
              </w:rPr>
              <w:br/>
            </w:r>
          </w:p>
          <w:p w:rsidR="00AD794C" w:rsidRDefault="00AD794C" w:rsidP="00045FD6">
            <w:pPr>
              <w:spacing w:before="0" w:after="0"/>
              <w:jc w:val="left"/>
              <w:rPr>
                <w:rFonts w:ascii="Times New Roman" w:hAnsi="Times New Roman"/>
                <w:sz w:val="24"/>
                <w:lang w:val="en-US"/>
              </w:rPr>
            </w:pPr>
            <w:r w:rsidRPr="0040604D">
              <w:rPr>
                <w:rFonts w:ascii="Times New Roman" w:hAnsi="Times New Roman"/>
                <w:sz w:val="24"/>
                <w:lang w:val="en-US"/>
              </w:rPr>
              <w:t>The ’Counterbalancing Capacity’ of the contractual template contains information on the development of the institutions holdings of assets</w:t>
            </w:r>
            <w:r w:rsidR="005D32F6">
              <w:rPr>
                <w:rFonts w:ascii="Times New Roman" w:hAnsi="Times New Roman"/>
                <w:sz w:val="24"/>
                <w:lang w:val="en-US"/>
              </w:rPr>
              <w:t xml:space="preserve"> </w:t>
            </w:r>
            <w:r w:rsidR="004C0945">
              <w:rPr>
                <w:rFonts w:ascii="Times New Roman" w:hAnsi="Times New Roman"/>
                <w:sz w:val="24"/>
                <w:lang w:val="en-US"/>
              </w:rPr>
              <w:t>of a certain liquidity</w:t>
            </w:r>
            <w:r w:rsidR="003E309A">
              <w:rPr>
                <w:rFonts w:ascii="Times New Roman" w:hAnsi="Times New Roman"/>
                <w:sz w:val="24"/>
                <w:lang w:val="en-US"/>
              </w:rPr>
              <w:t xml:space="preserve"> </w:t>
            </w:r>
            <w:r w:rsidR="000516AE">
              <w:rPr>
                <w:rFonts w:ascii="Times New Roman" w:hAnsi="Times New Roman"/>
                <w:sz w:val="24"/>
                <w:lang w:val="en-US"/>
              </w:rPr>
              <w:t xml:space="preserve">together with </w:t>
            </w:r>
            <w:r w:rsidR="005D32F6">
              <w:rPr>
                <w:rFonts w:ascii="Times New Roman" w:hAnsi="Times New Roman"/>
                <w:sz w:val="24"/>
                <w:lang w:val="en-US"/>
              </w:rPr>
              <w:t>credit lines</w:t>
            </w:r>
            <w:r w:rsidR="004C0945">
              <w:rPr>
                <w:rFonts w:ascii="Times New Roman" w:hAnsi="Times New Roman"/>
                <w:sz w:val="24"/>
                <w:lang w:val="en-US"/>
              </w:rPr>
              <w:t xml:space="preserve"> </w:t>
            </w:r>
            <w:r w:rsidR="000516AE">
              <w:rPr>
                <w:rFonts w:ascii="Times New Roman" w:hAnsi="Times New Roman"/>
                <w:sz w:val="24"/>
                <w:lang w:val="en-US"/>
              </w:rPr>
              <w:t>contractually committed</w:t>
            </w:r>
            <w:r w:rsidR="003E309A">
              <w:rPr>
                <w:rFonts w:ascii="Times New Roman" w:hAnsi="Times New Roman"/>
                <w:sz w:val="24"/>
                <w:lang w:val="en-US"/>
              </w:rPr>
              <w:t xml:space="preserve"> </w:t>
            </w:r>
            <w:r w:rsidR="000516AE">
              <w:rPr>
                <w:rFonts w:ascii="Times New Roman" w:hAnsi="Times New Roman"/>
                <w:sz w:val="24"/>
                <w:lang w:val="en-US"/>
              </w:rPr>
              <w:t>to</w:t>
            </w:r>
            <w:r w:rsidR="004C0945">
              <w:rPr>
                <w:rFonts w:ascii="Times New Roman" w:hAnsi="Times New Roman"/>
                <w:sz w:val="24"/>
                <w:lang w:val="en-US"/>
              </w:rPr>
              <w:t xml:space="preserve"> the institution</w:t>
            </w:r>
            <w:r w:rsidRPr="0040604D">
              <w:rPr>
                <w:rFonts w:ascii="Times New Roman" w:hAnsi="Times New Roman"/>
                <w:sz w:val="24"/>
                <w:lang w:val="en-US"/>
              </w:rPr>
              <w:t>.</w:t>
            </w:r>
          </w:p>
          <w:p w:rsidR="000516AE" w:rsidRPr="0040604D" w:rsidRDefault="000516AE" w:rsidP="00045FD6">
            <w:pPr>
              <w:spacing w:before="0" w:after="0"/>
              <w:jc w:val="left"/>
              <w:rPr>
                <w:rFonts w:ascii="Times New Roman" w:hAnsi="Times New Roman"/>
                <w:sz w:val="24"/>
                <w:lang w:val="en-US"/>
              </w:rPr>
            </w:pPr>
          </w:p>
          <w:p w:rsidR="00AD794C" w:rsidRPr="0040604D" w:rsidRDefault="00AD794C" w:rsidP="005048E9">
            <w:pPr>
              <w:pStyle w:val="InstructionsText2"/>
              <w:numPr>
                <w:ilvl w:val="0"/>
                <w:numId w:val="0"/>
              </w:numPr>
              <w:rPr>
                <w:sz w:val="24"/>
                <w:szCs w:val="24"/>
                <w:u w:val="none"/>
                <w:lang w:eastAsia="fr-FR"/>
              </w:rPr>
            </w:pPr>
            <w:r w:rsidRPr="0040604D">
              <w:rPr>
                <w:sz w:val="24"/>
                <w:szCs w:val="24"/>
                <w:u w:val="none"/>
                <w:lang w:val="en-US"/>
              </w:rPr>
              <w:t xml:space="preserve">In case of a reporting at a consolidated level, the rules of central bank eligibility which apply to each consolidated institution in its jurisdiction are </w:t>
            </w:r>
            <w:r w:rsidRPr="0040604D">
              <w:rPr>
                <w:sz w:val="24"/>
                <w:szCs w:val="24"/>
                <w:u w:val="none"/>
                <w:lang w:val="en-US"/>
              </w:rPr>
              <w:lastRenderedPageBreak/>
              <w:t>taken into account.</w:t>
            </w:r>
          </w:p>
          <w:p w:rsidR="00AD794C" w:rsidRPr="0040604D" w:rsidRDefault="00AD794C" w:rsidP="005048E9">
            <w:pPr>
              <w:pStyle w:val="InstructionsText2"/>
              <w:numPr>
                <w:ilvl w:val="0"/>
                <w:numId w:val="0"/>
              </w:numPr>
              <w:rPr>
                <w:sz w:val="24"/>
                <w:szCs w:val="24"/>
                <w:u w:val="none"/>
                <w:lang w:eastAsia="fr-FR"/>
              </w:rPr>
            </w:pPr>
            <w:r w:rsidRPr="0040604D">
              <w:rPr>
                <w:sz w:val="24"/>
                <w:szCs w:val="24"/>
                <w:u w:val="none"/>
                <w:lang w:val="en-US" w:eastAsia="fr-FR"/>
              </w:rPr>
              <w:t>The counterbalancing capacity contains tradable assets (row 3.</w:t>
            </w:r>
            <w:r w:rsidR="00F77C11">
              <w:rPr>
                <w:sz w:val="24"/>
                <w:szCs w:val="24"/>
                <w:u w:val="none"/>
                <w:lang w:val="en-US" w:eastAsia="fr-FR"/>
              </w:rPr>
              <w:t>3</w:t>
            </w:r>
            <w:r w:rsidRPr="0040604D">
              <w:rPr>
                <w:sz w:val="24"/>
                <w:szCs w:val="24"/>
                <w:u w:val="none"/>
                <w:lang w:val="en-US" w:eastAsia="fr-FR"/>
              </w:rPr>
              <w:t>) which designate assets that</w:t>
            </w:r>
            <w:r w:rsidRPr="0040604D">
              <w:rPr>
                <w:sz w:val="24"/>
                <w:szCs w:val="24"/>
                <w:u w:val="none"/>
              </w:rPr>
              <w:t xml:space="preserve"> shall be traded in large, deep and active repo or cash markets characterised by a low level of concentration. </w:t>
            </w:r>
            <w:r w:rsidR="00A12578" w:rsidRPr="008A1DB9">
              <w:rPr>
                <w:sz w:val="24"/>
                <w:szCs w:val="24"/>
                <w:u w:val="none"/>
              </w:rPr>
              <w:t>Tradable</w:t>
            </w:r>
            <w:r w:rsidRPr="0040604D">
              <w:rPr>
                <w:sz w:val="24"/>
                <w:szCs w:val="24"/>
                <w:u w:val="none"/>
              </w:rPr>
              <w:t xml:space="preserve"> assets shall have a proven record as reliable source</w:t>
            </w:r>
            <w:r w:rsidR="00B42738">
              <w:rPr>
                <w:sz w:val="24"/>
                <w:szCs w:val="24"/>
                <w:u w:val="none"/>
              </w:rPr>
              <w:t>s</w:t>
            </w:r>
            <w:r w:rsidRPr="0040604D">
              <w:rPr>
                <w:sz w:val="24"/>
                <w:szCs w:val="24"/>
                <w:u w:val="none"/>
              </w:rPr>
              <w:t xml:space="preserve"> of liquidity in the markets (repo or sale) even during stressed market conditions.</w:t>
            </w:r>
          </w:p>
          <w:p w:rsidR="00AD794C" w:rsidRPr="0040604D" w:rsidRDefault="00AD794C" w:rsidP="005048E9">
            <w:pPr>
              <w:pStyle w:val="InstructionsText2"/>
              <w:numPr>
                <w:ilvl w:val="0"/>
                <w:numId w:val="0"/>
              </w:numPr>
              <w:rPr>
                <w:sz w:val="24"/>
                <w:szCs w:val="24"/>
                <w:u w:val="none"/>
                <w:lang w:val="en-US"/>
              </w:rPr>
            </w:pPr>
            <w:r w:rsidRPr="0040604D">
              <w:rPr>
                <w:sz w:val="24"/>
                <w:szCs w:val="24"/>
                <w:u w:val="none"/>
                <w:lang w:val="en-US"/>
              </w:rPr>
              <w:t>Assets reported in the columns of the counterbalancing capacity must be unencumbered.</w:t>
            </w:r>
          </w:p>
          <w:p w:rsidR="00AD794C" w:rsidRPr="0040604D" w:rsidRDefault="004C0945" w:rsidP="005048E9">
            <w:pPr>
              <w:pStyle w:val="InstructionsText2"/>
              <w:numPr>
                <w:ilvl w:val="0"/>
                <w:numId w:val="0"/>
              </w:numPr>
              <w:rPr>
                <w:sz w:val="24"/>
                <w:szCs w:val="24"/>
                <w:u w:val="none"/>
              </w:rPr>
            </w:pPr>
            <w:r>
              <w:rPr>
                <w:sz w:val="24"/>
                <w:szCs w:val="24"/>
                <w:u w:val="none"/>
                <w:lang w:val="en-US"/>
              </w:rPr>
              <w:t>For the purpose of these ITS, u</w:t>
            </w:r>
            <w:r w:rsidR="00AD794C" w:rsidRPr="0040604D">
              <w:rPr>
                <w:sz w:val="24"/>
                <w:szCs w:val="24"/>
                <w:u w:val="none"/>
                <w:lang w:val="en-US"/>
              </w:rPr>
              <w:t>nencumbrance of assets means that the</w:t>
            </w:r>
            <w:r w:rsidR="00AD794C" w:rsidRPr="0040604D">
              <w:rPr>
                <w:sz w:val="24"/>
                <w:szCs w:val="24"/>
                <w:u w:val="none"/>
              </w:rPr>
              <w:t xml:space="preserve"> assets accounted for must be available for the </w:t>
            </w:r>
            <w:r w:rsidR="000516AE">
              <w:rPr>
                <w:sz w:val="24"/>
                <w:szCs w:val="24"/>
                <w:u w:val="none"/>
              </w:rPr>
              <w:t>institution</w:t>
            </w:r>
            <w:r w:rsidR="00AD794C" w:rsidRPr="0040604D">
              <w:rPr>
                <w:sz w:val="24"/>
                <w:szCs w:val="24"/>
                <w:u w:val="none"/>
              </w:rPr>
              <w:t xml:space="preserve"> to convert into cash at any time to fill funding gaps between cash inflows and outflows during the time horizon. The assets shall not be co-mingled with or used as hedges on trading positions, be designated as collateral or as credit enhancements in structured transactions or to cover operational costs (such as rents and salaries), and shall be managed with the clear and sole intent for use as a source of contingent funds.</w:t>
            </w:r>
          </w:p>
          <w:p w:rsidR="00AD794C" w:rsidRDefault="00AD794C" w:rsidP="005048E9">
            <w:pPr>
              <w:pStyle w:val="InstructionsText2"/>
              <w:numPr>
                <w:ilvl w:val="0"/>
                <w:numId w:val="0"/>
              </w:numPr>
              <w:rPr>
                <w:sz w:val="24"/>
                <w:u w:val="none"/>
              </w:rPr>
            </w:pPr>
            <w:r w:rsidRPr="0040604D">
              <w:rPr>
                <w:sz w:val="24"/>
                <w:szCs w:val="24"/>
                <w:u w:val="none"/>
              </w:rPr>
              <w:t xml:space="preserve">However, assets that the </w:t>
            </w:r>
            <w:r w:rsidR="000516AE">
              <w:rPr>
                <w:sz w:val="24"/>
                <w:szCs w:val="24"/>
                <w:u w:val="none"/>
              </w:rPr>
              <w:t>institution</w:t>
            </w:r>
            <w:r w:rsidRPr="0040604D">
              <w:rPr>
                <w:sz w:val="24"/>
                <w:szCs w:val="24"/>
                <w:u w:val="none"/>
              </w:rPr>
              <w:t xml:space="preserve"> received as collateral in reverse repo and securities financing transactions can be considered as part of the </w:t>
            </w:r>
            <w:r>
              <w:rPr>
                <w:sz w:val="24"/>
                <w:szCs w:val="24"/>
                <w:u w:val="none"/>
              </w:rPr>
              <w:t>counterbalancing capacity</w:t>
            </w:r>
            <w:r w:rsidRPr="0040604D">
              <w:rPr>
                <w:sz w:val="24"/>
                <w:szCs w:val="24"/>
                <w:u w:val="none"/>
              </w:rPr>
              <w:t xml:space="preserve"> if they are held at the </w:t>
            </w:r>
            <w:r w:rsidR="00592110">
              <w:rPr>
                <w:sz w:val="24"/>
                <w:szCs w:val="24"/>
                <w:u w:val="none"/>
              </w:rPr>
              <w:t>institution</w:t>
            </w:r>
            <w:r w:rsidRPr="0040604D">
              <w:rPr>
                <w:sz w:val="24"/>
                <w:szCs w:val="24"/>
                <w:u w:val="none"/>
              </w:rPr>
              <w:t xml:space="preserve">, have not been rehypothecated, and are legally and contractually available for the </w:t>
            </w:r>
            <w:r w:rsidR="00592110">
              <w:rPr>
                <w:sz w:val="24"/>
                <w:szCs w:val="24"/>
                <w:u w:val="none"/>
              </w:rPr>
              <w:t>institution</w:t>
            </w:r>
            <w:r w:rsidRPr="0040604D">
              <w:rPr>
                <w:sz w:val="24"/>
                <w:szCs w:val="24"/>
                <w:u w:val="none"/>
              </w:rPr>
              <w:t>'s use. In addition, assets that have been pledged to the central bank or a public sector entity (PSE)</w:t>
            </w:r>
            <w:r w:rsidR="00BA5304">
              <w:rPr>
                <w:sz w:val="24"/>
                <w:szCs w:val="24"/>
                <w:u w:val="none"/>
              </w:rPr>
              <w:t>,</w:t>
            </w:r>
            <w:r w:rsidRPr="0040604D">
              <w:rPr>
                <w:sz w:val="24"/>
                <w:szCs w:val="24"/>
                <w:u w:val="none"/>
              </w:rPr>
              <w:t xml:space="preserve"> but are not used</w:t>
            </w:r>
            <w:r w:rsidR="00BA5304">
              <w:rPr>
                <w:sz w:val="24"/>
                <w:szCs w:val="24"/>
                <w:u w:val="none"/>
              </w:rPr>
              <w:t>,</w:t>
            </w:r>
            <w:r w:rsidRPr="0040604D">
              <w:rPr>
                <w:sz w:val="24"/>
                <w:szCs w:val="24"/>
                <w:u w:val="none"/>
              </w:rPr>
              <w:t xml:space="preserve"> may be included in the </w:t>
            </w:r>
            <w:r>
              <w:rPr>
                <w:sz w:val="24"/>
                <w:szCs w:val="24"/>
                <w:u w:val="none"/>
              </w:rPr>
              <w:t>counterbalancing capacity</w:t>
            </w:r>
            <w:r w:rsidR="00DC6350">
              <w:rPr>
                <w:sz w:val="24"/>
                <w:szCs w:val="24"/>
                <w:u w:val="none"/>
              </w:rPr>
              <w:t>.</w:t>
            </w:r>
          </w:p>
          <w:p w:rsidR="00AD794C" w:rsidRPr="0040604D" w:rsidRDefault="00AD794C" w:rsidP="005048E9">
            <w:pPr>
              <w:pStyle w:val="InstructionsText2"/>
              <w:numPr>
                <w:ilvl w:val="0"/>
                <w:numId w:val="0"/>
              </w:numPr>
              <w:rPr>
                <w:sz w:val="24"/>
                <w:szCs w:val="24"/>
                <w:u w:val="none"/>
                <w:lang w:val="en-US" w:eastAsia="fr-FR"/>
              </w:rPr>
            </w:pPr>
            <w:r w:rsidRPr="000536F6">
              <w:rPr>
                <w:sz w:val="24"/>
                <w:szCs w:val="24"/>
                <w:u w:val="none"/>
                <w:lang w:val="en-US" w:eastAsia="fr-FR"/>
              </w:rPr>
              <w:t>Institutions shall report all</w:t>
            </w:r>
            <w:r w:rsidR="00F32B97">
              <w:rPr>
                <w:sz w:val="24"/>
                <w:szCs w:val="24"/>
                <w:u w:val="none"/>
                <w:lang w:val="en-US" w:eastAsia="fr-FR"/>
              </w:rPr>
              <w:t xml:space="preserve"> available</w:t>
            </w:r>
            <w:r w:rsidRPr="000536F6">
              <w:rPr>
                <w:sz w:val="24"/>
                <w:szCs w:val="24"/>
                <w:u w:val="none"/>
                <w:lang w:val="en-US" w:eastAsia="fr-FR"/>
              </w:rPr>
              <w:t xml:space="preserve"> </w:t>
            </w:r>
            <w:r w:rsidR="00F32B97">
              <w:rPr>
                <w:sz w:val="24"/>
                <w:szCs w:val="24"/>
                <w:u w:val="none"/>
                <w:lang w:val="en-US" w:eastAsia="fr-FR"/>
              </w:rPr>
              <w:t xml:space="preserve">assets </w:t>
            </w:r>
            <w:r w:rsidR="00F32B97">
              <w:rPr>
                <w:sz w:val="24"/>
                <w:lang w:val="en-US"/>
              </w:rPr>
              <w:t>of a certain liquidity</w:t>
            </w:r>
            <w:r w:rsidR="00F32B97">
              <w:rPr>
                <w:sz w:val="24"/>
                <w:szCs w:val="24"/>
                <w:u w:val="none"/>
                <w:lang w:val="en-US" w:eastAsia="fr-FR"/>
              </w:rPr>
              <w:t xml:space="preserve"> </w:t>
            </w:r>
            <w:r w:rsidRPr="000536F6">
              <w:rPr>
                <w:sz w:val="24"/>
                <w:szCs w:val="24"/>
                <w:u w:val="none"/>
                <w:lang w:val="en-US" w:eastAsia="fr-FR"/>
              </w:rPr>
              <w:t xml:space="preserve">at the reporting date as </w:t>
            </w:r>
            <w:r w:rsidR="0029404F">
              <w:rPr>
                <w:sz w:val="24"/>
                <w:szCs w:val="24"/>
                <w:u w:val="none"/>
                <w:lang w:val="en-US" w:eastAsia="fr-FR"/>
              </w:rPr>
              <w:t xml:space="preserve">an </w:t>
            </w:r>
            <w:r w:rsidRPr="000536F6">
              <w:rPr>
                <w:sz w:val="24"/>
                <w:szCs w:val="24"/>
                <w:u w:val="none"/>
                <w:lang w:val="en-US" w:eastAsia="fr-FR"/>
              </w:rPr>
              <w:t xml:space="preserve">initial stock in column </w:t>
            </w:r>
            <w:r w:rsidR="009C2BBC">
              <w:rPr>
                <w:sz w:val="24"/>
                <w:szCs w:val="24"/>
                <w:u w:val="none"/>
                <w:lang w:val="en-US" w:eastAsia="fr-FR"/>
              </w:rPr>
              <w:t>010</w:t>
            </w:r>
            <w:r w:rsidRPr="000536F6">
              <w:rPr>
                <w:sz w:val="24"/>
                <w:szCs w:val="24"/>
                <w:u w:val="none"/>
                <w:lang w:val="en-US" w:eastAsia="fr-FR"/>
              </w:rPr>
              <w:t>.</w:t>
            </w:r>
            <w:r w:rsidR="003E309A">
              <w:rPr>
                <w:sz w:val="24"/>
                <w:szCs w:val="24"/>
                <w:u w:val="none"/>
                <w:lang w:val="en-US" w:eastAsia="fr-FR"/>
              </w:rPr>
              <w:t xml:space="preserve"> </w:t>
            </w:r>
          </w:p>
          <w:p w:rsidR="00E85A50" w:rsidRDefault="00AD794C" w:rsidP="005048E9">
            <w:pPr>
              <w:pStyle w:val="InstructionsText2"/>
              <w:numPr>
                <w:ilvl w:val="0"/>
                <w:numId w:val="0"/>
              </w:numPr>
              <w:rPr>
                <w:sz w:val="24"/>
                <w:szCs w:val="24"/>
                <w:u w:val="none"/>
                <w:lang w:val="en-US"/>
              </w:rPr>
            </w:pPr>
            <w:r>
              <w:rPr>
                <w:sz w:val="24"/>
                <w:szCs w:val="24"/>
                <w:u w:val="none"/>
                <w:lang w:val="en-US"/>
              </w:rPr>
              <w:t xml:space="preserve">Columns </w:t>
            </w:r>
            <w:r w:rsidR="009C2BBC">
              <w:rPr>
                <w:sz w:val="24"/>
                <w:szCs w:val="24"/>
                <w:u w:val="none"/>
                <w:lang w:val="en-US"/>
              </w:rPr>
              <w:t>020</w:t>
            </w:r>
            <w:r w:rsidRPr="0040604D">
              <w:rPr>
                <w:sz w:val="24"/>
                <w:szCs w:val="24"/>
                <w:u w:val="none"/>
                <w:lang w:val="en-US"/>
              </w:rPr>
              <w:t xml:space="preserve"> to </w:t>
            </w:r>
            <w:r w:rsidR="009C2BBC">
              <w:rPr>
                <w:sz w:val="24"/>
                <w:szCs w:val="24"/>
                <w:u w:val="none"/>
                <w:lang w:val="en-US"/>
              </w:rPr>
              <w:t>220</w:t>
            </w:r>
            <w:r w:rsidRPr="0040604D">
              <w:rPr>
                <w:sz w:val="24"/>
                <w:szCs w:val="24"/>
                <w:u w:val="none"/>
                <w:lang w:val="en-US"/>
              </w:rPr>
              <w:t xml:space="preserve"> contain contractual </w:t>
            </w:r>
            <w:r>
              <w:rPr>
                <w:sz w:val="24"/>
                <w:szCs w:val="24"/>
                <w:u w:val="none"/>
                <w:lang w:val="en-US"/>
              </w:rPr>
              <w:t>flows</w:t>
            </w:r>
            <w:r w:rsidRPr="0040604D">
              <w:rPr>
                <w:sz w:val="24"/>
                <w:szCs w:val="24"/>
                <w:u w:val="none"/>
                <w:lang w:val="en-US"/>
              </w:rPr>
              <w:t xml:space="preserve"> in the counterbalancing capacity. </w:t>
            </w:r>
            <w:r w:rsidR="002F49D9">
              <w:rPr>
                <w:sz w:val="24"/>
                <w:szCs w:val="24"/>
                <w:u w:val="none"/>
                <w:lang w:val="en-US"/>
              </w:rPr>
              <w:t>I</w:t>
            </w:r>
            <w:r w:rsidRPr="0040604D">
              <w:rPr>
                <w:sz w:val="24"/>
                <w:szCs w:val="24"/>
                <w:u w:val="none"/>
                <w:lang w:val="en-US"/>
              </w:rPr>
              <w:t xml:space="preserve">f an institution has entered into a repo transaction, the asset which has been repoed out </w:t>
            </w:r>
            <w:r w:rsidR="005D32F6">
              <w:rPr>
                <w:sz w:val="24"/>
                <w:szCs w:val="24"/>
                <w:u w:val="none"/>
                <w:lang w:val="en-US"/>
              </w:rPr>
              <w:t>shall</w:t>
            </w:r>
            <w:r w:rsidR="005D32F6" w:rsidRPr="0040604D">
              <w:rPr>
                <w:sz w:val="24"/>
                <w:szCs w:val="24"/>
                <w:u w:val="none"/>
                <w:lang w:val="en-US"/>
              </w:rPr>
              <w:t xml:space="preserve"> </w:t>
            </w:r>
            <w:r>
              <w:rPr>
                <w:sz w:val="24"/>
                <w:szCs w:val="24"/>
                <w:u w:val="none"/>
                <w:lang w:val="en-US"/>
              </w:rPr>
              <w:t>re-enter</w:t>
            </w:r>
            <w:r w:rsidR="00BA5304">
              <w:rPr>
                <w:sz w:val="24"/>
                <w:szCs w:val="24"/>
                <w:u w:val="none"/>
                <w:lang w:val="en-US"/>
              </w:rPr>
              <w:t xml:space="preserve"> </w:t>
            </w:r>
            <w:r w:rsidRPr="0040604D">
              <w:rPr>
                <w:sz w:val="24"/>
                <w:szCs w:val="24"/>
                <w:u w:val="none"/>
                <w:lang w:val="en-US"/>
              </w:rPr>
              <w:t xml:space="preserve">as a </w:t>
            </w:r>
            <w:r>
              <w:rPr>
                <w:sz w:val="24"/>
                <w:szCs w:val="24"/>
                <w:u w:val="none"/>
                <w:lang w:val="en-US"/>
              </w:rPr>
              <w:t>security inflow</w:t>
            </w:r>
            <w:r w:rsidRPr="0040604D">
              <w:rPr>
                <w:sz w:val="24"/>
                <w:szCs w:val="24"/>
                <w:u w:val="none"/>
                <w:lang w:val="en-US"/>
              </w:rPr>
              <w:t xml:space="preserve"> in the maturity bucket where the repo transaction matures. Correspondingly, the cash outflow following from the maturing repo </w:t>
            </w:r>
            <w:r w:rsidR="005D32F6">
              <w:rPr>
                <w:sz w:val="24"/>
                <w:szCs w:val="24"/>
                <w:u w:val="none"/>
                <w:lang w:val="en-US"/>
              </w:rPr>
              <w:t xml:space="preserve">shall </w:t>
            </w:r>
            <w:r w:rsidRPr="0040604D">
              <w:rPr>
                <w:sz w:val="24"/>
                <w:szCs w:val="24"/>
                <w:u w:val="none"/>
                <w:lang w:val="en-US"/>
              </w:rPr>
              <w:t xml:space="preserve">be booked in the relevant cash outflow bucket in </w:t>
            </w:r>
            <w:r w:rsidR="0048110A">
              <w:rPr>
                <w:sz w:val="24"/>
                <w:szCs w:val="24"/>
                <w:u w:val="none"/>
                <w:lang w:val="en-US"/>
              </w:rPr>
              <w:t>item 1.2</w:t>
            </w:r>
            <w:r w:rsidRPr="0040604D">
              <w:rPr>
                <w:sz w:val="24"/>
                <w:szCs w:val="24"/>
                <w:u w:val="none"/>
                <w:lang w:val="en-US"/>
              </w:rPr>
              <w:t xml:space="preserve">. Reverse-repo transactions </w:t>
            </w:r>
            <w:r w:rsidR="00DF5D1F">
              <w:rPr>
                <w:sz w:val="24"/>
                <w:szCs w:val="24"/>
                <w:u w:val="none"/>
                <w:lang w:val="en-US"/>
              </w:rPr>
              <w:t>shall be</w:t>
            </w:r>
            <w:r w:rsidR="00DF5D1F" w:rsidRPr="0040604D">
              <w:rPr>
                <w:sz w:val="24"/>
                <w:szCs w:val="24"/>
                <w:u w:val="none"/>
                <w:lang w:val="en-US"/>
              </w:rPr>
              <w:t xml:space="preserve"> </w:t>
            </w:r>
            <w:r w:rsidRPr="0040604D">
              <w:rPr>
                <w:sz w:val="24"/>
                <w:szCs w:val="24"/>
                <w:u w:val="none"/>
                <w:lang w:val="en-US"/>
              </w:rPr>
              <w:t xml:space="preserve">treated in a similar </w:t>
            </w:r>
            <w:r w:rsidR="002F49D9">
              <w:rPr>
                <w:sz w:val="24"/>
                <w:szCs w:val="24"/>
                <w:u w:val="none"/>
                <w:lang w:val="en-US"/>
              </w:rPr>
              <w:t xml:space="preserve">but opposite </w:t>
            </w:r>
            <w:r w:rsidRPr="0040604D">
              <w:rPr>
                <w:sz w:val="24"/>
                <w:szCs w:val="24"/>
                <w:u w:val="none"/>
                <w:lang w:val="en-US"/>
              </w:rPr>
              <w:t>manner</w:t>
            </w:r>
            <w:r w:rsidR="002F49D9">
              <w:rPr>
                <w:sz w:val="24"/>
                <w:szCs w:val="24"/>
                <w:u w:val="none"/>
                <w:lang w:val="en-US"/>
              </w:rPr>
              <w:t xml:space="preserve"> as pertains to the contract</w:t>
            </w:r>
            <w:r w:rsidRPr="0040604D">
              <w:rPr>
                <w:sz w:val="24"/>
                <w:szCs w:val="24"/>
                <w:u w:val="none"/>
                <w:lang w:val="en-US"/>
              </w:rPr>
              <w:t xml:space="preserve">. Collateral swaps also </w:t>
            </w:r>
            <w:r w:rsidR="002F49D9">
              <w:rPr>
                <w:sz w:val="24"/>
                <w:szCs w:val="24"/>
                <w:u w:val="none"/>
                <w:lang w:val="en-US"/>
              </w:rPr>
              <w:t>result in</w:t>
            </w:r>
            <w:r w:rsidRPr="0040604D">
              <w:rPr>
                <w:sz w:val="24"/>
                <w:szCs w:val="24"/>
                <w:u w:val="none"/>
                <w:lang w:val="en-US"/>
              </w:rPr>
              <w:t xml:space="preserve"> contractual inflows and outflows of securities in the relevant maturity bucket in which these swaps mature</w:t>
            </w:r>
            <w:r w:rsidR="002F49D9">
              <w:rPr>
                <w:sz w:val="24"/>
                <w:szCs w:val="24"/>
                <w:u w:val="none"/>
                <w:lang w:val="en-US"/>
              </w:rPr>
              <w:t xml:space="preserve"> in the counterbalancing capacity section</w:t>
            </w:r>
            <w:r w:rsidRPr="0040604D">
              <w:rPr>
                <w:sz w:val="24"/>
                <w:szCs w:val="24"/>
                <w:u w:val="none"/>
                <w:lang w:val="en-US"/>
              </w:rPr>
              <w:t>.</w:t>
            </w:r>
          </w:p>
          <w:p w:rsidR="00AD794C" w:rsidRPr="0040604D" w:rsidRDefault="00E85A50" w:rsidP="005048E9">
            <w:pPr>
              <w:pStyle w:val="InstructionsText2"/>
              <w:numPr>
                <w:ilvl w:val="0"/>
                <w:numId w:val="0"/>
              </w:numPr>
              <w:rPr>
                <w:sz w:val="24"/>
                <w:szCs w:val="24"/>
                <w:u w:val="none"/>
                <w:lang w:val="en-US" w:eastAsia="fr-FR"/>
              </w:rPr>
            </w:pPr>
            <w:r>
              <w:rPr>
                <w:sz w:val="24"/>
                <w:szCs w:val="24"/>
                <w:u w:val="none"/>
                <w:lang w:val="en-US"/>
              </w:rPr>
              <w:t>A c</w:t>
            </w:r>
            <w:r w:rsidR="000E7CD0">
              <w:rPr>
                <w:sz w:val="24"/>
                <w:szCs w:val="24"/>
                <w:u w:val="none"/>
                <w:lang w:val="en-US"/>
              </w:rPr>
              <w:t xml:space="preserve">hange </w:t>
            </w:r>
            <w:r>
              <w:rPr>
                <w:sz w:val="24"/>
                <w:szCs w:val="24"/>
                <w:u w:val="none"/>
                <w:lang w:val="en-US"/>
              </w:rPr>
              <w:t>to the</w:t>
            </w:r>
            <w:r w:rsidR="000E7CD0">
              <w:rPr>
                <w:sz w:val="24"/>
                <w:szCs w:val="24"/>
                <w:u w:val="none"/>
                <w:lang w:val="en-US"/>
              </w:rPr>
              <w:t xml:space="preserve"> </w:t>
            </w:r>
            <w:r w:rsidR="002E7093">
              <w:rPr>
                <w:sz w:val="24"/>
                <w:szCs w:val="24"/>
                <w:u w:val="none"/>
                <w:lang w:val="en-US"/>
              </w:rPr>
              <w:t xml:space="preserve">contractual available amount of </w:t>
            </w:r>
            <w:r>
              <w:rPr>
                <w:sz w:val="24"/>
                <w:szCs w:val="24"/>
                <w:u w:val="none"/>
                <w:lang w:val="en-US"/>
              </w:rPr>
              <w:t xml:space="preserve">credit and liquidity lines reported in </w:t>
            </w:r>
            <w:r w:rsidR="002E7093">
              <w:rPr>
                <w:sz w:val="24"/>
                <w:szCs w:val="24"/>
                <w:u w:val="none"/>
                <w:lang w:val="en-US"/>
              </w:rPr>
              <w:t xml:space="preserve">item 3.5 shall be reported as a flow in </w:t>
            </w:r>
            <w:r>
              <w:rPr>
                <w:sz w:val="24"/>
                <w:szCs w:val="24"/>
                <w:u w:val="none"/>
                <w:lang w:val="en-US"/>
              </w:rPr>
              <w:t>the</w:t>
            </w:r>
            <w:r w:rsidR="002E7093">
              <w:rPr>
                <w:sz w:val="24"/>
                <w:szCs w:val="24"/>
                <w:u w:val="none"/>
                <w:lang w:val="en-US"/>
              </w:rPr>
              <w:t xml:space="preserve"> relevant time bucket. </w:t>
            </w:r>
            <w:r w:rsidR="000E7CD0">
              <w:rPr>
                <w:sz w:val="24"/>
                <w:szCs w:val="24"/>
                <w:u w:val="none"/>
                <w:lang w:val="en-US"/>
              </w:rPr>
              <w:t xml:space="preserve">Further, if an institution has </w:t>
            </w:r>
            <w:r w:rsidR="00B07B6E">
              <w:rPr>
                <w:sz w:val="24"/>
                <w:szCs w:val="24"/>
                <w:u w:val="none"/>
                <w:lang w:val="en-US"/>
              </w:rPr>
              <w:t>an</w:t>
            </w:r>
            <w:r w:rsidR="000E7CD0">
              <w:rPr>
                <w:sz w:val="24"/>
                <w:szCs w:val="24"/>
                <w:u w:val="none"/>
                <w:lang w:val="en-US"/>
              </w:rPr>
              <w:t xml:space="preserve"> overnight deposit at a central bank the amount of the deposit shall be reported </w:t>
            </w:r>
            <w:r w:rsidR="00B07B6E">
              <w:rPr>
                <w:sz w:val="24"/>
                <w:szCs w:val="24"/>
                <w:u w:val="none"/>
                <w:lang w:val="en-US"/>
              </w:rPr>
              <w:t>as an</w:t>
            </w:r>
            <w:r w:rsidR="000E7CD0">
              <w:rPr>
                <w:sz w:val="24"/>
                <w:szCs w:val="24"/>
                <w:u w:val="none"/>
                <w:lang w:val="en-US"/>
              </w:rPr>
              <w:t xml:space="preserve"> initial stock </w:t>
            </w:r>
            <w:r>
              <w:rPr>
                <w:sz w:val="24"/>
                <w:szCs w:val="24"/>
                <w:u w:val="none"/>
                <w:lang w:val="en-US"/>
              </w:rPr>
              <w:t xml:space="preserve">in item 3.2 </w:t>
            </w:r>
            <w:r w:rsidR="00B07B6E">
              <w:rPr>
                <w:sz w:val="24"/>
                <w:szCs w:val="24"/>
                <w:u w:val="none"/>
                <w:lang w:val="en-US"/>
              </w:rPr>
              <w:t>and</w:t>
            </w:r>
            <w:r w:rsidR="00E36E2F">
              <w:rPr>
                <w:sz w:val="24"/>
                <w:szCs w:val="24"/>
                <w:u w:val="none"/>
                <w:lang w:val="en-US"/>
              </w:rPr>
              <w:t xml:space="preserve"> as</w:t>
            </w:r>
            <w:r w:rsidR="00B07B6E">
              <w:rPr>
                <w:sz w:val="24"/>
                <w:szCs w:val="24"/>
                <w:u w:val="none"/>
                <w:lang w:val="en-US"/>
              </w:rPr>
              <w:t xml:space="preserve"> a cash outflow in </w:t>
            </w:r>
            <w:r>
              <w:rPr>
                <w:sz w:val="24"/>
                <w:szCs w:val="24"/>
                <w:u w:val="none"/>
                <w:lang w:val="en-US"/>
              </w:rPr>
              <w:t>the</w:t>
            </w:r>
            <w:r w:rsidR="00B07B6E">
              <w:rPr>
                <w:sz w:val="24"/>
                <w:szCs w:val="24"/>
                <w:u w:val="none"/>
                <w:lang w:val="en-US"/>
              </w:rPr>
              <w:t xml:space="preserve"> maturity bucket “overnight”</w:t>
            </w:r>
            <w:r>
              <w:rPr>
                <w:sz w:val="24"/>
                <w:szCs w:val="24"/>
                <w:u w:val="none"/>
                <w:lang w:val="en-US"/>
              </w:rPr>
              <w:t xml:space="preserve"> for this item</w:t>
            </w:r>
            <w:r w:rsidR="00B07B6E">
              <w:rPr>
                <w:sz w:val="24"/>
                <w:szCs w:val="24"/>
                <w:u w:val="none"/>
                <w:lang w:val="en-US"/>
              </w:rPr>
              <w:t xml:space="preserve">. Correspondingly, </w:t>
            </w:r>
            <w:r>
              <w:rPr>
                <w:sz w:val="24"/>
                <w:szCs w:val="24"/>
                <w:u w:val="none"/>
                <w:lang w:val="en-US"/>
              </w:rPr>
              <w:t xml:space="preserve">the resultant </w:t>
            </w:r>
            <w:r w:rsidR="00D146D7">
              <w:rPr>
                <w:sz w:val="24"/>
                <w:szCs w:val="24"/>
                <w:u w:val="none"/>
                <w:lang w:val="en-US"/>
              </w:rPr>
              <w:t>cash inflow</w:t>
            </w:r>
            <w:r w:rsidR="00E36E2F">
              <w:rPr>
                <w:sz w:val="24"/>
                <w:szCs w:val="24"/>
                <w:u w:val="none"/>
                <w:lang w:val="en-US"/>
              </w:rPr>
              <w:t xml:space="preserve"> shall be reported in item 2.2.3.</w:t>
            </w:r>
          </w:p>
          <w:p w:rsidR="00AD794C" w:rsidRDefault="00AD794C" w:rsidP="005048E9">
            <w:pPr>
              <w:pStyle w:val="InstructionsText2"/>
              <w:numPr>
                <w:ilvl w:val="0"/>
                <w:numId w:val="0"/>
              </w:numPr>
              <w:rPr>
                <w:sz w:val="24"/>
                <w:szCs w:val="24"/>
                <w:u w:val="none"/>
                <w:lang w:val="en-US"/>
              </w:rPr>
            </w:pPr>
            <w:r w:rsidRPr="0040604D">
              <w:rPr>
                <w:sz w:val="24"/>
                <w:szCs w:val="24"/>
                <w:u w:val="none"/>
                <w:lang w:val="en-US"/>
              </w:rPr>
              <w:t xml:space="preserve">Maturing securities in the counterbalancing capacity shall be reported based on their contractual maturity. </w:t>
            </w:r>
            <w:r w:rsidR="00E85A50">
              <w:rPr>
                <w:sz w:val="24"/>
                <w:szCs w:val="24"/>
                <w:u w:val="none"/>
                <w:lang w:val="en-US"/>
              </w:rPr>
              <w:t>W</w:t>
            </w:r>
            <w:r w:rsidRPr="0040604D">
              <w:rPr>
                <w:sz w:val="24"/>
                <w:szCs w:val="24"/>
                <w:u w:val="none"/>
                <w:lang w:val="en-US"/>
              </w:rPr>
              <w:t xml:space="preserve">hen </w:t>
            </w:r>
            <w:r w:rsidR="00E85A50">
              <w:rPr>
                <w:sz w:val="24"/>
                <w:szCs w:val="24"/>
                <w:u w:val="none"/>
                <w:lang w:val="en-US"/>
              </w:rPr>
              <w:t>a</w:t>
            </w:r>
            <w:r w:rsidR="00E85A50" w:rsidRPr="0040604D">
              <w:rPr>
                <w:sz w:val="24"/>
                <w:szCs w:val="24"/>
                <w:u w:val="none"/>
                <w:lang w:val="en-US"/>
              </w:rPr>
              <w:t xml:space="preserve"> </w:t>
            </w:r>
            <w:r w:rsidRPr="0040604D">
              <w:rPr>
                <w:sz w:val="24"/>
                <w:szCs w:val="24"/>
                <w:u w:val="none"/>
                <w:lang w:val="en-US"/>
              </w:rPr>
              <w:t xml:space="preserve">security matures, it shall be removed from the asset category it </w:t>
            </w:r>
            <w:r w:rsidR="00E85A50">
              <w:rPr>
                <w:sz w:val="24"/>
                <w:szCs w:val="24"/>
                <w:u w:val="none"/>
                <w:lang w:val="en-US"/>
              </w:rPr>
              <w:t>is initially</w:t>
            </w:r>
            <w:r w:rsidRPr="0040604D">
              <w:rPr>
                <w:sz w:val="24"/>
                <w:szCs w:val="24"/>
                <w:u w:val="none"/>
                <w:lang w:val="en-US"/>
              </w:rPr>
              <w:t xml:space="preserve"> </w:t>
            </w:r>
            <w:r w:rsidR="00E85A50">
              <w:rPr>
                <w:sz w:val="24"/>
                <w:szCs w:val="24"/>
                <w:u w:val="none"/>
                <w:lang w:val="en-US"/>
              </w:rPr>
              <w:t>reported</w:t>
            </w:r>
            <w:r w:rsidR="00E85A50" w:rsidRPr="0040604D">
              <w:rPr>
                <w:sz w:val="24"/>
                <w:szCs w:val="24"/>
                <w:u w:val="none"/>
                <w:lang w:val="en-US"/>
              </w:rPr>
              <w:t xml:space="preserve"> </w:t>
            </w:r>
            <w:r w:rsidRPr="0040604D">
              <w:rPr>
                <w:sz w:val="24"/>
                <w:szCs w:val="24"/>
                <w:u w:val="none"/>
                <w:lang w:val="en-US"/>
              </w:rPr>
              <w:t>in</w:t>
            </w:r>
            <w:r w:rsidR="000B36FE">
              <w:rPr>
                <w:sz w:val="24"/>
                <w:szCs w:val="24"/>
                <w:u w:val="none"/>
                <w:lang w:val="en-US"/>
              </w:rPr>
              <w:t xml:space="preserve"> (i.e. to be treated as an </w:t>
            </w:r>
            <w:r w:rsidR="000B36FE">
              <w:rPr>
                <w:sz w:val="24"/>
                <w:szCs w:val="24"/>
                <w:u w:val="none"/>
                <w:lang w:val="en-US"/>
              </w:rPr>
              <w:lastRenderedPageBreak/>
              <w:t>outflow</w:t>
            </w:r>
            <w:r w:rsidR="00E85A50">
              <w:rPr>
                <w:sz w:val="24"/>
                <w:szCs w:val="24"/>
                <w:u w:val="none"/>
                <w:lang w:val="en-US"/>
              </w:rPr>
              <w:t xml:space="preserve"> of securities</w:t>
            </w:r>
            <w:r w:rsidR="000B36FE">
              <w:rPr>
                <w:sz w:val="24"/>
                <w:szCs w:val="24"/>
                <w:u w:val="none"/>
                <w:lang w:val="en-US"/>
              </w:rPr>
              <w:t>)</w:t>
            </w:r>
            <w:r w:rsidRPr="0040604D">
              <w:rPr>
                <w:sz w:val="24"/>
                <w:szCs w:val="24"/>
                <w:u w:val="none"/>
                <w:lang w:val="en-US"/>
              </w:rPr>
              <w:t xml:space="preserve">, and </w:t>
            </w:r>
            <w:r w:rsidR="00E85A50">
              <w:rPr>
                <w:sz w:val="24"/>
                <w:szCs w:val="24"/>
                <w:u w:val="none"/>
                <w:lang w:val="en-US"/>
              </w:rPr>
              <w:t>the resultant</w:t>
            </w:r>
            <w:r w:rsidR="003E309A">
              <w:rPr>
                <w:sz w:val="24"/>
                <w:szCs w:val="24"/>
                <w:u w:val="none"/>
                <w:lang w:val="en-US"/>
              </w:rPr>
              <w:t xml:space="preserve"> </w:t>
            </w:r>
            <w:r w:rsidR="00E85A50">
              <w:rPr>
                <w:sz w:val="24"/>
                <w:szCs w:val="24"/>
                <w:u w:val="none"/>
                <w:lang w:val="en-US"/>
              </w:rPr>
              <w:t>cash</w:t>
            </w:r>
            <w:r w:rsidRPr="0040604D">
              <w:rPr>
                <w:sz w:val="24"/>
                <w:szCs w:val="24"/>
                <w:u w:val="none"/>
                <w:lang w:val="en-US"/>
              </w:rPr>
              <w:t xml:space="preserve"> inflow shall </w:t>
            </w:r>
            <w:r w:rsidR="0048110A">
              <w:rPr>
                <w:sz w:val="24"/>
                <w:szCs w:val="24"/>
                <w:u w:val="none"/>
                <w:lang w:val="en-US"/>
              </w:rPr>
              <w:t xml:space="preserve">be </w:t>
            </w:r>
            <w:r w:rsidRPr="0040604D">
              <w:rPr>
                <w:sz w:val="24"/>
                <w:szCs w:val="24"/>
                <w:u w:val="none"/>
                <w:lang w:val="en-US"/>
              </w:rPr>
              <w:t>reported</w:t>
            </w:r>
            <w:r w:rsidR="005D32F6">
              <w:rPr>
                <w:sz w:val="24"/>
                <w:szCs w:val="24"/>
                <w:u w:val="none"/>
                <w:lang w:val="en-US"/>
              </w:rPr>
              <w:t xml:space="preserve"> in</w:t>
            </w:r>
            <w:r w:rsidR="00147F95">
              <w:rPr>
                <w:sz w:val="24"/>
                <w:szCs w:val="24"/>
                <w:u w:val="none"/>
                <w:lang w:val="en-US"/>
              </w:rPr>
              <w:t xml:space="preserve"> items 2.2 or 2.3 depending on </w:t>
            </w:r>
            <w:r w:rsidR="00DF5D1F">
              <w:rPr>
                <w:sz w:val="24"/>
                <w:szCs w:val="24"/>
                <w:u w:val="none"/>
                <w:lang w:val="en-US"/>
              </w:rPr>
              <w:t>the</w:t>
            </w:r>
            <w:r w:rsidR="00147F95">
              <w:rPr>
                <w:sz w:val="24"/>
                <w:szCs w:val="24"/>
                <w:u w:val="none"/>
                <w:lang w:val="en-US"/>
              </w:rPr>
              <w:t xml:space="preserve"> </w:t>
            </w:r>
            <w:r w:rsidR="00E85A50">
              <w:rPr>
                <w:sz w:val="24"/>
                <w:szCs w:val="24"/>
                <w:u w:val="none"/>
                <w:lang w:val="en-US"/>
              </w:rPr>
              <w:t xml:space="preserve">underlying </w:t>
            </w:r>
            <w:r w:rsidR="00147F95">
              <w:rPr>
                <w:sz w:val="24"/>
                <w:szCs w:val="24"/>
                <w:u w:val="none"/>
                <w:lang w:val="en-US"/>
              </w:rPr>
              <w:t>issuer.</w:t>
            </w:r>
          </w:p>
          <w:p w:rsidR="00EB1D0B" w:rsidRDefault="00AD794C" w:rsidP="005048E9">
            <w:pPr>
              <w:pStyle w:val="InstructionsText2"/>
              <w:numPr>
                <w:ilvl w:val="0"/>
                <w:numId w:val="0"/>
              </w:numPr>
              <w:rPr>
                <w:sz w:val="24"/>
                <w:szCs w:val="24"/>
                <w:u w:val="none"/>
                <w:lang w:val="en-US"/>
              </w:rPr>
            </w:pPr>
            <w:r w:rsidRPr="0040604D">
              <w:rPr>
                <w:sz w:val="24"/>
                <w:szCs w:val="24"/>
                <w:u w:val="none"/>
                <w:lang w:val="en-US"/>
              </w:rPr>
              <w:t xml:space="preserve">All security values are reported </w:t>
            </w:r>
            <w:r w:rsidR="00E85A50">
              <w:rPr>
                <w:sz w:val="24"/>
                <w:szCs w:val="24"/>
                <w:u w:val="none"/>
                <w:lang w:val="en-US"/>
              </w:rPr>
              <w:t xml:space="preserve">in the relevant bucket </w:t>
            </w:r>
            <w:r w:rsidRPr="0040604D">
              <w:rPr>
                <w:sz w:val="24"/>
                <w:szCs w:val="24"/>
                <w:u w:val="none"/>
                <w:lang w:val="en-US"/>
              </w:rPr>
              <w:t>at current market values</w:t>
            </w:r>
            <w:r w:rsidR="00210E4D">
              <w:rPr>
                <w:sz w:val="24"/>
                <w:szCs w:val="24"/>
                <w:u w:val="none"/>
                <w:lang w:val="en-US"/>
              </w:rPr>
              <w:t>.</w:t>
            </w:r>
          </w:p>
          <w:p w:rsidR="00210E4D" w:rsidRPr="0040604D" w:rsidRDefault="00210E4D" w:rsidP="005048E9">
            <w:pPr>
              <w:pStyle w:val="InstructionsText2"/>
              <w:numPr>
                <w:ilvl w:val="0"/>
                <w:numId w:val="0"/>
              </w:numPr>
              <w:rPr>
                <w:sz w:val="24"/>
                <w:szCs w:val="24"/>
                <w:u w:val="none"/>
                <w:lang w:val="en-US"/>
              </w:rPr>
            </w:pPr>
            <w:r>
              <w:rPr>
                <w:sz w:val="24"/>
                <w:szCs w:val="24"/>
                <w:u w:val="none"/>
                <w:lang w:val="en-US"/>
              </w:rPr>
              <w:t xml:space="preserve">In item 3.5 </w:t>
            </w:r>
            <w:r w:rsidR="003E76E9">
              <w:rPr>
                <w:sz w:val="24"/>
                <w:szCs w:val="24"/>
                <w:u w:val="none"/>
                <w:lang w:val="en-US"/>
              </w:rPr>
              <w:t xml:space="preserve">only </w:t>
            </w:r>
            <w:r>
              <w:rPr>
                <w:sz w:val="24"/>
                <w:szCs w:val="24"/>
                <w:u w:val="none"/>
                <w:lang w:val="en-US"/>
              </w:rPr>
              <w:t xml:space="preserve">contractually available </w:t>
            </w:r>
            <w:r w:rsidR="0029404F">
              <w:rPr>
                <w:sz w:val="24"/>
                <w:szCs w:val="24"/>
                <w:u w:val="none"/>
                <w:lang w:val="en-US"/>
              </w:rPr>
              <w:t>amounts</w:t>
            </w:r>
            <w:r>
              <w:rPr>
                <w:sz w:val="24"/>
                <w:szCs w:val="24"/>
                <w:u w:val="none"/>
                <w:lang w:val="en-US"/>
              </w:rPr>
              <w:t xml:space="preserve"> shall be reported.</w:t>
            </w:r>
          </w:p>
          <w:p w:rsidR="00A97BAB" w:rsidRPr="0040604D" w:rsidRDefault="00A97BAB" w:rsidP="00A97BAB">
            <w:pPr>
              <w:pStyle w:val="InstructionsText2"/>
              <w:numPr>
                <w:ilvl w:val="0"/>
                <w:numId w:val="0"/>
              </w:numPr>
              <w:rPr>
                <w:sz w:val="24"/>
                <w:szCs w:val="24"/>
                <w:u w:val="none"/>
                <w:lang w:val="en-US"/>
              </w:rPr>
            </w:pPr>
            <w:r w:rsidRPr="0040604D">
              <w:rPr>
                <w:sz w:val="24"/>
                <w:szCs w:val="24"/>
                <w:u w:val="none"/>
                <w:lang w:val="en-US"/>
              </w:rPr>
              <w:t>To avoid double counting, cash-inflows are not to be accounted for in item 3.1 or 3.2 of the counterbalancing capacity.</w:t>
            </w:r>
          </w:p>
          <w:p w:rsidR="00AD794C" w:rsidRPr="0040604D" w:rsidRDefault="00D853F5" w:rsidP="00977F19">
            <w:pPr>
              <w:pStyle w:val="InstructionsText2"/>
              <w:numPr>
                <w:ilvl w:val="0"/>
                <w:numId w:val="0"/>
              </w:numPr>
              <w:rPr>
                <w:rStyle w:val="InstructionsTabelleberschrift"/>
                <w:rFonts w:ascii="Times New Roman" w:hAnsi="Times New Roman"/>
                <w:b w:val="0"/>
                <w:bCs w:val="0"/>
                <w:sz w:val="24"/>
                <w:szCs w:val="24"/>
                <w:u w:val="none"/>
                <w:lang w:val="en-US" w:eastAsia="fr-FR"/>
              </w:rPr>
            </w:pPr>
            <w:r>
              <w:rPr>
                <w:sz w:val="24"/>
                <w:szCs w:val="24"/>
                <w:u w:val="none"/>
                <w:lang w:val="en-US"/>
              </w:rPr>
              <w:t>Items</w:t>
            </w:r>
            <w:r w:rsidRPr="0040604D">
              <w:rPr>
                <w:sz w:val="24"/>
                <w:szCs w:val="24"/>
                <w:u w:val="none"/>
                <w:lang w:val="en-US"/>
              </w:rPr>
              <w:t xml:space="preserve"> </w:t>
            </w:r>
            <w:r w:rsidR="00AD794C" w:rsidRPr="0040604D">
              <w:rPr>
                <w:sz w:val="24"/>
                <w:szCs w:val="24"/>
                <w:u w:val="none"/>
                <w:lang w:val="en-US"/>
              </w:rPr>
              <w:t>in the counterbalancing capacity should be reported in the following sub-categories below:</w:t>
            </w:r>
          </w:p>
        </w:tc>
      </w:tr>
      <w:tr w:rsidR="00AD794C" w:rsidRPr="0040604D" w:rsidTr="0021066C">
        <w:trPr>
          <w:gridAfter w:val="1"/>
          <w:wAfter w:w="26" w:type="dxa"/>
          <w:trHeight w:val="255"/>
        </w:trPr>
        <w:tc>
          <w:tcPr>
            <w:tcW w:w="828" w:type="dxa"/>
            <w:vAlign w:val="center"/>
          </w:tcPr>
          <w:p w:rsidR="00AD794C" w:rsidRPr="009920BE" w:rsidRDefault="00AA5B2D" w:rsidP="009920BE">
            <w:pPr>
              <w:jc w:val="left"/>
              <w:rPr>
                <w:rFonts w:ascii="Times New Roman" w:hAnsi="Times New Roman"/>
                <w:sz w:val="24"/>
              </w:rPr>
            </w:pPr>
            <w:r>
              <w:rPr>
                <w:rFonts w:ascii="Times New Roman" w:hAnsi="Times New Roman"/>
                <w:sz w:val="24"/>
              </w:rPr>
              <w:lastRenderedPageBreak/>
              <w:t>104</w:t>
            </w:r>
            <w:r w:rsidR="00166193">
              <w:rPr>
                <w:rFonts w:ascii="Times New Roman" w:hAnsi="Times New Roman"/>
                <w:sz w:val="24"/>
              </w:rPr>
              <w:t>0</w:t>
            </w:r>
          </w:p>
        </w:tc>
        <w:tc>
          <w:tcPr>
            <w:tcW w:w="7740" w:type="dxa"/>
            <w:shd w:val="clear" w:color="auto" w:fill="auto"/>
            <w:noWrap/>
            <w:vAlign w:val="bottom"/>
          </w:tcPr>
          <w:p w:rsidR="00AD794C" w:rsidRPr="008A1DB9" w:rsidRDefault="00AD794C" w:rsidP="008A1DB9">
            <w:pPr>
              <w:spacing w:before="0" w:after="0"/>
              <w:jc w:val="left"/>
              <w:rPr>
                <w:rStyle w:val="InstructionsTabelleberschrift"/>
                <w:rFonts w:ascii="Times New Roman" w:hAnsi="Times New Roman"/>
                <w:sz w:val="24"/>
              </w:rPr>
            </w:pPr>
            <w:r w:rsidRPr="00455269">
              <w:rPr>
                <w:rStyle w:val="InstructionsTabelleberschrift"/>
                <w:rFonts w:ascii="Times New Roman" w:hAnsi="Times New Roman"/>
                <w:sz w:val="24"/>
                <w:lang w:eastAsia="de-DE"/>
              </w:rPr>
              <w:t xml:space="preserve">3.1 </w:t>
            </w:r>
            <w:r w:rsidR="002B1FDF" w:rsidRPr="008A1DB9">
              <w:rPr>
                <w:rStyle w:val="InstructionsTabelleberschrift"/>
                <w:rFonts w:ascii="Times New Roman" w:hAnsi="Times New Roman"/>
                <w:sz w:val="24"/>
                <w:lang w:eastAsia="de-DE"/>
              </w:rPr>
              <w:t xml:space="preserve">Cash </w:t>
            </w:r>
          </w:p>
          <w:p w:rsidR="0085529D" w:rsidRPr="00DC6350" w:rsidRDefault="00406560">
            <w:pPr>
              <w:pStyle w:val="InstructionsText"/>
              <w:rPr>
                <w:rStyle w:val="FormatvorlageInstructionsTabelleText"/>
              </w:rPr>
            </w:pPr>
            <w:r>
              <w:rPr>
                <w:rStyle w:val="InstructionsTabelleberschrift"/>
                <w:rFonts w:ascii="Times New Roman" w:hAnsi="Times New Roman"/>
                <w:b w:val="0"/>
                <w:sz w:val="24"/>
                <w:u w:val="none"/>
              </w:rPr>
              <w:t xml:space="preserve">Point 1 of </w:t>
            </w:r>
            <w:r w:rsidR="00E07AEF" w:rsidRPr="0040604D">
              <w:rPr>
                <w:rStyle w:val="InstructionsTabelleberschrift"/>
                <w:rFonts w:ascii="Times New Roman" w:hAnsi="Times New Roman"/>
                <w:b w:val="0"/>
                <w:sz w:val="24"/>
                <w:u w:val="none"/>
              </w:rPr>
              <w:t xml:space="preserve">Annex III of </w:t>
            </w:r>
            <w:r w:rsidR="00A12578" w:rsidRPr="00DC6350">
              <w:rPr>
                <w:sz w:val="24"/>
                <w:u w:val="none"/>
              </w:rPr>
              <w:t>Regulation</w:t>
            </w:r>
            <w:r w:rsidR="00C1399E" w:rsidRPr="00DC6350">
              <w:rPr>
                <w:sz w:val="24"/>
                <w:u w:val="none"/>
              </w:rPr>
              <w:t xml:space="preserve"> (EU) No</w:t>
            </w:r>
            <w:r w:rsidR="00A12578" w:rsidRPr="00DC6350">
              <w:rPr>
                <w:sz w:val="24"/>
                <w:u w:val="none"/>
              </w:rPr>
              <w:t xml:space="preserve"> </w:t>
            </w:r>
            <w:r w:rsidR="00A12578" w:rsidRPr="00DC6350">
              <w:rPr>
                <w:sz w:val="24"/>
                <w:u w:val="none"/>
                <w:lang w:eastAsia="en-GB"/>
              </w:rPr>
              <w:t>575/2013</w:t>
            </w:r>
            <w:r w:rsidR="00DC6350" w:rsidRPr="009920BE">
              <w:rPr>
                <w:sz w:val="24"/>
                <w:u w:val="none"/>
              </w:rPr>
              <w:t>.</w:t>
            </w:r>
          </w:p>
          <w:p w:rsidR="0085529D" w:rsidRDefault="0085529D">
            <w:pPr>
              <w:pStyle w:val="InstructionsText"/>
              <w:rPr>
                <w:rStyle w:val="FormatvorlageInstructionsTabelleText"/>
              </w:rPr>
            </w:pPr>
          </w:p>
          <w:p w:rsidR="00AD794C" w:rsidRPr="0040604D" w:rsidRDefault="00AD794C" w:rsidP="000305BD">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255"/>
        </w:trPr>
        <w:tc>
          <w:tcPr>
            <w:tcW w:w="828" w:type="dxa"/>
            <w:vAlign w:val="center"/>
          </w:tcPr>
          <w:p w:rsidR="00AD794C" w:rsidRPr="009920BE" w:rsidRDefault="00AA5B2D" w:rsidP="009920BE">
            <w:pPr>
              <w:jc w:val="left"/>
              <w:rPr>
                <w:rFonts w:ascii="Times New Roman" w:hAnsi="Times New Roman"/>
                <w:sz w:val="24"/>
              </w:rPr>
            </w:pPr>
            <w:r>
              <w:rPr>
                <w:rFonts w:ascii="Times New Roman" w:hAnsi="Times New Roman"/>
                <w:sz w:val="24"/>
              </w:rPr>
              <w:t>1050</w:t>
            </w:r>
          </w:p>
        </w:tc>
        <w:tc>
          <w:tcPr>
            <w:tcW w:w="7740" w:type="dxa"/>
            <w:shd w:val="clear" w:color="auto" w:fill="auto"/>
            <w:noWrap/>
            <w:vAlign w:val="bottom"/>
          </w:tcPr>
          <w:p w:rsidR="00AD794C" w:rsidRPr="0040604D" w:rsidRDefault="00AD794C" w:rsidP="00ED6567">
            <w:pPr>
              <w:spacing w:before="0" w:after="0"/>
              <w:jc w:val="left"/>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sz w:val="24"/>
                <w:lang w:eastAsia="de-DE"/>
              </w:rPr>
              <w:t xml:space="preserve">3.2 </w:t>
            </w:r>
            <w:r>
              <w:rPr>
                <w:rStyle w:val="InstructionsTabelleberschrift"/>
                <w:rFonts w:ascii="Times New Roman" w:hAnsi="Times New Roman"/>
                <w:sz w:val="24"/>
                <w:lang w:eastAsia="de-DE"/>
              </w:rPr>
              <w:t>Exposures to</w:t>
            </w:r>
            <w:r w:rsidRPr="0040604D">
              <w:rPr>
                <w:rStyle w:val="InstructionsTabelleberschrift"/>
                <w:rFonts w:ascii="Times New Roman" w:hAnsi="Times New Roman"/>
                <w:sz w:val="24"/>
                <w:lang w:eastAsia="de-DE"/>
              </w:rPr>
              <w:t xml:space="preserve"> central banks</w:t>
            </w:r>
            <w:r w:rsidRPr="0040604D">
              <w:rPr>
                <w:rStyle w:val="InstructionsTabelleberschrift"/>
                <w:rFonts w:ascii="Times New Roman" w:hAnsi="Times New Roman"/>
                <w:sz w:val="24"/>
                <w:lang w:eastAsia="de-DE"/>
              </w:rPr>
              <w:br/>
            </w:r>
          </w:p>
          <w:p w:rsidR="00CB797C" w:rsidRDefault="00AD794C" w:rsidP="00ED6567">
            <w:pPr>
              <w:spacing w:before="0" w:after="0"/>
              <w:jc w:val="left"/>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b w:val="0"/>
                <w:sz w:val="24"/>
                <w:u w:val="none"/>
                <w:lang w:eastAsia="de-DE"/>
              </w:rPr>
              <w:t xml:space="preserve">Total amount of </w:t>
            </w:r>
            <w:r>
              <w:rPr>
                <w:rStyle w:val="InstructionsTabelleberschrift"/>
                <w:rFonts w:ascii="Times New Roman" w:hAnsi="Times New Roman"/>
                <w:b w:val="0"/>
                <w:sz w:val="24"/>
                <w:u w:val="none"/>
                <w:lang w:eastAsia="de-DE"/>
              </w:rPr>
              <w:t>exposures to</w:t>
            </w:r>
            <w:r w:rsidRPr="0040604D">
              <w:rPr>
                <w:rStyle w:val="InstructionsTabelleberschrift"/>
                <w:rFonts w:ascii="Times New Roman" w:hAnsi="Times New Roman"/>
                <w:b w:val="0"/>
                <w:sz w:val="24"/>
                <w:u w:val="none"/>
                <w:lang w:eastAsia="de-DE"/>
              </w:rPr>
              <w:t xml:space="preserve"> central banks</w:t>
            </w:r>
            <w:r w:rsidR="00195D88">
              <w:rPr>
                <w:rStyle w:val="InstructionsTabelleberschrift"/>
                <w:rFonts w:ascii="Times New Roman" w:hAnsi="Times New Roman"/>
                <w:b w:val="0"/>
                <w:sz w:val="24"/>
                <w:u w:val="none"/>
                <w:lang w:eastAsia="de-DE"/>
              </w:rPr>
              <w:t xml:space="preserve"> </w:t>
            </w:r>
            <w:r w:rsidR="00CB797C">
              <w:rPr>
                <w:rStyle w:val="InstructionsTabelleberschrift"/>
                <w:rFonts w:ascii="Times New Roman" w:hAnsi="Times New Roman"/>
                <w:b w:val="0"/>
                <w:sz w:val="24"/>
                <w:u w:val="none"/>
                <w:lang w:eastAsia="de-DE"/>
              </w:rPr>
              <w:t>other than minimum reserve requirements.</w:t>
            </w:r>
          </w:p>
          <w:p w:rsidR="00AD794C" w:rsidRPr="0040604D" w:rsidRDefault="00AD794C" w:rsidP="00ED6567">
            <w:pPr>
              <w:spacing w:before="0" w:after="0"/>
              <w:jc w:val="left"/>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b w:val="0"/>
                <w:sz w:val="24"/>
                <w:u w:val="none"/>
                <w:lang w:eastAsia="de-DE"/>
              </w:rPr>
              <w:br/>
            </w:r>
            <w:r w:rsidR="00CB797C">
              <w:rPr>
                <w:rStyle w:val="InstructionsTabelleberschrift"/>
                <w:rFonts w:ascii="Times New Roman" w:hAnsi="Times New Roman"/>
                <w:b w:val="0"/>
                <w:sz w:val="24"/>
                <w:u w:val="none"/>
                <w:lang w:eastAsia="de-DE"/>
              </w:rPr>
              <w:t>Note: Securities representing claims on or guaranteed by central banks shall not be reported here.</w:t>
            </w:r>
          </w:p>
          <w:p w:rsidR="00AD794C" w:rsidRPr="0040604D" w:rsidRDefault="00AD794C" w:rsidP="00ED6567">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255"/>
        </w:trPr>
        <w:tc>
          <w:tcPr>
            <w:tcW w:w="828" w:type="dxa"/>
            <w:vAlign w:val="center"/>
          </w:tcPr>
          <w:p w:rsidR="00AD794C" w:rsidRPr="009920BE" w:rsidRDefault="00AA5B2D" w:rsidP="009920BE">
            <w:pPr>
              <w:jc w:val="left"/>
              <w:rPr>
                <w:rFonts w:ascii="Times New Roman" w:hAnsi="Times New Roman"/>
                <w:sz w:val="24"/>
              </w:rPr>
            </w:pPr>
            <w:r>
              <w:rPr>
                <w:rFonts w:ascii="Times New Roman" w:hAnsi="Times New Roman"/>
                <w:sz w:val="24"/>
              </w:rPr>
              <w:t>1060</w:t>
            </w:r>
          </w:p>
        </w:tc>
        <w:tc>
          <w:tcPr>
            <w:tcW w:w="7740" w:type="dxa"/>
            <w:shd w:val="clear" w:color="auto" w:fill="auto"/>
            <w:noWrap/>
            <w:vAlign w:val="bottom"/>
          </w:tcPr>
          <w:p w:rsidR="00AD794C" w:rsidRPr="0040604D" w:rsidRDefault="00AD794C" w:rsidP="009920BE">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 xml:space="preserve">3.3 Unencumbered </w:t>
            </w:r>
            <w:r w:rsidR="00BA5304">
              <w:rPr>
                <w:rStyle w:val="InstructionsTabelleberschrift"/>
                <w:rFonts w:ascii="Times New Roman" w:hAnsi="Times New Roman"/>
                <w:sz w:val="24"/>
                <w:lang w:eastAsia="de-DE"/>
              </w:rPr>
              <w:t>Central Bank</w:t>
            </w:r>
            <w:r w:rsidR="00BA5304" w:rsidRPr="0040604D">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 xml:space="preserve">eligible collateral </w:t>
            </w:r>
            <w:r w:rsidRPr="0040604D">
              <w:rPr>
                <w:rStyle w:val="InstructionsTabelleberschrift"/>
                <w:rFonts w:ascii="Times New Roman" w:hAnsi="Times New Roman"/>
                <w:sz w:val="24"/>
                <w:lang w:eastAsia="de-DE"/>
              </w:rPr>
              <w:br/>
            </w:r>
          </w:p>
          <w:p w:rsidR="00AD794C" w:rsidRPr="0040604D" w:rsidRDefault="00AD794C" w:rsidP="008A1DB9">
            <w:pPr>
              <w:spacing w:before="0" w:after="0"/>
              <w:jc w:val="left"/>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b w:val="0"/>
                <w:sz w:val="24"/>
                <w:u w:val="none"/>
                <w:lang w:eastAsia="de-DE"/>
              </w:rPr>
              <w:t xml:space="preserve">Total market value of </w:t>
            </w:r>
            <w:r w:rsidR="001C5C97">
              <w:rPr>
                <w:rStyle w:val="InstructionsTabelleberschrift"/>
                <w:rFonts w:ascii="Times New Roman" w:hAnsi="Times New Roman"/>
                <w:b w:val="0"/>
                <w:sz w:val="24"/>
                <w:u w:val="none"/>
                <w:lang w:eastAsia="de-DE"/>
              </w:rPr>
              <w:t xml:space="preserve">unencumbered </w:t>
            </w:r>
            <w:r w:rsidR="00BA5304">
              <w:rPr>
                <w:rStyle w:val="InstructionsTabelleberschrift"/>
                <w:rFonts w:ascii="Times New Roman" w:hAnsi="Times New Roman"/>
                <w:b w:val="0"/>
                <w:sz w:val="24"/>
                <w:u w:val="none"/>
                <w:lang w:eastAsia="de-DE"/>
              </w:rPr>
              <w:t xml:space="preserve">Central Bank </w:t>
            </w:r>
            <w:r w:rsidR="001C5C97">
              <w:rPr>
                <w:rStyle w:val="InstructionsTabelleberschrift"/>
                <w:rFonts w:ascii="Times New Roman" w:hAnsi="Times New Roman"/>
                <w:b w:val="0"/>
                <w:sz w:val="24"/>
                <w:u w:val="none"/>
                <w:lang w:eastAsia="de-DE"/>
              </w:rPr>
              <w:t xml:space="preserve">eligible assets. </w:t>
            </w:r>
          </w:p>
          <w:p w:rsidR="0085529D" w:rsidRDefault="00406560">
            <w:pPr>
              <w:spacing w:before="0" w:after="0"/>
              <w:jc w:val="left"/>
              <w:rPr>
                <w:rStyle w:val="InstructionsTabelleberschrift"/>
                <w:rFonts w:ascii="Times New Roman" w:hAnsi="Times New Roman"/>
                <w:b w:val="0"/>
                <w:sz w:val="24"/>
                <w:u w:val="none"/>
                <w:lang w:eastAsia="de-DE"/>
              </w:rPr>
            </w:pPr>
            <w:r w:rsidRPr="009920BE">
              <w:rPr>
                <w:rStyle w:val="InstructionsTabelleberschrift"/>
                <w:rFonts w:ascii="Times New Roman" w:hAnsi="Times New Roman"/>
                <w:b w:val="0"/>
                <w:sz w:val="24"/>
                <w:u w:val="none"/>
                <w:lang w:eastAsia="de-DE"/>
              </w:rPr>
              <w:t>For central bank eligible assets, only those assets shall be included which are proven to be eligible collateral for standard liquidity operations of a central bank in a Member State or third country including credit claims, if applicable.</w:t>
            </w:r>
          </w:p>
          <w:p w:rsidR="00DC6350" w:rsidRPr="009920BE" w:rsidRDefault="00DC6350">
            <w:pPr>
              <w:spacing w:before="0" w:after="0"/>
              <w:jc w:val="left"/>
              <w:rPr>
                <w:rStyle w:val="InstructionsTabelleberschrift"/>
                <w:rFonts w:ascii="Times New Roman" w:hAnsi="Times New Roman"/>
                <w:b w:val="0"/>
                <w:sz w:val="24"/>
                <w:u w:val="none"/>
                <w:lang w:eastAsia="de-DE"/>
              </w:rPr>
            </w:pPr>
          </w:p>
          <w:p w:rsidR="00D45CFC" w:rsidRPr="009920BE" w:rsidRDefault="00D45CFC">
            <w:pPr>
              <w:spacing w:before="0" w:after="0"/>
              <w:jc w:val="left"/>
              <w:rPr>
                <w:rStyle w:val="InstructionsTabelleberschrift"/>
                <w:rFonts w:ascii="Times New Roman" w:hAnsi="Times New Roman"/>
                <w:b w:val="0"/>
                <w:sz w:val="24"/>
                <w:u w:val="none"/>
                <w:lang w:eastAsia="de-DE"/>
              </w:rPr>
            </w:pPr>
            <w:r w:rsidRPr="009920BE">
              <w:rPr>
                <w:rStyle w:val="InstructionsTabelleberschrift"/>
                <w:rFonts w:ascii="Times New Roman" w:hAnsi="Times New Roman"/>
                <w:sz w:val="24"/>
                <w:u w:val="none"/>
                <w:lang w:eastAsia="de-DE"/>
              </w:rPr>
              <w:t>For assets denominated in a currency included in the ITS issued under Article 416 (5) Regulation 575/2013 as a currency with extremely narrow central bank eligibility, institutions shall report the relevant assets as central bank eligible.</w:t>
            </w:r>
          </w:p>
          <w:p w:rsidR="001C5C97" w:rsidRPr="0040604D" w:rsidRDefault="001C5C97" w:rsidP="00C85FA6">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255"/>
        </w:trPr>
        <w:tc>
          <w:tcPr>
            <w:tcW w:w="828" w:type="dxa"/>
            <w:vAlign w:val="center"/>
          </w:tcPr>
          <w:p w:rsidR="00AD794C" w:rsidRPr="009920BE" w:rsidRDefault="00AA5B2D" w:rsidP="009920BE">
            <w:pPr>
              <w:jc w:val="left"/>
              <w:rPr>
                <w:rFonts w:ascii="Times New Roman" w:hAnsi="Times New Roman"/>
                <w:sz w:val="24"/>
              </w:rPr>
            </w:pPr>
            <w:r>
              <w:rPr>
                <w:rFonts w:ascii="Times New Roman" w:hAnsi="Times New Roman"/>
                <w:sz w:val="24"/>
              </w:rPr>
              <w:t>1070</w:t>
            </w:r>
          </w:p>
        </w:tc>
        <w:tc>
          <w:tcPr>
            <w:tcW w:w="7740" w:type="dxa"/>
            <w:shd w:val="clear" w:color="auto" w:fill="auto"/>
            <w:noWrap/>
            <w:vAlign w:val="bottom"/>
          </w:tcPr>
          <w:p w:rsidR="00AD794C" w:rsidRPr="00DC6350" w:rsidRDefault="00AD794C" w:rsidP="00ED6567">
            <w:pPr>
              <w:spacing w:before="0" w:after="0"/>
              <w:jc w:val="left"/>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sz w:val="24"/>
                <w:lang w:eastAsia="de-DE"/>
              </w:rPr>
              <w:t>3.3.1 securities with a 0% risk weight</w:t>
            </w:r>
            <w:r w:rsidR="000B323F">
              <w:rPr>
                <w:rFonts w:ascii="Times New Roman" w:hAnsi="Times New Roman"/>
                <w:b/>
                <w:sz w:val="24"/>
                <w:u w:val="single"/>
              </w:rPr>
              <w:t xml:space="preserve"> </w:t>
            </w:r>
            <w:r w:rsidRPr="0040604D">
              <w:rPr>
                <w:rStyle w:val="InstructionsTabelleberschrift"/>
                <w:rFonts w:ascii="Times New Roman" w:hAnsi="Times New Roman"/>
                <w:sz w:val="24"/>
                <w:lang w:eastAsia="de-DE"/>
              </w:rPr>
              <w:br/>
            </w:r>
            <w:r w:rsidRPr="0040604D">
              <w:rPr>
                <w:rStyle w:val="InstructionsTabelleberschrift"/>
                <w:rFonts w:ascii="Times New Roman" w:hAnsi="Times New Roman"/>
                <w:sz w:val="24"/>
                <w:lang w:eastAsia="de-DE"/>
              </w:rPr>
              <w:br/>
            </w:r>
            <w:r w:rsidR="00B27E9A" w:rsidRPr="009920BE">
              <w:rPr>
                <w:rStyle w:val="InstructionsTabelleberschrift"/>
                <w:rFonts w:ascii="Times New Roman" w:hAnsi="Times New Roman"/>
                <w:b w:val="0"/>
                <w:sz w:val="24"/>
                <w:u w:val="none"/>
                <w:lang w:eastAsia="de-DE"/>
              </w:rPr>
              <w:t>Point</w:t>
            </w:r>
            <w:r w:rsidR="002B1FDF" w:rsidRPr="009920BE">
              <w:rPr>
                <w:rStyle w:val="InstructionsTabelleberschrift"/>
                <w:rFonts w:ascii="Times New Roman" w:hAnsi="Times New Roman"/>
                <w:b w:val="0"/>
                <w:sz w:val="24"/>
                <w:u w:val="none"/>
                <w:lang w:eastAsia="de-DE"/>
              </w:rPr>
              <w:t xml:space="preserve"> 3 of Annex III</w:t>
            </w:r>
            <w:r w:rsidRPr="009920BE">
              <w:rPr>
                <w:rStyle w:val="InstructionsTabelleberschrift"/>
                <w:rFonts w:ascii="Times New Roman" w:hAnsi="Times New Roman"/>
                <w:b w:val="0"/>
                <w:sz w:val="24"/>
                <w:u w:val="none"/>
                <w:lang w:eastAsia="de-DE"/>
              </w:rPr>
              <w:t xml:space="preserve"> of Regulation </w:t>
            </w:r>
            <w:r w:rsidR="00C1399E" w:rsidRPr="009920BE">
              <w:rPr>
                <w:rStyle w:val="InstructionsTabelleberschrift"/>
                <w:rFonts w:ascii="Times New Roman" w:hAnsi="Times New Roman"/>
                <w:b w:val="0"/>
                <w:sz w:val="24"/>
                <w:u w:val="none"/>
                <w:lang w:eastAsia="de-DE"/>
              </w:rPr>
              <w:t xml:space="preserve">(EU) No </w:t>
            </w:r>
            <w:r w:rsidR="00B27E9A" w:rsidRPr="009920BE">
              <w:rPr>
                <w:rStyle w:val="InstructionsTabelleberschrift"/>
                <w:rFonts w:ascii="Times New Roman" w:hAnsi="Times New Roman"/>
                <w:b w:val="0"/>
                <w:sz w:val="24"/>
                <w:u w:val="none"/>
                <w:lang w:eastAsia="de-DE"/>
              </w:rPr>
              <w:t>575/2013</w:t>
            </w:r>
            <w:r w:rsidR="00DC6350">
              <w:rPr>
                <w:rStyle w:val="InstructionsTabelleberschrift"/>
                <w:rFonts w:ascii="Times New Roman" w:hAnsi="Times New Roman"/>
                <w:b w:val="0"/>
                <w:sz w:val="24"/>
                <w:u w:val="none"/>
                <w:lang w:eastAsia="de-DE"/>
              </w:rPr>
              <w:t>.</w:t>
            </w:r>
          </w:p>
          <w:p w:rsidR="00AD794C" w:rsidRPr="00DC6350" w:rsidRDefault="00AD794C" w:rsidP="00ED6567">
            <w:pPr>
              <w:spacing w:before="0" w:after="0"/>
              <w:jc w:val="left"/>
              <w:rPr>
                <w:rStyle w:val="InstructionsTabelleberschrift"/>
                <w:rFonts w:ascii="Times New Roman" w:hAnsi="Times New Roman"/>
                <w:b w:val="0"/>
                <w:sz w:val="24"/>
                <w:u w:val="none"/>
                <w:lang w:eastAsia="de-DE"/>
              </w:rPr>
            </w:pPr>
          </w:p>
          <w:p w:rsidR="00AD794C" w:rsidRPr="0040604D" w:rsidRDefault="00743492" w:rsidP="00ED6567">
            <w:pPr>
              <w:spacing w:before="0" w:after="0"/>
              <w:jc w:val="left"/>
              <w:rPr>
                <w:rStyle w:val="InstructionsTabelleberschrift"/>
                <w:rFonts w:ascii="Times New Roman" w:hAnsi="Times New Roman"/>
                <w:sz w:val="24"/>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4E6B4F">
              <w:rPr>
                <w:rStyle w:val="InstructionsTabelleberschrift"/>
                <w:rFonts w:ascii="Times New Roman" w:hAnsi="Times New Roman"/>
                <w:b w:val="0"/>
                <w:sz w:val="24"/>
                <w:u w:val="none"/>
                <w:lang w:eastAsia="de-DE"/>
              </w:rPr>
              <w:t>is</w:t>
            </w:r>
            <w:r w:rsidR="004E6B4F"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securities with a 0% risk weight</w:t>
            </w:r>
            <w:r w:rsidR="00B27E9A" w:rsidRPr="00B27E9A">
              <w:rPr>
                <w:rStyle w:val="InstructionsTabelleberschrift"/>
                <w:rFonts w:ascii="Times New Roman" w:hAnsi="Times New Roman"/>
                <w:b w:val="0"/>
                <w:sz w:val="24"/>
                <w:u w:val="none"/>
                <w:lang w:eastAsia="de-DE"/>
              </w:rPr>
              <w:t xml:space="preserve"> </w:t>
            </w:r>
            <w:r w:rsidR="00B27E9A" w:rsidRPr="00B27E9A">
              <w:rPr>
                <w:rFonts w:ascii="Times New Roman" w:hAnsi="Times New Roman"/>
                <w:sz w:val="24"/>
              </w:rPr>
              <w:t xml:space="preserve">under Chapter 2, Title II of Part Three </w:t>
            </w:r>
            <w:r w:rsidR="00C1399E">
              <w:rPr>
                <w:rFonts w:ascii="Times New Roman" w:hAnsi="Times New Roman"/>
                <w:sz w:val="24"/>
              </w:rPr>
              <w:t xml:space="preserve">of </w:t>
            </w:r>
            <w:r w:rsidR="00C1399E" w:rsidRPr="0040604D">
              <w:rPr>
                <w:rFonts w:ascii="Times New Roman" w:hAnsi="Times New Roman"/>
                <w:sz w:val="24"/>
                <w:lang w:eastAsia="en-GB"/>
              </w:rPr>
              <w:t xml:space="preserve">Regulation </w:t>
            </w:r>
            <w:r w:rsidR="00C1399E">
              <w:rPr>
                <w:rFonts w:ascii="Times New Roman" w:hAnsi="Times New Roman"/>
                <w:sz w:val="24"/>
              </w:rPr>
              <w:t>(EU) No</w:t>
            </w:r>
            <w:r w:rsidR="00C1399E">
              <w:rPr>
                <w:rFonts w:ascii="Times New Roman" w:hAnsi="Times New Roman"/>
                <w:sz w:val="24"/>
                <w:lang w:eastAsia="en-GB"/>
              </w:rPr>
              <w:t xml:space="preserve"> 575/2013</w:t>
            </w:r>
            <w:r w:rsidR="00AD794C" w:rsidRPr="0040604D">
              <w:rPr>
                <w:rStyle w:val="InstructionsTabelleberschrift"/>
                <w:rFonts w:ascii="Times New Roman" w:hAnsi="Times New Roman"/>
                <w:b w:val="0"/>
                <w:sz w:val="24"/>
                <w:u w:val="none"/>
                <w:lang w:eastAsia="de-DE"/>
              </w:rPr>
              <w:t>.</w:t>
            </w:r>
            <w:r w:rsidR="00AD794C" w:rsidRPr="0040604D">
              <w:rPr>
                <w:rStyle w:val="InstructionsTabelleberschrift"/>
                <w:rFonts w:ascii="Times New Roman" w:hAnsi="Times New Roman"/>
                <w:b w:val="0"/>
                <w:sz w:val="24"/>
                <w:lang w:eastAsia="de-DE"/>
              </w:rPr>
              <w:t xml:space="preserve"> </w:t>
            </w:r>
          </w:p>
          <w:p w:rsidR="00AD794C" w:rsidRPr="0040604D" w:rsidRDefault="00AD794C" w:rsidP="005F4234">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255"/>
        </w:trPr>
        <w:tc>
          <w:tcPr>
            <w:tcW w:w="828" w:type="dxa"/>
            <w:vAlign w:val="center"/>
          </w:tcPr>
          <w:p w:rsidR="00AD794C" w:rsidRPr="009920BE" w:rsidRDefault="00AA5B2D" w:rsidP="009920BE">
            <w:pPr>
              <w:jc w:val="left"/>
              <w:rPr>
                <w:rFonts w:ascii="Times New Roman" w:hAnsi="Times New Roman"/>
                <w:sz w:val="24"/>
              </w:rPr>
            </w:pPr>
            <w:r>
              <w:rPr>
                <w:rFonts w:ascii="Times New Roman" w:hAnsi="Times New Roman"/>
                <w:sz w:val="24"/>
              </w:rPr>
              <w:t>1</w:t>
            </w:r>
            <w:r>
              <w:rPr>
                <w:rFonts w:ascii="Times New Roman" w:hAnsi="Times New Roman"/>
                <w:sz w:val="24"/>
              </w:rPr>
              <w:lastRenderedPageBreak/>
              <w:t>080</w:t>
            </w:r>
          </w:p>
        </w:tc>
        <w:tc>
          <w:tcPr>
            <w:tcW w:w="7740" w:type="dxa"/>
            <w:shd w:val="clear" w:color="auto" w:fill="auto"/>
            <w:noWrap/>
            <w:vAlign w:val="bottom"/>
          </w:tcPr>
          <w:p w:rsidR="00AD794C" w:rsidRPr="0040604D" w:rsidRDefault="00AD794C" w:rsidP="00ED6567">
            <w:pPr>
              <w:spacing w:before="0" w:after="0"/>
              <w:jc w:val="left"/>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sz w:val="24"/>
                <w:lang w:eastAsia="de-DE"/>
              </w:rPr>
              <w:lastRenderedPageBreak/>
              <w:t>3.3.1.1 representing claims on sovereigns</w:t>
            </w:r>
            <w:r w:rsidRPr="0040604D">
              <w:rPr>
                <w:rStyle w:val="InstructionsTabelleberschrift"/>
                <w:rFonts w:ascii="Times New Roman" w:hAnsi="Times New Roman"/>
                <w:sz w:val="24"/>
                <w:lang w:eastAsia="de-DE"/>
              </w:rPr>
              <w:br/>
            </w:r>
          </w:p>
          <w:p w:rsidR="00AD794C" w:rsidRPr="0040604D" w:rsidRDefault="00743492" w:rsidP="00C85FA6">
            <w:pPr>
              <w:spacing w:before="0" w:after="0"/>
              <w:jc w:val="left"/>
              <w:rPr>
                <w:rStyle w:val="InstructionsTabelleberschrift"/>
                <w:rFonts w:ascii="Times New Roman" w:hAnsi="Times New Roman"/>
                <w:b w:val="0"/>
                <w:sz w:val="24"/>
                <w:lang w:eastAsia="de-DE"/>
              </w:rPr>
            </w:pPr>
            <w:r>
              <w:rPr>
                <w:rStyle w:val="InstructionsTabelleberschrift"/>
                <w:rFonts w:ascii="Times New Roman" w:hAnsi="Times New Roman"/>
                <w:b w:val="0"/>
                <w:sz w:val="24"/>
                <w:u w:val="none"/>
                <w:lang w:eastAsia="de-DE"/>
              </w:rPr>
              <w:lastRenderedPageBreak/>
              <w:t>The</w:t>
            </w:r>
            <w:r w:rsidR="00AD794C" w:rsidRPr="0040604D">
              <w:rPr>
                <w:rStyle w:val="InstructionsTabelleberschrift"/>
                <w:rFonts w:ascii="Times New Roman" w:hAnsi="Times New Roman"/>
                <w:b w:val="0"/>
                <w:sz w:val="24"/>
                <w:u w:val="none"/>
                <w:lang w:eastAsia="de-DE"/>
              </w:rPr>
              <w:t xml:space="preserve"> amount reported in item 3.3.1,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4E6B4F">
              <w:rPr>
                <w:rStyle w:val="InstructionsTabelleberschrift"/>
                <w:rFonts w:ascii="Times New Roman" w:hAnsi="Times New Roman"/>
                <w:b w:val="0"/>
                <w:sz w:val="24"/>
                <w:u w:val="none"/>
                <w:lang w:eastAsia="de-DE"/>
              </w:rPr>
              <w:t>is</w:t>
            </w:r>
            <w:r w:rsidR="004E6B4F"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representing claims on sovereigns.</w:t>
            </w:r>
          </w:p>
          <w:p w:rsidR="00AD794C" w:rsidRPr="0040604D" w:rsidRDefault="00AD794C" w:rsidP="00C85FA6">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255"/>
        </w:trPr>
        <w:tc>
          <w:tcPr>
            <w:tcW w:w="828" w:type="dxa"/>
            <w:vAlign w:val="center"/>
          </w:tcPr>
          <w:p w:rsidR="00AD794C" w:rsidRPr="009920BE" w:rsidRDefault="00AA5B2D" w:rsidP="009920BE">
            <w:pPr>
              <w:jc w:val="left"/>
              <w:rPr>
                <w:rFonts w:ascii="Times New Roman" w:hAnsi="Times New Roman"/>
                <w:sz w:val="24"/>
              </w:rPr>
            </w:pPr>
            <w:r>
              <w:rPr>
                <w:rFonts w:ascii="Times New Roman" w:hAnsi="Times New Roman"/>
                <w:sz w:val="24"/>
              </w:rPr>
              <w:lastRenderedPageBreak/>
              <w:t>1090</w:t>
            </w:r>
          </w:p>
        </w:tc>
        <w:tc>
          <w:tcPr>
            <w:tcW w:w="7740" w:type="dxa"/>
            <w:shd w:val="clear" w:color="auto" w:fill="auto"/>
            <w:noWrap/>
            <w:vAlign w:val="bottom"/>
          </w:tcPr>
          <w:p w:rsidR="00AD794C" w:rsidRPr="0040604D" w:rsidRDefault="00AD794C" w:rsidP="00ED6567">
            <w:pPr>
              <w:spacing w:before="0" w:after="0"/>
              <w:jc w:val="left"/>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sz w:val="24"/>
                <w:lang w:eastAsia="de-DE"/>
              </w:rPr>
              <w:t>3.3.1.2 guaranteed by</w:t>
            </w:r>
            <w:r w:rsidR="003E309A">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sovereigns</w:t>
            </w:r>
            <w:r w:rsidRPr="0040604D">
              <w:rPr>
                <w:rStyle w:val="InstructionsTabelleberschrift"/>
                <w:rFonts w:ascii="Times New Roman" w:hAnsi="Times New Roman"/>
                <w:sz w:val="24"/>
                <w:lang w:eastAsia="de-DE"/>
              </w:rPr>
              <w:br/>
            </w:r>
          </w:p>
          <w:p w:rsidR="00AD794C" w:rsidRPr="0040604D" w:rsidRDefault="00743492" w:rsidP="00C85FA6">
            <w:pPr>
              <w:spacing w:before="0" w:after="0"/>
              <w:jc w:val="left"/>
              <w:rPr>
                <w:rStyle w:val="InstructionsTabelleberschrift"/>
                <w:rFonts w:ascii="Times New Roman" w:hAnsi="Times New Roman"/>
                <w:b w:val="0"/>
                <w:sz w:val="24"/>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3.3.1,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4E6B4F">
              <w:rPr>
                <w:rStyle w:val="InstructionsTabelleberschrift"/>
                <w:rFonts w:ascii="Times New Roman" w:hAnsi="Times New Roman"/>
                <w:b w:val="0"/>
                <w:sz w:val="24"/>
                <w:u w:val="none"/>
                <w:lang w:eastAsia="de-DE"/>
              </w:rPr>
              <w:t>is</w:t>
            </w:r>
            <w:r w:rsidR="004E6B4F"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guaranteed by sovereigns.</w:t>
            </w:r>
          </w:p>
          <w:p w:rsidR="00AD794C" w:rsidRPr="0040604D" w:rsidRDefault="00AD794C" w:rsidP="00C85FA6">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255"/>
        </w:trPr>
        <w:tc>
          <w:tcPr>
            <w:tcW w:w="828" w:type="dxa"/>
            <w:vAlign w:val="center"/>
          </w:tcPr>
          <w:p w:rsidR="00AD794C" w:rsidRPr="009920BE" w:rsidRDefault="00AA5B2D" w:rsidP="009920BE">
            <w:pPr>
              <w:jc w:val="left"/>
              <w:rPr>
                <w:rFonts w:ascii="Times New Roman" w:hAnsi="Times New Roman"/>
                <w:sz w:val="24"/>
              </w:rPr>
            </w:pPr>
            <w:r>
              <w:rPr>
                <w:rFonts w:ascii="Times New Roman" w:hAnsi="Times New Roman"/>
                <w:sz w:val="24"/>
              </w:rPr>
              <w:t>1100</w:t>
            </w:r>
          </w:p>
        </w:tc>
        <w:tc>
          <w:tcPr>
            <w:tcW w:w="7740" w:type="dxa"/>
            <w:shd w:val="clear" w:color="auto" w:fill="auto"/>
            <w:noWrap/>
            <w:vAlign w:val="bottom"/>
          </w:tcPr>
          <w:p w:rsidR="00AD794C" w:rsidRPr="0040604D" w:rsidRDefault="00AD794C" w:rsidP="00ED6567">
            <w:pPr>
              <w:spacing w:before="0" w:after="0"/>
              <w:jc w:val="left"/>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sz w:val="24"/>
                <w:lang w:eastAsia="de-DE"/>
              </w:rPr>
              <w:t>3.3.1.3 representing claims on or guaranteed by central banks</w:t>
            </w:r>
            <w:r w:rsidRPr="0040604D">
              <w:rPr>
                <w:rStyle w:val="InstructionsTabelleberschrift"/>
                <w:rFonts w:ascii="Times New Roman" w:hAnsi="Times New Roman"/>
                <w:sz w:val="24"/>
                <w:lang w:eastAsia="de-DE"/>
              </w:rPr>
              <w:br/>
            </w:r>
            <w:r w:rsidRPr="0040604D">
              <w:rPr>
                <w:rStyle w:val="InstructionsTabelleberschrift"/>
                <w:rFonts w:ascii="Times New Roman" w:hAnsi="Times New Roman"/>
                <w:sz w:val="24"/>
                <w:lang w:eastAsia="de-DE"/>
              </w:rPr>
              <w:br/>
            </w:r>
            <w:r w:rsidR="00743492">
              <w:rPr>
                <w:rStyle w:val="InstructionsTabelleberschrift"/>
                <w:rFonts w:ascii="Times New Roman" w:hAnsi="Times New Roman"/>
                <w:b w:val="0"/>
                <w:sz w:val="24"/>
                <w:u w:val="none"/>
                <w:lang w:eastAsia="de-DE"/>
              </w:rPr>
              <w:t>The</w:t>
            </w:r>
            <w:r w:rsidRPr="0040604D">
              <w:rPr>
                <w:rStyle w:val="InstructionsTabelleberschrift"/>
                <w:rFonts w:ascii="Times New Roman" w:hAnsi="Times New Roman"/>
                <w:b w:val="0"/>
                <w:sz w:val="24"/>
                <w:u w:val="none"/>
                <w:lang w:eastAsia="de-DE"/>
              </w:rPr>
              <w:t xml:space="preserve"> amount reported in item 3.3.1, </w:t>
            </w:r>
            <w:r w:rsidR="00743492">
              <w:rPr>
                <w:rStyle w:val="InstructionsTabelleberschrift"/>
                <w:rFonts w:ascii="Times New Roman" w:hAnsi="Times New Roman"/>
                <w:b w:val="0"/>
                <w:sz w:val="24"/>
                <w:u w:val="none"/>
                <w:lang w:eastAsia="de-DE"/>
              </w:rPr>
              <w:t>which</w:t>
            </w:r>
            <w:r w:rsidRPr="0040604D">
              <w:rPr>
                <w:rStyle w:val="InstructionsTabelleberschrift"/>
                <w:rFonts w:ascii="Times New Roman" w:hAnsi="Times New Roman"/>
                <w:b w:val="0"/>
                <w:sz w:val="24"/>
                <w:u w:val="none"/>
                <w:lang w:eastAsia="de-DE"/>
              </w:rPr>
              <w:t xml:space="preserve"> </w:t>
            </w:r>
            <w:r w:rsidR="004E6B4F">
              <w:rPr>
                <w:rStyle w:val="InstructionsTabelleberschrift"/>
                <w:rFonts w:ascii="Times New Roman" w:hAnsi="Times New Roman"/>
                <w:b w:val="0"/>
                <w:sz w:val="24"/>
                <w:u w:val="none"/>
                <w:lang w:eastAsia="de-DE"/>
              </w:rPr>
              <w:t>is</w:t>
            </w:r>
            <w:r w:rsidR="004E6B4F" w:rsidRPr="0040604D">
              <w:rPr>
                <w:rStyle w:val="InstructionsTabelleberschrift"/>
                <w:rFonts w:ascii="Times New Roman" w:hAnsi="Times New Roman"/>
                <w:b w:val="0"/>
                <w:sz w:val="24"/>
                <w:u w:val="none"/>
                <w:lang w:eastAsia="de-DE"/>
              </w:rPr>
              <w:t xml:space="preserve"> </w:t>
            </w:r>
            <w:r w:rsidRPr="0040604D">
              <w:rPr>
                <w:rStyle w:val="InstructionsTabelleberschrift"/>
                <w:rFonts w:ascii="Times New Roman" w:hAnsi="Times New Roman"/>
                <w:b w:val="0"/>
                <w:sz w:val="24"/>
                <w:u w:val="none"/>
                <w:lang w:eastAsia="de-DE"/>
              </w:rPr>
              <w:t>representing claims on or guaranteed by central banks.</w:t>
            </w:r>
          </w:p>
          <w:p w:rsidR="00AD794C" w:rsidRPr="0040604D" w:rsidRDefault="00AD794C" w:rsidP="00C85FA6">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255"/>
        </w:trPr>
        <w:tc>
          <w:tcPr>
            <w:tcW w:w="828" w:type="dxa"/>
            <w:vAlign w:val="center"/>
          </w:tcPr>
          <w:p w:rsidR="00AD794C" w:rsidRPr="009920BE" w:rsidRDefault="00AA5B2D" w:rsidP="009920BE">
            <w:pPr>
              <w:jc w:val="left"/>
              <w:rPr>
                <w:rFonts w:ascii="Times New Roman" w:hAnsi="Times New Roman"/>
                <w:sz w:val="24"/>
              </w:rPr>
            </w:pPr>
            <w:r>
              <w:rPr>
                <w:rFonts w:ascii="Times New Roman" w:hAnsi="Times New Roman"/>
                <w:sz w:val="24"/>
              </w:rPr>
              <w:t>1110</w:t>
            </w:r>
          </w:p>
        </w:tc>
        <w:tc>
          <w:tcPr>
            <w:tcW w:w="7740" w:type="dxa"/>
            <w:shd w:val="clear" w:color="auto" w:fill="auto"/>
            <w:noWrap/>
            <w:vAlign w:val="bottom"/>
          </w:tcPr>
          <w:p w:rsidR="00AD794C" w:rsidRPr="0040604D" w:rsidRDefault="00AD794C" w:rsidP="00ED6567">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 xml:space="preserve">3.3.1.4 representing claims on or guaranteed by public sector entities, </w:t>
            </w:r>
            <w:r w:rsidR="00406560">
              <w:rPr>
                <w:rStyle w:val="InstructionsTabelleberschrift"/>
                <w:rFonts w:ascii="Times New Roman" w:hAnsi="Times New Roman"/>
                <w:sz w:val="24"/>
                <w:lang w:eastAsia="de-DE"/>
              </w:rPr>
              <w:t xml:space="preserve">regions with fiscal autonomy to raise and collect taxes </w:t>
            </w:r>
            <w:r w:rsidRPr="0040604D">
              <w:rPr>
                <w:rStyle w:val="InstructionsTabelleberschrift"/>
                <w:rFonts w:ascii="Times New Roman" w:hAnsi="Times New Roman"/>
                <w:sz w:val="24"/>
                <w:lang w:eastAsia="de-DE"/>
              </w:rPr>
              <w:t>and local authorities</w:t>
            </w:r>
            <w:r w:rsidRPr="0040604D">
              <w:rPr>
                <w:rStyle w:val="InstructionsTabelleberschrift"/>
                <w:rFonts w:ascii="Times New Roman" w:hAnsi="Times New Roman"/>
                <w:sz w:val="24"/>
                <w:lang w:eastAsia="de-DE"/>
              </w:rPr>
              <w:br/>
            </w:r>
          </w:p>
          <w:p w:rsidR="00AD794C" w:rsidRPr="0040604D" w:rsidRDefault="00743492" w:rsidP="00ED6567">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3.3.1,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E07AEF">
              <w:rPr>
                <w:rStyle w:val="InstructionsTabelleberschrift"/>
                <w:rFonts w:ascii="Times New Roman" w:hAnsi="Times New Roman"/>
                <w:b w:val="0"/>
                <w:sz w:val="24"/>
                <w:u w:val="none"/>
                <w:lang w:eastAsia="de-DE"/>
              </w:rPr>
              <w:t>is</w:t>
            </w:r>
            <w:r w:rsidR="00E07AEF"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 xml:space="preserve">representing claims on or guaranteed by public sector entities, </w:t>
            </w:r>
            <w:r w:rsidR="00406560" w:rsidRPr="008A1DB9">
              <w:rPr>
                <w:rStyle w:val="InstructionsTabelleberschrift"/>
                <w:rFonts w:ascii="Times New Roman" w:hAnsi="Times New Roman"/>
                <w:b w:val="0"/>
                <w:sz w:val="24"/>
                <w:u w:val="none"/>
                <w:lang w:eastAsia="de-DE"/>
              </w:rPr>
              <w:t xml:space="preserve">regions with fiscal autonomy to raise and collect taxes </w:t>
            </w:r>
            <w:r w:rsidR="00AD794C" w:rsidRPr="0040604D">
              <w:rPr>
                <w:rStyle w:val="InstructionsTabelleberschrift"/>
                <w:rFonts w:ascii="Times New Roman" w:hAnsi="Times New Roman"/>
                <w:b w:val="0"/>
                <w:sz w:val="24"/>
                <w:u w:val="none"/>
                <w:lang w:eastAsia="de-DE"/>
              </w:rPr>
              <w:t>and local authorities.</w:t>
            </w:r>
          </w:p>
          <w:p w:rsidR="00AD794C" w:rsidRPr="0040604D" w:rsidRDefault="00AD794C" w:rsidP="00ED6567">
            <w:pPr>
              <w:spacing w:before="0" w:after="0"/>
              <w:jc w:val="left"/>
              <w:rPr>
                <w:rStyle w:val="InstructionsTabelleberschrift"/>
                <w:rFonts w:ascii="Times New Roman" w:hAnsi="Times New Roman"/>
                <w:b w:val="0"/>
                <w:sz w:val="24"/>
                <w:u w:val="none"/>
                <w:lang w:eastAsia="de-DE"/>
              </w:rPr>
            </w:pPr>
          </w:p>
        </w:tc>
      </w:tr>
      <w:tr w:rsidR="00AD794C" w:rsidRPr="0040604D" w:rsidTr="0021066C">
        <w:trPr>
          <w:gridAfter w:val="1"/>
          <w:wAfter w:w="26" w:type="dxa"/>
          <w:trHeight w:val="255"/>
        </w:trPr>
        <w:tc>
          <w:tcPr>
            <w:tcW w:w="828" w:type="dxa"/>
            <w:vAlign w:val="center"/>
          </w:tcPr>
          <w:p w:rsidR="00AD794C" w:rsidRPr="009920BE" w:rsidRDefault="00AA5B2D" w:rsidP="009920BE">
            <w:pPr>
              <w:jc w:val="left"/>
              <w:rPr>
                <w:rFonts w:ascii="Times New Roman" w:hAnsi="Times New Roman"/>
                <w:sz w:val="24"/>
              </w:rPr>
            </w:pPr>
            <w:r>
              <w:rPr>
                <w:rFonts w:ascii="Times New Roman" w:hAnsi="Times New Roman"/>
                <w:sz w:val="24"/>
              </w:rPr>
              <w:t>1120</w:t>
            </w:r>
          </w:p>
        </w:tc>
        <w:tc>
          <w:tcPr>
            <w:tcW w:w="7740" w:type="dxa"/>
            <w:shd w:val="clear" w:color="auto" w:fill="auto"/>
            <w:noWrap/>
            <w:vAlign w:val="bottom"/>
          </w:tcPr>
          <w:p w:rsidR="00AD794C" w:rsidRPr="0040604D" w:rsidRDefault="00AD794C" w:rsidP="00C85FA6">
            <w:pPr>
              <w:spacing w:before="0" w:after="0"/>
              <w:jc w:val="left"/>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sz w:val="24"/>
                <w:lang w:eastAsia="de-DE"/>
              </w:rPr>
              <w:t xml:space="preserve">3.3.1.5 representing claims on or guaranteed by </w:t>
            </w:r>
            <w:r w:rsidR="00406560">
              <w:rPr>
                <w:rStyle w:val="InstructionsTabelleberschrift"/>
                <w:rFonts w:ascii="Times New Roman" w:hAnsi="Times New Roman"/>
                <w:sz w:val="24"/>
                <w:lang w:eastAsia="de-DE"/>
              </w:rPr>
              <w:t>the Bank for International Settlements</w:t>
            </w:r>
            <w:r w:rsidRPr="0040604D">
              <w:rPr>
                <w:rStyle w:val="InstructionsTabelleberschrift"/>
                <w:rFonts w:ascii="Times New Roman" w:hAnsi="Times New Roman"/>
                <w:sz w:val="24"/>
                <w:lang w:eastAsia="de-DE"/>
              </w:rPr>
              <w:t xml:space="preserve">, </w:t>
            </w:r>
            <w:r w:rsidR="00406560">
              <w:rPr>
                <w:rStyle w:val="InstructionsTabelleberschrift"/>
                <w:rFonts w:ascii="Times New Roman" w:hAnsi="Times New Roman"/>
                <w:sz w:val="24"/>
                <w:lang w:eastAsia="de-DE"/>
              </w:rPr>
              <w:t>the International Monetary Fund</w:t>
            </w:r>
            <w:r w:rsidRPr="0040604D">
              <w:rPr>
                <w:rStyle w:val="InstructionsTabelleberschrift"/>
                <w:rFonts w:ascii="Times New Roman" w:hAnsi="Times New Roman"/>
                <w:sz w:val="24"/>
                <w:lang w:eastAsia="de-DE"/>
              </w:rPr>
              <w:t xml:space="preserve">, </w:t>
            </w:r>
            <w:r w:rsidR="00406560">
              <w:rPr>
                <w:rStyle w:val="InstructionsTabelleberschrift"/>
                <w:rFonts w:ascii="Times New Roman" w:hAnsi="Times New Roman"/>
                <w:sz w:val="24"/>
                <w:lang w:eastAsia="de-DE"/>
              </w:rPr>
              <w:t>the European Union</w:t>
            </w:r>
            <w:r w:rsidRPr="0040604D">
              <w:rPr>
                <w:rStyle w:val="InstructionsTabelleberschrift"/>
                <w:rFonts w:ascii="Times New Roman" w:hAnsi="Times New Roman"/>
                <w:sz w:val="24"/>
                <w:lang w:eastAsia="de-DE"/>
              </w:rPr>
              <w:t xml:space="preserve"> </w:t>
            </w:r>
            <w:r w:rsidR="00406560">
              <w:rPr>
                <w:rStyle w:val="InstructionsTabelleberschrift"/>
                <w:rFonts w:ascii="Times New Roman" w:hAnsi="Times New Roman"/>
                <w:sz w:val="24"/>
                <w:lang w:eastAsia="de-DE"/>
              </w:rPr>
              <w:t>or multilateral development banks.</w:t>
            </w:r>
            <w:r w:rsidRPr="0040604D">
              <w:rPr>
                <w:rStyle w:val="InstructionsTabelleberschrift"/>
                <w:rFonts w:ascii="Times New Roman" w:hAnsi="Times New Roman"/>
                <w:sz w:val="24"/>
                <w:lang w:eastAsia="de-DE"/>
              </w:rPr>
              <w:br/>
            </w:r>
          </w:p>
          <w:p w:rsidR="00AD794C" w:rsidRPr="0040604D" w:rsidRDefault="00743492" w:rsidP="00ED6567">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3.3.1,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C132A8">
              <w:rPr>
                <w:rStyle w:val="InstructionsTabelleberschrift"/>
                <w:rFonts w:ascii="Times New Roman" w:hAnsi="Times New Roman"/>
                <w:b w:val="0"/>
                <w:sz w:val="24"/>
                <w:u w:val="none"/>
                <w:lang w:eastAsia="de-DE"/>
              </w:rPr>
              <w:t>is</w:t>
            </w:r>
            <w:r w:rsidR="00C132A8"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 xml:space="preserve">representing claims on or guaranteed by </w:t>
            </w:r>
            <w:r w:rsidR="00406560" w:rsidRPr="008A1DB9">
              <w:rPr>
                <w:rStyle w:val="InstructionsTabelleberschrift"/>
                <w:rFonts w:ascii="Times New Roman" w:hAnsi="Times New Roman"/>
                <w:b w:val="0"/>
                <w:sz w:val="24"/>
                <w:u w:val="none"/>
                <w:lang w:eastAsia="de-DE"/>
              </w:rPr>
              <w:t>the Bank for International Settlements, the International Monetary Fund, the European Union or multilateral development banks</w:t>
            </w:r>
            <w:r w:rsidR="00AD794C" w:rsidRPr="0040604D">
              <w:rPr>
                <w:rStyle w:val="InstructionsTabelleberschrift"/>
                <w:rFonts w:ascii="Times New Roman" w:hAnsi="Times New Roman"/>
                <w:b w:val="0"/>
                <w:sz w:val="24"/>
                <w:u w:val="none"/>
                <w:lang w:eastAsia="de-DE"/>
              </w:rPr>
              <w:t>.</w:t>
            </w:r>
          </w:p>
          <w:p w:rsidR="00AD794C" w:rsidRPr="0040604D" w:rsidRDefault="00AD794C" w:rsidP="00ED6567">
            <w:pPr>
              <w:spacing w:before="0" w:after="0"/>
              <w:jc w:val="left"/>
              <w:rPr>
                <w:rStyle w:val="InstructionsTabelleberschrift"/>
                <w:rFonts w:ascii="Times New Roman" w:hAnsi="Times New Roman"/>
                <w:sz w:val="24"/>
                <w:lang w:eastAsia="de-DE"/>
              </w:rPr>
            </w:pPr>
          </w:p>
        </w:tc>
      </w:tr>
      <w:tr w:rsidR="00375F1B" w:rsidRPr="0040604D" w:rsidTr="0021066C">
        <w:trPr>
          <w:gridAfter w:val="1"/>
          <w:wAfter w:w="26" w:type="dxa"/>
          <w:trHeight w:val="255"/>
        </w:trPr>
        <w:tc>
          <w:tcPr>
            <w:tcW w:w="828" w:type="dxa"/>
            <w:vAlign w:val="center"/>
          </w:tcPr>
          <w:p w:rsidR="00375F1B" w:rsidRPr="009920BE" w:rsidRDefault="00AA5B2D" w:rsidP="009920BE">
            <w:pPr>
              <w:jc w:val="left"/>
              <w:rPr>
                <w:rFonts w:ascii="Times New Roman" w:hAnsi="Times New Roman"/>
                <w:sz w:val="24"/>
              </w:rPr>
            </w:pPr>
            <w:r>
              <w:rPr>
                <w:rFonts w:ascii="Times New Roman" w:hAnsi="Times New Roman"/>
                <w:sz w:val="24"/>
              </w:rPr>
              <w:t>1130</w:t>
            </w:r>
          </w:p>
        </w:tc>
        <w:tc>
          <w:tcPr>
            <w:tcW w:w="7740" w:type="dxa"/>
            <w:shd w:val="clear" w:color="auto" w:fill="auto"/>
            <w:noWrap/>
            <w:vAlign w:val="bottom"/>
          </w:tcPr>
          <w:p w:rsidR="00375F1B" w:rsidRDefault="00643C9B" w:rsidP="00C85FA6">
            <w:pPr>
              <w:spacing w:before="0" w:after="0"/>
              <w:jc w:val="left"/>
              <w:rPr>
                <w:rStyle w:val="InstructionsTabelleberschrift"/>
                <w:rFonts w:ascii="Times New Roman" w:hAnsi="Times New Roman"/>
                <w:sz w:val="24"/>
              </w:rPr>
            </w:pPr>
            <w:r>
              <w:rPr>
                <w:rStyle w:val="InstructionsTabelleberschrift"/>
                <w:rFonts w:ascii="Times New Roman" w:hAnsi="Times New Roman"/>
                <w:sz w:val="24"/>
                <w:lang w:eastAsia="de-DE"/>
              </w:rPr>
              <w:t>3.3.1.6</w:t>
            </w:r>
            <w:r w:rsidR="00375F1B" w:rsidRPr="0040604D">
              <w:rPr>
                <w:rStyle w:val="InstructionsTabelleberschrift"/>
                <w:rFonts w:ascii="Times New Roman" w:hAnsi="Times New Roman"/>
                <w:sz w:val="24"/>
                <w:lang w:eastAsia="de-DE"/>
              </w:rPr>
              <w:t xml:space="preserve"> </w:t>
            </w:r>
            <w:r w:rsidRPr="00643C9B">
              <w:rPr>
                <w:rStyle w:val="InstructionsTabelleberschrift"/>
                <w:rFonts w:ascii="Times New Roman" w:hAnsi="Times New Roman"/>
                <w:sz w:val="24"/>
                <w:lang w:eastAsia="de-DE"/>
              </w:rPr>
              <w:t>representing claims on or guaranteed by the European Financial Stability Facility and the European Stability Mechanism</w:t>
            </w:r>
          </w:p>
          <w:p w:rsidR="00643C9B" w:rsidRDefault="00643C9B" w:rsidP="00C85FA6">
            <w:pPr>
              <w:spacing w:before="0" w:after="0"/>
              <w:jc w:val="left"/>
              <w:rPr>
                <w:rStyle w:val="InstructionsTabelleberschrift"/>
                <w:rFonts w:ascii="Times New Roman" w:hAnsi="Times New Roman"/>
                <w:sz w:val="24"/>
              </w:rPr>
            </w:pPr>
          </w:p>
          <w:p w:rsidR="00643C9B" w:rsidRPr="00643C9B" w:rsidRDefault="00743492" w:rsidP="00C85FA6">
            <w:pPr>
              <w:spacing w:before="0" w:after="0"/>
              <w:jc w:val="left"/>
              <w:rPr>
                <w:rStyle w:val="InstructionsTabelleberschrift"/>
                <w:rFonts w:ascii="Times New Roman" w:hAnsi="Times New Roman"/>
                <w:b w:val="0"/>
                <w:sz w:val="24"/>
                <w:u w:val="none"/>
              </w:rPr>
            </w:pPr>
            <w:r>
              <w:rPr>
                <w:rStyle w:val="InstructionsTabelleberschrift"/>
                <w:rFonts w:ascii="Times New Roman" w:hAnsi="Times New Roman"/>
                <w:b w:val="0"/>
                <w:sz w:val="24"/>
                <w:u w:val="none"/>
                <w:lang w:eastAsia="de-DE"/>
              </w:rPr>
              <w:t>The</w:t>
            </w:r>
            <w:r w:rsidR="00643C9B" w:rsidRPr="00643C9B">
              <w:rPr>
                <w:rStyle w:val="InstructionsTabelleberschrift"/>
                <w:rFonts w:ascii="Times New Roman" w:hAnsi="Times New Roman"/>
                <w:b w:val="0"/>
                <w:sz w:val="24"/>
                <w:u w:val="none"/>
                <w:lang w:eastAsia="de-DE"/>
              </w:rPr>
              <w:t xml:space="preserve"> amount reported in item 3.3.1 </w:t>
            </w:r>
            <w:r>
              <w:rPr>
                <w:rStyle w:val="InstructionsTabelleberschrift"/>
                <w:rFonts w:ascii="Times New Roman" w:hAnsi="Times New Roman"/>
                <w:b w:val="0"/>
                <w:sz w:val="24"/>
                <w:u w:val="none"/>
                <w:lang w:eastAsia="de-DE"/>
              </w:rPr>
              <w:t>which</w:t>
            </w:r>
            <w:r w:rsidR="00643C9B" w:rsidRPr="00643C9B">
              <w:rPr>
                <w:rStyle w:val="InstructionsTabelleberschrift"/>
                <w:rFonts w:ascii="Times New Roman" w:hAnsi="Times New Roman"/>
                <w:b w:val="0"/>
                <w:sz w:val="24"/>
                <w:u w:val="none"/>
                <w:lang w:eastAsia="de-DE"/>
              </w:rPr>
              <w:t xml:space="preserve"> is representing claims on or guaranteed by the European Financial Stability Facility and the European Stability Mechanism.</w:t>
            </w:r>
          </w:p>
        </w:tc>
      </w:tr>
      <w:tr w:rsidR="00AD794C" w:rsidRPr="0040604D" w:rsidTr="0021066C">
        <w:trPr>
          <w:gridAfter w:val="1"/>
          <w:wAfter w:w="26" w:type="dxa"/>
          <w:trHeight w:val="255"/>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1140</w:t>
            </w:r>
          </w:p>
        </w:tc>
        <w:tc>
          <w:tcPr>
            <w:tcW w:w="7740" w:type="dxa"/>
            <w:shd w:val="clear" w:color="auto" w:fill="auto"/>
            <w:noWrap/>
            <w:vAlign w:val="bottom"/>
          </w:tcPr>
          <w:p w:rsidR="00AD794C" w:rsidRPr="0040604D" w:rsidRDefault="00AD794C" w:rsidP="00C85FA6">
            <w:pPr>
              <w:spacing w:before="0" w:after="0"/>
              <w:jc w:val="left"/>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sz w:val="24"/>
                <w:lang w:eastAsia="de-DE"/>
              </w:rPr>
              <w:t>3.3.2 securities with a 20% risk weight</w:t>
            </w:r>
            <w:r w:rsidR="000B323F">
              <w:rPr>
                <w:rFonts w:ascii="Times New Roman" w:hAnsi="Times New Roman"/>
                <w:b/>
                <w:sz w:val="24"/>
                <w:u w:val="single"/>
              </w:rPr>
              <w:t xml:space="preserve"> </w:t>
            </w:r>
            <w:r w:rsidRPr="0040604D">
              <w:rPr>
                <w:rStyle w:val="InstructionsTabelleberschrift"/>
                <w:rFonts w:ascii="Times New Roman" w:hAnsi="Times New Roman"/>
                <w:sz w:val="24"/>
                <w:lang w:eastAsia="de-DE"/>
              </w:rPr>
              <w:br/>
            </w:r>
          </w:p>
          <w:p w:rsidR="00AD794C" w:rsidRPr="0040604D" w:rsidRDefault="00743492" w:rsidP="00C85FA6">
            <w:pPr>
              <w:spacing w:before="0" w:after="0"/>
              <w:jc w:val="left"/>
              <w:rPr>
                <w:rStyle w:val="InstructionsTabelleberschrift"/>
                <w:rFonts w:ascii="Times New Roman" w:hAnsi="Times New Roman"/>
                <w:sz w:val="24"/>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 </w:t>
            </w:r>
            <w:r>
              <w:rPr>
                <w:rStyle w:val="InstructionsTabelleberschrift"/>
                <w:rFonts w:ascii="Times New Roman" w:hAnsi="Times New Roman"/>
                <w:b w:val="0"/>
                <w:sz w:val="24"/>
                <w:u w:val="none"/>
                <w:lang w:eastAsia="de-DE"/>
              </w:rPr>
              <w:t>which</w:t>
            </w:r>
            <w:r w:rsidR="00253273" w:rsidRPr="0040604D">
              <w:rPr>
                <w:rStyle w:val="InstructionsTabelleberschrift"/>
                <w:rFonts w:ascii="Times New Roman" w:hAnsi="Times New Roman"/>
                <w:b w:val="0"/>
                <w:sz w:val="24"/>
                <w:u w:val="none"/>
                <w:lang w:eastAsia="de-DE"/>
              </w:rPr>
              <w:t xml:space="preserve"> is</w:t>
            </w:r>
            <w:r w:rsidR="00AD794C" w:rsidRPr="0040604D">
              <w:rPr>
                <w:rStyle w:val="InstructionsTabelleberschrift"/>
                <w:rFonts w:ascii="Times New Roman" w:hAnsi="Times New Roman"/>
                <w:b w:val="0"/>
                <w:sz w:val="24"/>
                <w:u w:val="none"/>
                <w:lang w:eastAsia="de-DE"/>
              </w:rPr>
              <w:t xml:space="preserve"> securities with a 20% risk weight</w:t>
            </w:r>
            <w:r w:rsidR="00BE5F65">
              <w:rPr>
                <w:rStyle w:val="InstructionsTabelleberschrift"/>
                <w:rFonts w:ascii="Times New Roman" w:hAnsi="Times New Roman"/>
                <w:b w:val="0"/>
                <w:sz w:val="24"/>
                <w:u w:val="none"/>
                <w:lang w:eastAsia="de-DE"/>
              </w:rPr>
              <w:t xml:space="preserve"> </w:t>
            </w:r>
            <w:r w:rsidR="00BE5F65" w:rsidRPr="00BE5F65">
              <w:rPr>
                <w:rStyle w:val="InstructionsTabelleberschrift"/>
                <w:rFonts w:ascii="Times New Roman" w:hAnsi="Times New Roman"/>
                <w:b w:val="0"/>
                <w:sz w:val="24"/>
                <w:u w:val="none"/>
                <w:lang w:eastAsia="de-DE"/>
              </w:rPr>
              <w:t>under Chapter 2, Title II of Part Three of Regulation (EU) No 575/2013</w:t>
            </w:r>
            <w:r w:rsidR="00AD794C" w:rsidRPr="0040604D">
              <w:rPr>
                <w:rStyle w:val="InstructionsTabelleberschrift"/>
                <w:rFonts w:ascii="Times New Roman" w:hAnsi="Times New Roman"/>
                <w:b w:val="0"/>
                <w:sz w:val="24"/>
                <w:u w:val="none"/>
                <w:lang w:eastAsia="de-DE"/>
              </w:rPr>
              <w:t>.</w:t>
            </w:r>
            <w:r w:rsidR="00AD794C" w:rsidRPr="0040604D">
              <w:rPr>
                <w:rStyle w:val="InstructionsTabelleberschrift"/>
                <w:rFonts w:ascii="Times New Roman" w:hAnsi="Times New Roman"/>
                <w:b w:val="0"/>
                <w:sz w:val="24"/>
                <w:lang w:eastAsia="de-DE"/>
              </w:rPr>
              <w:t xml:space="preserve"> </w:t>
            </w:r>
          </w:p>
          <w:p w:rsidR="00AD794C" w:rsidRPr="0040604D" w:rsidRDefault="00AD794C" w:rsidP="00FE6049">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255"/>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1150</w:t>
            </w:r>
          </w:p>
        </w:tc>
        <w:tc>
          <w:tcPr>
            <w:tcW w:w="7740" w:type="dxa"/>
            <w:shd w:val="clear" w:color="auto" w:fill="auto"/>
            <w:noWrap/>
            <w:vAlign w:val="bottom"/>
          </w:tcPr>
          <w:p w:rsidR="00AD794C" w:rsidRPr="0040604D" w:rsidRDefault="00AD794C" w:rsidP="00ED6567">
            <w:pPr>
              <w:spacing w:before="0" w:after="0"/>
              <w:jc w:val="left"/>
              <w:rPr>
                <w:rStyle w:val="InstructionsTabelleberschrift"/>
                <w:rFonts w:ascii="Times New Roman" w:hAnsi="Times New Roman"/>
                <w:b w:val="0"/>
                <w:sz w:val="24"/>
                <w:u w:val="none"/>
              </w:rPr>
            </w:pPr>
            <w:r w:rsidRPr="0040604D">
              <w:rPr>
                <w:rStyle w:val="InstructionsTabelleberschrift"/>
                <w:rFonts w:ascii="Times New Roman" w:hAnsi="Times New Roman"/>
                <w:sz w:val="24"/>
                <w:lang w:eastAsia="de-DE"/>
              </w:rPr>
              <w:t>3.3.2.1 representing claims on sovereigns</w:t>
            </w:r>
            <w:r w:rsidRPr="0040604D">
              <w:rPr>
                <w:rStyle w:val="InstructionsTabelleberschrift"/>
                <w:rFonts w:ascii="Times New Roman" w:hAnsi="Times New Roman"/>
                <w:sz w:val="24"/>
                <w:lang w:eastAsia="de-DE"/>
              </w:rPr>
              <w:br/>
            </w:r>
          </w:p>
          <w:p w:rsidR="00AD794C" w:rsidRPr="0040604D" w:rsidRDefault="00743492" w:rsidP="00ED6567">
            <w:pPr>
              <w:spacing w:before="0" w:after="0"/>
              <w:jc w:val="left"/>
              <w:rPr>
                <w:rStyle w:val="InstructionsTabelleberschrift"/>
                <w:rFonts w:ascii="Times New Roman" w:hAnsi="Times New Roman"/>
                <w:sz w:val="24"/>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3.3.2,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2D6FC1">
              <w:rPr>
                <w:rStyle w:val="InstructionsTabelleberschrift"/>
                <w:rFonts w:ascii="Times New Roman" w:hAnsi="Times New Roman"/>
                <w:b w:val="0"/>
                <w:sz w:val="24"/>
                <w:u w:val="none"/>
                <w:lang w:eastAsia="de-DE"/>
              </w:rPr>
              <w:t>is</w:t>
            </w:r>
            <w:r w:rsidR="002D6FC1"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representing claims on sovereigns</w:t>
            </w:r>
            <w:r w:rsidR="00DC6350">
              <w:rPr>
                <w:rStyle w:val="InstructionsTabelleberschrift"/>
                <w:rFonts w:ascii="Times New Roman" w:hAnsi="Times New Roman"/>
                <w:b w:val="0"/>
                <w:sz w:val="24"/>
                <w:u w:val="none"/>
                <w:lang w:eastAsia="de-DE"/>
              </w:rPr>
              <w:t>.</w:t>
            </w:r>
          </w:p>
          <w:p w:rsidR="00AD794C" w:rsidRPr="009A3AE8" w:rsidRDefault="00AD794C" w:rsidP="009A3AE8">
            <w:pPr>
              <w:spacing w:before="0" w:after="0"/>
              <w:jc w:val="left"/>
              <w:rPr>
                <w:rStyle w:val="InstructionsTabelleberschrift"/>
                <w:rFonts w:ascii="Times New Roman" w:hAnsi="Times New Roman"/>
                <w:b w:val="0"/>
                <w:sz w:val="24"/>
                <w:u w:val="none"/>
              </w:rPr>
            </w:pPr>
          </w:p>
        </w:tc>
      </w:tr>
      <w:tr w:rsidR="00AD794C" w:rsidRPr="0040604D" w:rsidTr="0021066C">
        <w:trPr>
          <w:gridAfter w:val="1"/>
          <w:wAfter w:w="26" w:type="dxa"/>
          <w:trHeight w:val="255"/>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1160</w:t>
            </w:r>
          </w:p>
        </w:tc>
        <w:tc>
          <w:tcPr>
            <w:tcW w:w="7740" w:type="dxa"/>
            <w:shd w:val="clear" w:color="auto" w:fill="auto"/>
            <w:noWrap/>
            <w:vAlign w:val="bottom"/>
          </w:tcPr>
          <w:p w:rsidR="00AD794C" w:rsidRPr="0040604D" w:rsidRDefault="00AD794C" w:rsidP="00ED6567">
            <w:pPr>
              <w:spacing w:before="0" w:after="0"/>
              <w:jc w:val="left"/>
              <w:rPr>
                <w:rStyle w:val="InstructionsTabelleberschrift"/>
                <w:rFonts w:ascii="Times New Roman" w:hAnsi="Times New Roman"/>
                <w:b w:val="0"/>
                <w:sz w:val="24"/>
                <w:u w:val="none"/>
              </w:rPr>
            </w:pPr>
            <w:r w:rsidRPr="0040604D">
              <w:rPr>
                <w:rStyle w:val="InstructionsTabelleberschrift"/>
                <w:rFonts w:ascii="Times New Roman" w:hAnsi="Times New Roman"/>
                <w:sz w:val="24"/>
                <w:lang w:eastAsia="de-DE"/>
              </w:rPr>
              <w:t>3.3.2.2 guaranteed by sovereigns</w:t>
            </w:r>
            <w:r w:rsidRPr="0040604D">
              <w:rPr>
                <w:rStyle w:val="InstructionsTabelleberschrift"/>
                <w:rFonts w:ascii="Times New Roman" w:hAnsi="Times New Roman"/>
                <w:sz w:val="24"/>
                <w:lang w:eastAsia="de-DE"/>
              </w:rPr>
              <w:br/>
            </w:r>
            <w:r w:rsidRPr="0040604D">
              <w:rPr>
                <w:rStyle w:val="InstructionsTabelleberschrift"/>
                <w:rFonts w:ascii="Times New Roman" w:hAnsi="Times New Roman"/>
                <w:sz w:val="24"/>
                <w:lang w:eastAsia="de-DE"/>
              </w:rPr>
              <w:br/>
            </w:r>
            <w:r w:rsidR="00743492">
              <w:rPr>
                <w:rStyle w:val="InstructionsTabelleberschrift"/>
                <w:rFonts w:ascii="Times New Roman" w:hAnsi="Times New Roman"/>
                <w:b w:val="0"/>
                <w:sz w:val="24"/>
                <w:u w:val="none"/>
                <w:lang w:eastAsia="de-DE"/>
              </w:rPr>
              <w:t>The</w:t>
            </w:r>
            <w:r w:rsidRPr="0040604D">
              <w:rPr>
                <w:rStyle w:val="InstructionsTabelleberschrift"/>
                <w:rFonts w:ascii="Times New Roman" w:hAnsi="Times New Roman"/>
                <w:b w:val="0"/>
                <w:sz w:val="24"/>
                <w:u w:val="none"/>
                <w:lang w:eastAsia="de-DE"/>
              </w:rPr>
              <w:t xml:space="preserve"> amount reported in item 3.3.2, </w:t>
            </w:r>
            <w:r w:rsidR="00743492">
              <w:rPr>
                <w:rStyle w:val="InstructionsTabelleberschrift"/>
                <w:rFonts w:ascii="Times New Roman" w:hAnsi="Times New Roman"/>
                <w:b w:val="0"/>
                <w:sz w:val="24"/>
                <w:u w:val="none"/>
                <w:lang w:eastAsia="de-DE"/>
              </w:rPr>
              <w:t>which</w:t>
            </w:r>
            <w:r w:rsidRPr="0040604D">
              <w:rPr>
                <w:rStyle w:val="InstructionsTabelleberschrift"/>
                <w:rFonts w:ascii="Times New Roman" w:hAnsi="Times New Roman"/>
                <w:b w:val="0"/>
                <w:sz w:val="24"/>
                <w:u w:val="none"/>
                <w:lang w:eastAsia="de-DE"/>
              </w:rPr>
              <w:t xml:space="preserve"> </w:t>
            </w:r>
            <w:r w:rsidR="002D6FC1">
              <w:rPr>
                <w:rStyle w:val="InstructionsTabelleberschrift"/>
                <w:rFonts w:ascii="Times New Roman" w:hAnsi="Times New Roman"/>
                <w:b w:val="0"/>
                <w:sz w:val="24"/>
                <w:u w:val="none"/>
                <w:lang w:eastAsia="de-DE"/>
              </w:rPr>
              <w:t>is</w:t>
            </w:r>
            <w:r w:rsidR="002D6FC1" w:rsidRPr="0040604D">
              <w:rPr>
                <w:rStyle w:val="InstructionsTabelleberschrift"/>
                <w:rFonts w:ascii="Times New Roman" w:hAnsi="Times New Roman"/>
                <w:b w:val="0"/>
                <w:sz w:val="24"/>
                <w:u w:val="none"/>
                <w:lang w:eastAsia="de-DE"/>
              </w:rPr>
              <w:t xml:space="preserve"> </w:t>
            </w:r>
            <w:r w:rsidRPr="0040604D">
              <w:rPr>
                <w:rStyle w:val="InstructionsTabelleberschrift"/>
                <w:rFonts w:ascii="Times New Roman" w:hAnsi="Times New Roman"/>
                <w:b w:val="0"/>
                <w:sz w:val="24"/>
                <w:u w:val="none"/>
                <w:lang w:eastAsia="de-DE"/>
              </w:rPr>
              <w:t>guaranteed by sovereigns.</w:t>
            </w:r>
          </w:p>
          <w:p w:rsidR="00AD794C" w:rsidRPr="00D755AA" w:rsidRDefault="00AD794C" w:rsidP="00D755AA">
            <w:pPr>
              <w:spacing w:before="0" w:after="0"/>
              <w:jc w:val="left"/>
              <w:rPr>
                <w:rStyle w:val="InstructionsTabelleberschrift"/>
                <w:rFonts w:ascii="Times New Roman" w:hAnsi="Times New Roman"/>
                <w:b w:val="0"/>
                <w:sz w:val="24"/>
                <w:u w:val="none"/>
              </w:rPr>
            </w:pPr>
          </w:p>
        </w:tc>
      </w:tr>
      <w:tr w:rsidR="00AD794C" w:rsidRPr="0040604D" w:rsidTr="0021066C">
        <w:trPr>
          <w:gridAfter w:val="1"/>
          <w:wAfter w:w="26" w:type="dxa"/>
          <w:trHeight w:val="255"/>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lastRenderedPageBreak/>
              <w:t>1170</w:t>
            </w:r>
          </w:p>
        </w:tc>
        <w:tc>
          <w:tcPr>
            <w:tcW w:w="7740" w:type="dxa"/>
            <w:shd w:val="clear" w:color="auto" w:fill="auto"/>
            <w:noWrap/>
            <w:vAlign w:val="bottom"/>
          </w:tcPr>
          <w:p w:rsidR="00AD794C" w:rsidRPr="0040604D" w:rsidRDefault="00AD794C" w:rsidP="00ED6567">
            <w:pPr>
              <w:spacing w:before="0" w:after="0"/>
              <w:jc w:val="left"/>
              <w:rPr>
                <w:rStyle w:val="InstructionsTabelleberschrift"/>
                <w:rFonts w:ascii="Times New Roman" w:hAnsi="Times New Roman"/>
                <w:b w:val="0"/>
                <w:sz w:val="24"/>
                <w:u w:val="none"/>
              </w:rPr>
            </w:pPr>
            <w:r w:rsidRPr="0040604D">
              <w:rPr>
                <w:rStyle w:val="InstructionsTabelleberschrift"/>
                <w:rFonts w:ascii="Times New Roman" w:hAnsi="Times New Roman"/>
                <w:sz w:val="24"/>
                <w:lang w:eastAsia="de-DE"/>
              </w:rPr>
              <w:t>3.3.2.3 representing claims on or guaranteed by central banks</w:t>
            </w:r>
            <w:r w:rsidRPr="0040604D">
              <w:rPr>
                <w:rStyle w:val="InstructionsTabelleberschrift"/>
                <w:rFonts w:ascii="Times New Roman" w:hAnsi="Times New Roman"/>
                <w:sz w:val="24"/>
                <w:lang w:eastAsia="de-DE"/>
              </w:rPr>
              <w:br/>
            </w:r>
          </w:p>
          <w:p w:rsidR="00AD794C" w:rsidRPr="0040604D" w:rsidRDefault="00743492" w:rsidP="00ED6567">
            <w:pPr>
              <w:spacing w:before="0" w:after="0"/>
              <w:jc w:val="left"/>
              <w:rPr>
                <w:rStyle w:val="InstructionsTabelleberschrift"/>
                <w:rFonts w:ascii="Times New Roman" w:hAnsi="Times New Roman"/>
                <w:sz w:val="24"/>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3.3.2, </w:t>
            </w:r>
            <w:r>
              <w:rPr>
                <w:rStyle w:val="InstructionsTabelleberschrift"/>
                <w:rFonts w:ascii="Times New Roman" w:hAnsi="Times New Roman"/>
                <w:b w:val="0"/>
                <w:sz w:val="24"/>
                <w:u w:val="none"/>
                <w:lang w:eastAsia="de-DE"/>
              </w:rPr>
              <w:t>which</w:t>
            </w:r>
            <w:r w:rsidR="00EC53F7">
              <w:rPr>
                <w:rStyle w:val="InstructionsTabelleberschrift"/>
                <w:rFonts w:ascii="Times New Roman" w:hAnsi="Times New Roman"/>
                <w:b w:val="0"/>
                <w:sz w:val="24"/>
                <w:u w:val="none"/>
                <w:lang w:eastAsia="de-DE"/>
              </w:rPr>
              <w:t xml:space="preserve"> </w:t>
            </w:r>
            <w:r w:rsidR="002D6FC1">
              <w:rPr>
                <w:rStyle w:val="InstructionsTabelleberschrift"/>
                <w:rFonts w:ascii="Times New Roman" w:hAnsi="Times New Roman"/>
                <w:b w:val="0"/>
                <w:sz w:val="24"/>
                <w:u w:val="none"/>
                <w:lang w:eastAsia="de-DE"/>
              </w:rPr>
              <w:t>is</w:t>
            </w:r>
            <w:r w:rsidR="00AD794C" w:rsidRPr="0040604D">
              <w:rPr>
                <w:rStyle w:val="InstructionsTabelleberschrift"/>
                <w:rFonts w:ascii="Times New Roman" w:hAnsi="Times New Roman"/>
                <w:b w:val="0"/>
                <w:sz w:val="24"/>
                <w:u w:val="none"/>
                <w:lang w:eastAsia="de-DE"/>
              </w:rPr>
              <w:t xml:space="preserve"> representing claims on or guaranteed by central banks.</w:t>
            </w:r>
            <w:r w:rsidR="00AD794C" w:rsidRPr="0040604D">
              <w:rPr>
                <w:rStyle w:val="InstructionsTabelleberschrift"/>
                <w:rFonts w:ascii="Times New Roman" w:hAnsi="Times New Roman"/>
                <w:sz w:val="24"/>
                <w:lang w:eastAsia="de-DE"/>
              </w:rPr>
              <w:br/>
            </w:r>
          </w:p>
        </w:tc>
      </w:tr>
      <w:tr w:rsidR="00AD794C" w:rsidRPr="0040604D" w:rsidTr="0021066C">
        <w:trPr>
          <w:gridAfter w:val="1"/>
          <w:wAfter w:w="26" w:type="dxa"/>
          <w:trHeight w:val="255"/>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1180</w:t>
            </w:r>
          </w:p>
        </w:tc>
        <w:tc>
          <w:tcPr>
            <w:tcW w:w="7740" w:type="dxa"/>
            <w:shd w:val="clear" w:color="auto" w:fill="auto"/>
            <w:noWrap/>
            <w:vAlign w:val="bottom"/>
          </w:tcPr>
          <w:p w:rsidR="00AD794C" w:rsidRPr="0040604D" w:rsidRDefault="00AD794C" w:rsidP="00ED6567">
            <w:pPr>
              <w:spacing w:before="0" w:after="0"/>
              <w:jc w:val="left"/>
              <w:rPr>
                <w:rStyle w:val="InstructionsTabelleberschrift"/>
                <w:rFonts w:ascii="Times New Roman" w:hAnsi="Times New Roman"/>
                <w:b w:val="0"/>
                <w:sz w:val="24"/>
                <w:u w:val="none"/>
              </w:rPr>
            </w:pPr>
            <w:r w:rsidRPr="0040604D">
              <w:rPr>
                <w:rStyle w:val="InstructionsTabelleberschrift"/>
                <w:rFonts w:ascii="Times New Roman" w:hAnsi="Times New Roman"/>
                <w:sz w:val="24"/>
                <w:lang w:eastAsia="de-DE"/>
              </w:rPr>
              <w:t xml:space="preserve">3.3.2.4 representing claims on or guaranteed by public sector entities, </w:t>
            </w:r>
            <w:r w:rsidR="00A13BBC">
              <w:rPr>
                <w:rStyle w:val="InstructionsTabelleberschrift"/>
                <w:rFonts w:ascii="Times New Roman" w:hAnsi="Times New Roman"/>
                <w:sz w:val="24"/>
                <w:lang w:eastAsia="de-DE"/>
              </w:rPr>
              <w:t xml:space="preserve">regions with fiscal autonomy to raise and collect taxes </w:t>
            </w:r>
            <w:r w:rsidRPr="0040604D">
              <w:rPr>
                <w:rStyle w:val="InstructionsTabelleberschrift"/>
                <w:rFonts w:ascii="Times New Roman" w:hAnsi="Times New Roman"/>
                <w:sz w:val="24"/>
                <w:lang w:eastAsia="de-DE"/>
              </w:rPr>
              <w:t>and local authorities</w:t>
            </w:r>
            <w:r w:rsidRPr="0040604D">
              <w:rPr>
                <w:rStyle w:val="InstructionsTabelleberschrift"/>
                <w:rFonts w:ascii="Times New Roman" w:hAnsi="Times New Roman"/>
                <w:sz w:val="24"/>
                <w:lang w:eastAsia="de-DE"/>
              </w:rPr>
              <w:br/>
            </w:r>
          </w:p>
          <w:p w:rsidR="00AD794C" w:rsidRPr="0040604D" w:rsidRDefault="00743492" w:rsidP="00C85FA6">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3.3.2,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2D6FC1">
              <w:rPr>
                <w:rStyle w:val="InstructionsTabelleberschrift"/>
                <w:rFonts w:ascii="Times New Roman" w:hAnsi="Times New Roman"/>
                <w:b w:val="0"/>
                <w:sz w:val="24"/>
                <w:u w:val="none"/>
                <w:lang w:eastAsia="de-DE"/>
              </w:rPr>
              <w:t>is</w:t>
            </w:r>
            <w:r w:rsidR="000305B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representing claims on or guaranteed by public sector entities</w:t>
            </w:r>
            <w:r w:rsidR="00A12578" w:rsidRPr="009920BE">
              <w:rPr>
                <w:rStyle w:val="InstructionsTabelleberschrift"/>
                <w:rFonts w:ascii="Times New Roman" w:hAnsi="Times New Roman"/>
                <w:sz w:val="24"/>
                <w:u w:val="none"/>
                <w:lang w:eastAsia="de-DE"/>
              </w:rPr>
              <w:t xml:space="preserve">, </w:t>
            </w:r>
            <w:r w:rsidR="00A12578" w:rsidRPr="008A1DB9">
              <w:rPr>
                <w:rStyle w:val="InstructionsTabelleberschrift"/>
                <w:rFonts w:ascii="Times New Roman" w:hAnsi="Times New Roman"/>
                <w:b w:val="0"/>
                <w:sz w:val="24"/>
                <w:u w:val="none"/>
                <w:lang w:eastAsia="de-DE"/>
              </w:rPr>
              <w:t xml:space="preserve">regions with fiscal autonomy to raise and collect taxes </w:t>
            </w:r>
            <w:r w:rsidR="00AD794C" w:rsidRPr="0040604D">
              <w:rPr>
                <w:rStyle w:val="InstructionsTabelleberschrift"/>
                <w:rFonts w:ascii="Times New Roman" w:hAnsi="Times New Roman"/>
                <w:b w:val="0"/>
                <w:sz w:val="24"/>
                <w:u w:val="none"/>
                <w:lang w:eastAsia="de-DE"/>
              </w:rPr>
              <w:t>and local authorities.</w:t>
            </w:r>
          </w:p>
          <w:p w:rsidR="00AD794C" w:rsidRPr="00562455" w:rsidRDefault="00AD794C" w:rsidP="00ED6567">
            <w:pPr>
              <w:spacing w:before="0" w:after="0"/>
              <w:jc w:val="left"/>
              <w:rPr>
                <w:rStyle w:val="InstructionsTabelleberschrift"/>
                <w:rFonts w:ascii="Times New Roman" w:hAnsi="Times New Roman"/>
                <w:b w:val="0"/>
                <w:sz w:val="24"/>
                <w:u w:val="none"/>
              </w:rPr>
            </w:pPr>
          </w:p>
        </w:tc>
      </w:tr>
      <w:tr w:rsidR="00AD794C" w:rsidRPr="0040604D" w:rsidTr="0021066C">
        <w:trPr>
          <w:gridAfter w:val="1"/>
          <w:wAfter w:w="26" w:type="dxa"/>
          <w:trHeight w:val="255"/>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1190</w:t>
            </w:r>
          </w:p>
        </w:tc>
        <w:tc>
          <w:tcPr>
            <w:tcW w:w="7740" w:type="dxa"/>
            <w:shd w:val="clear" w:color="auto" w:fill="auto"/>
            <w:noWrap/>
            <w:vAlign w:val="bottom"/>
          </w:tcPr>
          <w:p w:rsidR="00AD794C" w:rsidRPr="0040604D" w:rsidRDefault="00AD794C" w:rsidP="00ED6567">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 xml:space="preserve">3.3.2.5 representing claims on or guaranteed by </w:t>
            </w:r>
            <w:r w:rsidR="00D45CFC">
              <w:rPr>
                <w:rStyle w:val="InstructionsTabelleberschrift"/>
                <w:rFonts w:ascii="Times New Roman" w:hAnsi="Times New Roman"/>
                <w:sz w:val="24"/>
                <w:lang w:eastAsia="de-DE"/>
              </w:rPr>
              <w:t>m</w:t>
            </w:r>
            <w:r w:rsidR="00A13BBC">
              <w:rPr>
                <w:rStyle w:val="InstructionsTabelleberschrift"/>
                <w:rFonts w:ascii="Times New Roman" w:hAnsi="Times New Roman"/>
                <w:sz w:val="24"/>
                <w:lang w:eastAsia="de-DE"/>
              </w:rPr>
              <w:t xml:space="preserve">ultilateral development </w:t>
            </w:r>
            <w:r w:rsidR="00D45CFC">
              <w:rPr>
                <w:rStyle w:val="InstructionsTabelleberschrift"/>
                <w:rFonts w:ascii="Times New Roman" w:hAnsi="Times New Roman"/>
                <w:sz w:val="24"/>
                <w:lang w:eastAsia="de-DE"/>
              </w:rPr>
              <w:t>b</w:t>
            </w:r>
            <w:r w:rsidR="00A13BBC">
              <w:rPr>
                <w:rStyle w:val="InstructionsTabelleberschrift"/>
                <w:rFonts w:ascii="Times New Roman" w:hAnsi="Times New Roman"/>
                <w:sz w:val="24"/>
                <w:lang w:eastAsia="de-DE"/>
              </w:rPr>
              <w:t>ank</w:t>
            </w:r>
            <w:r w:rsidR="00A13BBC" w:rsidRPr="0040604D">
              <w:rPr>
                <w:rStyle w:val="InstructionsTabelleberschrift"/>
                <w:rFonts w:ascii="Times New Roman" w:hAnsi="Times New Roman"/>
                <w:sz w:val="24"/>
                <w:lang w:eastAsia="de-DE"/>
              </w:rPr>
              <w:t>s</w:t>
            </w:r>
            <w:r w:rsidRPr="0040604D">
              <w:rPr>
                <w:rStyle w:val="InstructionsTabelleberschrift"/>
                <w:rFonts w:ascii="Times New Roman" w:hAnsi="Times New Roman"/>
                <w:sz w:val="24"/>
                <w:lang w:eastAsia="de-DE"/>
              </w:rPr>
              <w:br/>
            </w:r>
          </w:p>
          <w:p w:rsidR="00AD794C" w:rsidRPr="0040604D" w:rsidRDefault="00743492" w:rsidP="00C85FA6">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3.3.2,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2D6FC1">
              <w:rPr>
                <w:rStyle w:val="InstructionsTabelleberschrift"/>
                <w:rFonts w:ascii="Times New Roman" w:hAnsi="Times New Roman"/>
                <w:b w:val="0"/>
                <w:sz w:val="24"/>
                <w:u w:val="none"/>
                <w:lang w:eastAsia="de-DE"/>
              </w:rPr>
              <w:t>is</w:t>
            </w:r>
            <w:r w:rsidR="002D6FC1"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representing claims on or guaranteed by multilateral development banks.</w:t>
            </w:r>
          </w:p>
          <w:p w:rsidR="00AD794C" w:rsidRPr="0040604D" w:rsidRDefault="00AD794C" w:rsidP="00562455">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255"/>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1200</w:t>
            </w:r>
          </w:p>
        </w:tc>
        <w:tc>
          <w:tcPr>
            <w:tcW w:w="7740" w:type="dxa"/>
            <w:shd w:val="clear" w:color="auto" w:fill="auto"/>
            <w:noWrap/>
            <w:vAlign w:val="bottom"/>
          </w:tcPr>
          <w:p w:rsidR="00AD794C" w:rsidRPr="0040604D" w:rsidRDefault="00AD794C" w:rsidP="00ED6567">
            <w:pPr>
              <w:spacing w:before="0" w:after="0"/>
              <w:jc w:val="left"/>
              <w:rPr>
                <w:rStyle w:val="InstructionsTabelleberschrift"/>
                <w:rFonts w:ascii="Times New Roman" w:hAnsi="Times New Roman"/>
                <w:b w:val="0"/>
                <w:sz w:val="24"/>
                <w:u w:val="none"/>
              </w:rPr>
            </w:pPr>
            <w:r w:rsidRPr="0040604D">
              <w:rPr>
                <w:rStyle w:val="InstructionsTabelleberschrift"/>
                <w:rFonts w:ascii="Times New Roman" w:hAnsi="Times New Roman"/>
                <w:sz w:val="24"/>
                <w:lang w:eastAsia="de-DE"/>
              </w:rPr>
              <w:t>3.3.3 bonds eligible for the treatment set out in Article 12</w:t>
            </w:r>
            <w:r w:rsidR="00253273">
              <w:rPr>
                <w:rStyle w:val="InstructionsTabelleberschrift"/>
                <w:rFonts w:ascii="Times New Roman" w:hAnsi="Times New Roman"/>
                <w:sz w:val="24"/>
                <w:lang w:eastAsia="de-DE"/>
              </w:rPr>
              <w:t>9</w:t>
            </w:r>
            <w:r w:rsidRPr="0040604D">
              <w:rPr>
                <w:rStyle w:val="InstructionsTabelleberschrift"/>
                <w:rFonts w:ascii="Times New Roman" w:hAnsi="Times New Roman"/>
                <w:sz w:val="24"/>
                <w:lang w:eastAsia="de-DE"/>
              </w:rPr>
              <w:t>(</w:t>
            </w:r>
            <w:r w:rsidR="00253273">
              <w:rPr>
                <w:rStyle w:val="InstructionsTabelleberschrift"/>
                <w:rFonts w:ascii="Times New Roman" w:hAnsi="Times New Roman"/>
                <w:sz w:val="24"/>
                <w:lang w:eastAsia="de-DE"/>
              </w:rPr>
              <w:t>4</w:t>
            </w:r>
            <w:r w:rsidRPr="0040604D">
              <w:rPr>
                <w:rStyle w:val="InstructionsTabelleberschrift"/>
                <w:rFonts w:ascii="Times New Roman" w:hAnsi="Times New Roman"/>
                <w:sz w:val="24"/>
                <w:lang w:eastAsia="de-DE"/>
              </w:rPr>
              <w:t>) or (</w:t>
            </w:r>
            <w:r w:rsidR="00253273">
              <w:rPr>
                <w:rStyle w:val="InstructionsTabelleberschrift"/>
                <w:rFonts w:ascii="Times New Roman" w:hAnsi="Times New Roman"/>
                <w:sz w:val="24"/>
                <w:lang w:eastAsia="de-DE"/>
              </w:rPr>
              <w:t>5</w:t>
            </w:r>
            <w:r w:rsidRPr="0040604D">
              <w:rPr>
                <w:rStyle w:val="InstructionsTabelleberschrift"/>
                <w:rFonts w:ascii="Times New Roman" w:hAnsi="Times New Roman"/>
                <w:sz w:val="24"/>
                <w:lang w:eastAsia="de-DE"/>
              </w:rPr>
              <w:t xml:space="preserve">) </w:t>
            </w:r>
            <w:r w:rsidR="00BE5F65">
              <w:rPr>
                <w:rStyle w:val="InstructionsTabelleberschrift"/>
                <w:rFonts w:ascii="Times New Roman" w:hAnsi="Times New Roman"/>
                <w:sz w:val="24"/>
                <w:lang w:eastAsia="de-DE"/>
              </w:rPr>
              <w:t>of CRR</w:t>
            </w:r>
            <w:r w:rsidRPr="0040604D">
              <w:rPr>
                <w:rStyle w:val="InstructionsTabelleberschrift"/>
                <w:rFonts w:ascii="Times New Roman" w:hAnsi="Times New Roman"/>
                <w:sz w:val="24"/>
                <w:lang w:eastAsia="de-DE"/>
              </w:rPr>
              <w:br/>
            </w:r>
          </w:p>
          <w:p w:rsidR="00AD794C" w:rsidRPr="0040604D" w:rsidRDefault="00743492" w:rsidP="00ED6567">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253273">
              <w:rPr>
                <w:rStyle w:val="InstructionsTabelleberschrift"/>
                <w:rFonts w:ascii="Times New Roman" w:hAnsi="Times New Roman"/>
                <w:b w:val="0"/>
                <w:sz w:val="24"/>
                <w:u w:val="none"/>
                <w:lang w:eastAsia="de-DE"/>
              </w:rPr>
              <w:t>is</w:t>
            </w:r>
            <w:r w:rsidR="00253273"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bonds eligible for the treatment set out in Article 12</w:t>
            </w:r>
            <w:r w:rsidR="00253273">
              <w:rPr>
                <w:rStyle w:val="InstructionsTabelleberschrift"/>
                <w:rFonts w:ascii="Times New Roman" w:hAnsi="Times New Roman"/>
                <w:b w:val="0"/>
                <w:sz w:val="24"/>
                <w:u w:val="none"/>
                <w:lang w:eastAsia="de-DE"/>
              </w:rPr>
              <w:t>9</w:t>
            </w:r>
            <w:r w:rsidR="00AD794C" w:rsidRPr="0040604D">
              <w:rPr>
                <w:rStyle w:val="InstructionsTabelleberschrift"/>
                <w:rFonts w:ascii="Times New Roman" w:hAnsi="Times New Roman"/>
                <w:b w:val="0"/>
                <w:sz w:val="24"/>
                <w:u w:val="none"/>
                <w:lang w:eastAsia="de-DE"/>
              </w:rPr>
              <w:t xml:space="preserve"> (</w:t>
            </w:r>
            <w:r w:rsidR="00253273">
              <w:rPr>
                <w:rStyle w:val="InstructionsTabelleberschrift"/>
                <w:rFonts w:ascii="Times New Roman" w:hAnsi="Times New Roman"/>
                <w:b w:val="0"/>
                <w:sz w:val="24"/>
                <w:u w:val="none"/>
                <w:lang w:eastAsia="de-DE"/>
              </w:rPr>
              <w:t>4</w:t>
            </w:r>
            <w:r w:rsidR="00AD794C" w:rsidRPr="0040604D">
              <w:rPr>
                <w:rStyle w:val="InstructionsTabelleberschrift"/>
                <w:rFonts w:ascii="Times New Roman" w:hAnsi="Times New Roman"/>
                <w:b w:val="0"/>
                <w:sz w:val="24"/>
                <w:u w:val="none"/>
                <w:lang w:eastAsia="de-DE"/>
              </w:rPr>
              <w:t>) and (</w:t>
            </w:r>
            <w:r w:rsidR="00253273">
              <w:rPr>
                <w:rStyle w:val="InstructionsTabelleberschrift"/>
                <w:rFonts w:ascii="Times New Roman" w:hAnsi="Times New Roman"/>
                <w:b w:val="0"/>
                <w:sz w:val="24"/>
                <w:u w:val="none"/>
                <w:lang w:eastAsia="de-DE"/>
              </w:rPr>
              <w:t>5</w:t>
            </w:r>
            <w:r w:rsidR="00AD794C" w:rsidRPr="0040604D">
              <w:rPr>
                <w:rStyle w:val="InstructionsTabelleberschrift"/>
                <w:rFonts w:ascii="Times New Roman" w:hAnsi="Times New Roman"/>
                <w:b w:val="0"/>
                <w:sz w:val="24"/>
                <w:u w:val="none"/>
                <w:lang w:eastAsia="de-DE"/>
              </w:rPr>
              <w:t xml:space="preserve">) of </w:t>
            </w:r>
            <w:r w:rsidR="00AD794C" w:rsidRPr="0040604D">
              <w:rPr>
                <w:rFonts w:ascii="Times New Roman" w:hAnsi="Times New Roman"/>
                <w:sz w:val="24"/>
                <w:lang w:eastAsia="en-GB"/>
              </w:rPr>
              <w:t xml:space="preserve">Regulation </w:t>
            </w:r>
            <w:r w:rsidR="00C1399E">
              <w:rPr>
                <w:rFonts w:ascii="Times New Roman" w:hAnsi="Times New Roman"/>
                <w:sz w:val="24"/>
              </w:rPr>
              <w:t>(EU) No</w:t>
            </w:r>
            <w:r w:rsidR="00C1399E">
              <w:rPr>
                <w:rFonts w:ascii="Times New Roman" w:hAnsi="Times New Roman"/>
                <w:sz w:val="24"/>
                <w:lang w:eastAsia="en-GB"/>
              </w:rPr>
              <w:t xml:space="preserve"> </w:t>
            </w:r>
            <w:r w:rsidR="00253273">
              <w:rPr>
                <w:rFonts w:ascii="Times New Roman" w:hAnsi="Times New Roman"/>
                <w:sz w:val="24"/>
                <w:lang w:eastAsia="en-GB"/>
              </w:rPr>
              <w:t>575/2013</w:t>
            </w:r>
            <w:r w:rsidR="00AD794C" w:rsidRPr="0040604D">
              <w:rPr>
                <w:rStyle w:val="InstructionsTabelleberschrift"/>
                <w:rFonts w:ascii="Times New Roman" w:hAnsi="Times New Roman"/>
                <w:b w:val="0"/>
                <w:sz w:val="24"/>
                <w:u w:val="none"/>
                <w:lang w:eastAsia="de-DE"/>
              </w:rPr>
              <w:t>.</w:t>
            </w:r>
          </w:p>
          <w:p w:rsidR="00AD794C" w:rsidRPr="0040604D" w:rsidRDefault="00AD794C" w:rsidP="00ED6567">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255"/>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1210</w:t>
            </w:r>
          </w:p>
        </w:tc>
        <w:tc>
          <w:tcPr>
            <w:tcW w:w="7740" w:type="dxa"/>
            <w:shd w:val="clear" w:color="auto" w:fill="auto"/>
            <w:noWrap/>
            <w:vAlign w:val="bottom"/>
          </w:tcPr>
          <w:p w:rsidR="00AD794C" w:rsidRPr="0040604D" w:rsidRDefault="00AD794C" w:rsidP="00FE6049">
            <w:pPr>
              <w:spacing w:before="0" w:after="0"/>
              <w:jc w:val="left"/>
              <w:rPr>
                <w:rStyle w:val="InstructionsTabelleberschrift"/>
                <w:rFonts w:ascii="Times New Roman" w:hAnsi="Times New Roman"/>
                <w:b w:val="0"/>
                <w:sz w:val="24"/>
                <w:u w:val="none"/>
              </w:rPr>
            </w:pPr>
            <w:r w:rsidRPr="0040604D">
              <w:rPr>
                <w:rStyle w:val="InstructionsTabelleberschrift"/>
                <w:rFonts w:ascii="Times New Roman" w:hAnsi="Times New Roman"/>
                <w:sz w:val="24"/>
                <w:lang w:eastAsia="de-DE"/>
              </w:rPr>
              <w:t>3.</w:t>
            </w:r>
            <w:r w:rsidR="003748A7">
              <w:rPr>
                <w:rStyle w:val="InstructionsTabelleberschrift"/>
                <w:rFonts w:ascii="Times New Roman" w:hAnsi="Times New Roman"/>
                <w:sz w:val="24"/>
                <w:lang w:eastAsia="de-DE"/>
              </w:rPr>
              <w:t>3.3.1</w:t>
            </w:r>
            <w:r w:rsidRPr="0040604D">
              <w:rPr>
                <w:rStyle w:val="InstructionsTabelleberschrift"/>
                <w:rFonts w:ascii="Times New Roman" w:hAnsi="Times New Roman"/>
                <w:sz w:val="24"/>
                <w:lang w:eastAsia="de-DE"/>
              </w:rPr>
              <w:t xml:space="preserve"> credit quality step 1</w:t>
            </w:r>
            <w:r w:rsidRPr="0040604D">
              <w:rPr>
                <w:rStyle w:val="InstructionsTabelleberschrift"/>
                <w:rFonts w:ascii="Times New Roman" w:hAnsi="Times New Roman"/>
                <w:sz w:val="24"/>
                <w:lang w:eastAsia="de-DE"/>
              </w:rPr>
              <w:br/>
            </w:r>
          </w:p>
          <w:p w:rsidR="00AD794C" w:rsidRPr="0040604D" w:rsidRDefault="00743492" w:rsidP="00246D52">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3.3.3,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253273">
              <w:rPr>
                <w:rStyle w:val="InstructionsTabelleberschrift"/>
                <w:rFonts w:ascii="Times New Roman" w:hAnsi="Times New Roman"/>
                <w:b w:val="0"/>
                <w:sz w:val="24"/>
                <w:u w:val="none"/>
                <w:lang w:eastAsia="de-DE"/>
              </w:rPr>
              <w:t>is</w:t>
            </w:r>
            <w:r w:rsidR="00253273" w:rsidRPr="0040604D">
              <w:rPr>
                <w:rStyle w:val="InstructionsTabelleberschrift"/>
                <w:rFonts w:ascii="Times New Roman" w:hAnsi="Times New Roman"/>
                <w:b w:val="0"/>
                <w:sz w:val="24"/>
                <w:u w:val="none"/>
                <w:lang w:eastAsia="de-DE"/>
              </w:rPr>
              <w:t xml:space="preserve"> </w:t>
            </w:r>
            <w:r w:rsidR="00D56F3A">
              <w:rPr>
                <w:rStyle w:val="InstructionsTabelleberschrift"/>
                <w:rFonts w:ascii="Times New Roman" w:hAnsi="Times New Roman"/>
                <w:b w:val="0"/>
                <w:sz w:val="24"/>
                <w:u w:val="none"/>
                <w:lang w:eastAsia="de-DE"/>
              </w:rPr>
              <w:t xml:space="preserve">bonds of </w:t>
            </w:r>
            <w:r w:rsidR="00AD794C" w:rsidRPr="0040604D">
              <w:rPr>
                <w:rStyle w:val="InstructionsTabelleberschrift"/>
                <w:rFonts w:ascii="Times New Roman" w:hAnsi="Times New Roman"/>
                <w:b w:val="0"/>
                <w:sz w:val="24"/>
                <w:u w:val="none"/>
                <w:lang w:eastAsia="de-DE"/>
              </w:rPr>
              <w:t>credit quality step 1</w:t>
            </w:r>
            <w:r w:rsidR="00B27E9A" w:rsidRPr="00B27E9A">
              <w:rPr>
                <w:rFonts w:ascii="Times New Roman" w:hAnsi="Times New Roman"/>
                <w:sz w:val="24"/>
              </w:rPr>
              <w:t xml:space="preserve"> under Chapter 2, Title II of Part Three </w:t>
            </w:r>
            <w:r w:rsidR="00A13BBC">
              <w:rPr>
                <w:rFonts w:ascii="Times New Roman" w:hAnsi="Times New Roman"/>
                <w:sz w:val="24"/>
              </w:rPr>
              <w:t xml:space="preserve">of Regulation </w:t>
            </w:r>
            <w:r w:rsidR="00C1399E">
              <w:rPr>
                <w:rFonts w:ascii="Times New Roman" w:hAnsi="Times New Roman"/>
                <w:sz w:val="24"/>
              </w:rPr>
              <w:t>(EU) No</w:t>
            </w:r>
            <w:r w:rsidR="00C1399E">
              <w:rPr>
                <w:rFonts w:ascii="Times New Roman" w:hAnsi="Times New Roman"/>
                <w:sz w:val="24"/>
                <w:lang w:eastAsia="en-GB"/>
              </w:rPr>
              <w:t xml:space="preserve"> </w:t>
            </w:r>
            <w:r w:rsidR="00A13BBC">
              <w:rPr>
                <w:rFonts w:ascii="Times New Roman" w:hAnsi="Times New Roman"/>
                <w:sz w:val="24"/>
              </w:rPr>
              <w:t>575/2013</w:t>
            </w:r>
            <w:r w:rsidR="00AD794C" w:rsidRPr="0040604D">
              <w:rPr>
                <w:rStyle w:val="InstructionsTabelleberschrift"/>
                <w:rFonts w:ascii="Times New Roman" w:hAnsi="Times New Roman"/>
                <w:b w:val="0"/>
                <w:sz w:val="24"/>
                <w:u w:val="none"/>
                <w:lang w:eastAsia="de-DE"/>
              </w:rPr>
              <w:t>.</w:t>
            </w:r>
          </w:p>
          <w:p w:rsidR="00AD794C" w:rsidRPr="00F37164" w:rsidRDefault="00AD794C" w:rsidP="00246D52">
            <w:pPr>
              <w:spacing w:before="0" w:after="0"/>
              <w:jc w:val="left"/>
              <w:rPr>
                <w:rStyle w:val="InstructionsTabelleberschrift"/>
                <w:rFonts w:ascii="Times New Roman" w:hAnsi="Times New Roman"/>
                <w:b w:val="0"/>
                <w:sz w:val="24"/>
                <w:u w:val="none"/>
              </w:rPr>
            </w:pP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1220</w:t>
            </w:r>
          </w:p>
        </w:tc>
        <w:tc>
          <w:tcPr>
            <w:tcW w:w="7740" w:type="dxa"/>
            <w:shd w:val="clear" w:color="auto" w:fill="auto"/>
            <w:noWrap/>
          </w:tcPr>
          <w:p w:rsidR="00AD794C" w:rsidRPr="0040604D" w:rsidRDefault="00AD794C" w:rsidP="00ED6567">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3.3.3.2</w:t>
            </w:r>
            <w:r w:rsidR="003E309A">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credit quality step 2</w:t>
            </w:r>
          </w:p>
          <w:p w:rsidR="00AD794C" w:rsidRPr="0040604D" w:rsidRDefault="00AD794C" w:rsidP="00ED6567">
            <w:pPr>
              <w:spacing w:before="0" w:after="0"/>
              <w:jc w:val="left"/>
              <w:rPr>
                <w:rStyle w:val="InstructionsTabelleberschrift"/>
                <w:rFonts w:ascii="Times New Roman" w:hAnsi="Times New Roman"/>
                <w:sz w:val="24"/>
              </w:rPr>
            </w:pPr>
          </w:p>
          <w:p w:rsidR="00AD794C" w:rsidRPr="0040604D" w:rsidRDefault="00743492" w:rsidP="00253273">
            <w:pPr>
              <w:spacing w:before="0" w:after="0"/>
              <w:jc w:val="left"/>
              <w:rPr>
                <w:rStyle w:val="InstructionsTabelleberschrift"/>
                <w:rFonts w:ascii="Times New Roman" w:hAnsi="Times New Roman"/>
                <w:sz w:val="24"/>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3.3.3,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253273">
              <w:rPr>
                <w:rStyle w:val="InstructionsTabelleberschrift"/>
                <w:rFonts w:ascii="Times New Roman" w:hAnsi="Times New Roman"/>
                <w:b w:val="0"/>
                <w:sz w:val="24"/>
                <w:u w:val="none"/>
                <w:lang w:eastAsia="de-DE"/>
              </w:rPr>
              <w:t xml:space="preserve">is </w:t>
            </w:r>
            <w:r w:rsidR="00D56F3A">
              <w:rPr>
                <w:rStyle w:val="InstructionsTabelleberschrift"/>
                <w:rFonts w:ascii="Times New Roman" w:hAnsi="Times New Roman"/>
                <w:b w:val="0"/>
                <w:sz w:val="24"/>
                <w:u w:val="none"/>
                <w:lang w:eastAsia="de-DE"/>
              </w:rPr>
              <w:t xml:space="preserve">bonds of </w:t>
            </w:r>
            <w:r w:rsidR="00AD794C" w:rsidRPr="0040604D">
              <w:rPr>
                <w:rStyle w:val="InstructionsTabelleberschrift"/>
                <w:rFonts w:ascii="Times New Roman" w:hAnsi="Times New Roman"/>
                <w:b w:val="0"/>
                <w:sz w:val="24"/>
                <w:u w:val="none"/>
                <w:lang w:eastAsia="de-DE"/>
              </w:rPr>
              <w:t>credit quality step 2</w:t>
            </w:r>
            <w:r w:rsidR="00B27E9A" w:rsidRPr="00B27E9A">
              <w:rPr>
                <w:rFonts w:ascii="Times New Roman" w:hAnsi="Times New Roman"/>
                <w:sz w:val="24"/>
              </w:rPr>
              <w:t xml:space="preserve"> under Chapter 2, Title II of Part Three </w:t>
            </w:r>
            <w:r w:rsidR="00A13BBC">
              <w:rPr>
                <w:rFonts w:ascii="Times New Roman" w:hAnsi="Times New Roman"/>
                <w:sz w:val="24"/>
              </w:rPr>
              <w:t xml:space="preserve">of Regulation </w:t>
            </w:r>
            <w:r w:rsidR="00C1399E">
              <w:rPr>
                <w:rFonts w:ascii="Times New Roman" w:hAnsi="Times New Roman"/>
                <w:sz w:val="24"/>
              </w:rPr>
              <w:t>(EU) No</w:t>
            </w:r>
            <w:r w:rsidR="00C1399E">
              <w:rPr>
                <w:rFonts w:ascii="Times New Roman" w:hAnsi="Times New Roman"/>
                <w:sz w:val="24"/>
                <w:lang w:eastAsia="en-GB"/>
              </w:rPr>
              <w:t xml:space="preserve"> </w:t>
            </w:r>
            <w:r w:rsidR="00A13BBC">
              <w:rPr>
                <w:rFonts w:ascii="Times New Roman" w:hAnsi="Times New Roman"/>
                <w:sz w:val="24"/>
              </w:rPr>
              <w:t>575/2013</w:t>
            </w:r>
            <w:r w:rsidR="00AD794C" w:rsidRPr="0040604D">
              <w:rPr>
                <w:rStyle w:val="InstructionsTabelleberschrift"/>
                <w:rFonts w:ascii="Times New Roman" w:hAnsi="Times New Roman"/>
                <w:b w:val="0"/>
                <w:sz w:val="24"/>
                <w:u w:val="none"/>
                <w:lang w:eastAsia="de-DE"/>
              </w:rPr>
              <w:t>.</w:t>
            </w: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1230</w:t>
            </w:r>
          </w:p>
        </w:tc>
        <w:tc>
          <w:tcPr>
            <w:tcW w:w="7740" w:type="dxa"/>
            <w:shd w:val="clear" w:color="auto" w:fill="auto"/>
            <w:noWrap/>
          </w:tcPr>
          <w:p w:rsidR="00AD794C" w:rsidRPr="0040604D" w:rsidRDefault="00AD794C" w:rsidP="008B32E0">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3.3.3.3</w:t>
            </w:r>
            <w:r w:rsidR="003E309A">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credit quality step 3</w:t>
            </w:r>
          </w:p>
          <w:p w:rsidR="00AD794C" w:rsidRPr="0040604D" w:rsidRDefault="00AD794C" w:rsidP="008B32E0">
            <w:pPr>
              <w:spacing w:before="0" w:after="0"/>
              <w:jc w:val="left"/>
              <w:rPr>
                <w:rStyle w:val="InstructionsTabelleberschrift"/>
                <w:rFonts w:ascii="Times New Roman" w:hAnsi="Times New Roman"/>
                <w:b w:val="0"/>
                <w:sz w:val="24"/>
                <w:u w:val="none"/>
                <w:lang w:eastAsia="de-DE"/>
              </w:rPr>
            </w:pPr>
          </w:p>
          <w:p w:rsidR="00AD794C" w:rsidRPr="0040604D" w:rsidRDefault="00743492" w:rsidP="008B32E0">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3.3.3,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BF4504">
              <w:rPr>
                <w:rStyle w:val="InstructionsTabelleberschrift"/>
                <w:rFonts w:ascii="Times New Roman" w:hAnsi="Times New Roman"/>
                <w:b w:val="0"/>
                <w:sz w:val="24"/>
                <w:u w:val="none"/>
                <w:lang w:eastAsia="de-DE"/>
              </w:rPr>
              <w:t>is</w:t>
            </w:r>
            <w:r w:rsidR="00D56F3A">
              <w:rPr>
                <w:rStyle w:val="InstructionsTabelleberschrift"/>
                <w:rFonts w:ascii="Times New Roman" w:hAnsi="Times New Roman"/>
                <w:b w:val="0"/>
                <w:sz w:val="24"/>
                <w:u w:val="none"/>
                <w:lang w:eastAsia="de-DE"/>
              </w:rPr>
              <w:t xml:space="preserve"> bonds of</w:t>
            </w:r>
            <w:r w:rsidR="00BF4504"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credit quality step 3</w:t>
            </w:r>
            <w:r w:rsidR="00B27E9A" w:rsidRPr="00B27E9A">
              <w:rPr>
                <w:rFonts w:ascii="Times New Roman" w:hAnsi="Times New Roman"/>
                <w:sz w:val="24"/>
              </w:rPr>
              <w:t xml:space="preserve"> under Chapter 2, Title II of Part Three </w:t>
            </w:r>
            <w:r w:rsidR="00A13BBC">
              <w:rPr>
                <w:rFonts w:ascii="Times New Roman" w:hAnsi="Times New Roman"/>
                <w:sz w:val="24"/>
              </w:rPr>
              <w:t xml:space="preserve">of Regulation </w:t>
            </w:r>
            <w:r w:rsidR="00C1399E">
              <w:rPr>
                <w:rFonts w:ascii="Times New Roman" w:hAnsi="Times New Roman"/>
                <w:sz w:val="24"/>
              </w:rPr>
              <w:t>(EU) No</w:t>
            </w:r>
            <w:r w:rsidR="00C1399E">
              <w:rPr>
                <w:rFonts w:ascii="Times New Roman" w:hAnsi="Times New Roman"/>
                <w:sz w:val="24"/>
                <w:lang w:eastAsia="en-GB"/>
              </w:rPr>
              <w:t xml:space="preserve"> </w:t>
            </w:r>
            <w:r w:rsidR="00A13BBC">
              <w:rPr>
                <w:rFonts w:ascii="Times New Roman" w:hAnsi="Times New Roman"/>
                <w:sz w:val="24"/>
              </w:rPr>
              <w:t>575/2013</w:t>
            </w:r>
            <w:r w:rsidR="00AD794C" w:rsidRPr="0040604D">
              <w:rPr>
                <w:rStyle w:val="InstructionsTabelleberschrift"/>
                <w:rFonts w:ascii="Times New Roman" w:hAnsi="Times New Roman"/>
                <w:b w:val="0"/>
                <w:sz w:val="24"/>
                <w:u w:val="none"/>
                <w:lang w:eastAsia="de-DE"/>
              </w:rPr>
              <w:t>.</w:t>
            </w:r>
          </w:p>
          <w:p w:rsidR="00AD794C" w:rsidRPr="0040604D" w:rsidRDefault="00AD794C" w:rsidP="00ED6567">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1240</w:t>
            </w:r>
          </w:p>
        </w:tc>
        <w:tc>
          <w:tcPr>
            <w:tcW w:w="7740" w:type="dxa"/>
            <w:shd w:val="clear" w:color="auto" w:fill="auto"/>
            <w:noWrap/>
          </w:tcPr>
          <w:p w:rsidR="00AD794C" w:rsidRPr="0040604D" w:rsidRDefault="00AD794C" w:rsidP="00ED6567">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3.3.4 bonds as defined in Article 52(4) of Directive 2009/65/EC other than those re</w:t>
            </w:r>
            <w:r w:rsidR="004A7225">
              <w:rPr>
                <w:rStyle w:val="InstructionsTabelleberschrift"/>
                <w:rFonts w:ascii="Times New Roman" w:hAnsi="Times New Roman"/>
                <w:sz w:val="24"/>
                <w:lang w:eastAsia="de-DE"/>
              </w:rPr>
              <w:t xml:space="preserve">ferred to </w:t>
            </w:r>
            <w:r w:rsidRPr="0040604D">
              <w:rPr>
                <w:rStyle w:val="InstructionsTabelleberschrift"/>
                <w:rFonts w:ascii="Times New Roman" w:hAnsi="Times New Roman"/>
                <w:sz w:val="24"/>
                <w:lang w:eastAsia="de-DE"/>
              </w:rPr>
              <w:t>in item 3.3.3</w:t>
            </w:r>
          </w:p>
          <w:p w:rsidR="00AD794C" w:rsidRPr="0040604D" w:rsidRDefault="00AD794C" w:rsidP="00ED6567">
            <w:pPr>
              <w:spacing w:before="0" w:after="0"/>
              <w:jc w:val="left"/>
              <w:rPr>
                <w:rStyle w:val="InstructionsTabelleberschrift"/>
                <w:rFonts w:ascii="Times New Roman" w:hAnsi="Times New Roman"/>
                <w:sz w:val="24"/>
              </w:rPr>
            </w:pPr>
          </w:p>
          <w:p w:rsidR="00AD794C" w:rsidRPr="0040604D" w:rsidRDefault="00743492" w:rsidP="008B32E0">
            <w:pPr>
              <w:spacing w:before="0" w:after="0"/>
              <w:jc w:val="left"/>
              <w:rPr>
                <w:rStyle w:val="InstructionsTabelleberschrift"/>
                <w:rFonts w:ascii="Times New Roman" w:hAnsi="Times New Roman"/>
                <w:sz w:val="24"/>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5D5D43">
              <w:rPr>
                <w:rStyle w:val="InstructionsTabelleberschrift"/>
                <w:rFonts w:ascii="Times New Roman" w:hAnsi="Times New Roman"/>
                <w:b w:val="0"/>
                <w:sz w:val="24"/>
                <w:u w:val="none"/>
                <w:lang w:eastAsia="de-DE"/>
              </w:rPr>
              <w:t>is</w:t>
            </w:r>
            <w:r w:rsidR="005D5D43"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bonds as defined in Article 52(4) of Directive 2009/65/EC other than those reported in item 3.3.3</w:t>
            </w:r>
            <w:r w:rsidR="00DC6350">
              <w:rPr>
                <w:rStyle w:val="InstructionsTabelleberschrift"/>
                <w:rFonts w:ascii="Times New Roman" w:hAnsi="Times New Roman"/>
                <w:b w:val="0"/>
                <w:sz w:val="24"/>
                <w:u w:val="none"/>
                <w:lang w:eastAsia="de-DE"/>
              </w:rPr>
              <w:t>.</w:t>
            </w:r>
          </w:p>
          <w:p w:rsidR="00AD794C" w:rsidRPr="0040604D" w:rsidRDefault="00AD794C" w:rsidP="00ED6567">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lastRenderedPageBreak/>
              <w:t>1250</w:t>
            </w:r>
          </w:p>
        </w:tc>
        <w:tc>
          <w:tcPr>
            <w:tcW w:w="7740" w:type="dxa"/>
            <w:shd w:val="clear" w:color="auto" w:fill="auto"/>
            <w:noWrap/>
            <w:vAlign w:val="bottom"/>
          </w:tcPr>
          <w:p w:rsidR="00AD794C" w:rsidRPr="0040604D" w:rsidRDefault="00AD794C" w:rsidP="008B32E0">
            <w:pPr>
              <w:spacing w:before="0" w:after="0"/>
              <w:jc w:val="left"/>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sz w:val="24"/>
                <w:lang w:eastAsia="de-DE"/>
              </w:rPr>
              <w:t>3.3.4.1 credit quality step 1</w:t>
            </w:r>
            <w:r w:rsidRPr="0040604D">
              <w:rPr>
                <w:rStyle w:val="InstructionsTabelleberschrift"/>
                <w:rFonts w:ascii="Times New Roman" w:hAnsi="Times New Roman"/>
                <w:sz w:val="24"/>
                <w:lang w:eastAsia="de-DE"/>
              </w:rPr>
              <w:br/>
            </w:r>
          </w:p>
          <w:p w:rsidR="00AD794C" w:rsidRPr="0040604D" w:rsidRDefault="00743492" w:rsidP="008B32E0">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w:t>
            </w:r>
            <w:r w:rsidR="005D5D43">
              <w:rPr>
                <w:rStyle w:val="InstructionsTabelleberschrift"/>
                <w:rFonts w:ascii="Times New Roman" w:hAnsi="Times New Roman"/>
                <w:b w:val="0"/>
                <w:sz w:val="24"/>
                <w:u w:val="none"/>
                <w:lang w:eastAsia="de-DE"/>
              </w:rPr>
              <w:t>4</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5D5D43">
              <w:rPr>
                <w:rStyle w:val="InstructionsTabelleberschrift"/>
                <w:rFonts w:ascii="Times New Roman" w:hAnsi="Times New Roman"/>
                <w:b w:val="0"/>
                <w:sz w:val="24"/>
                <w:u w:val="none"/>
                <w:lang w:eastAsia="de-DE"/>
              </w:rPr>
              <w:t>is</w:t>
            </w:r>
            <w:r w:rsidR="005D5D43" w:rsidRPr="0040604D">
              <w:rPr>
                <w:rStyle w:val="InstructionsTabelleberschrift"/>
                <w:rFonts w:ascii="Times New Roman" w:hAnsi="Times New Roman"/>
                <w:b w:val="0"/>
                <w:sz w:val="24"/>
                <w:u w:val="none"/>
                <w:lang w:eastAsia="de-DE"/>
              </w:rPr>
              <w:t xml:space="preserve"> </w:t>
            </w:r>
            <w:r w:rsidR="00D56F3A">
              <w:rPr>
                <w:rStyle w:val="InstructionsTabelleberschrift"/>
                <w:rFonts w:ascii="Times New Roman" w:hAnsi="Times New Roman"/>
                <w:b w:val="0"/>
                <w:sz w:val="24"/>
                <w:u w:val="none"/>
                <w:lang w:eastAsia="de-DE"/>
              </w:rPr>
              <w:t xml:space="preserve">bonds of </w:t>
            </w:r>
            <w:r w:rsidR="00AD794C" w:rsidRPr="0040604D">
              <w:rPr>
                <w:rStyle w:val="InstructionsTabelleberschrift"/>
                <w:rFonts w:ascii="Times New Roman" w:hAnsi="Times New Roman"/>
                <w:b w:val="0"/>
                <w:sz w:val="24"/>
                <w:u w:val="none"/>
                <w:lang w:eastAsia="de-DE"/>
              </w:rPr>
              <w:t>credit quality step 1</w:t>
            </w:r>
            <w:r w:rsidR="00B27E9A" w:rsidRPr="00B27E9A">
              <w:rPr>
                <w:rFonts w:ascii="Times New Roman" w:hAnsi="Times New Roman"/>
                <w:sz w:val="24"/>
              </w:rPr>
              <w:t xml:space="preserve"> under Chapter 2, Title II of Part Three </w:t>
            </w:r>
            <w:r w:rsidR="00A13BBC">
              <w:rPr>
                <w:rFonts w:ascii="Times New Roman" w:hAnsi="Times New Roman"/>
                <w:sz w:val="24"/>
              </w:rPr>
              <w:t xml:space="preserve">of Regulation </w:t>
            </w:r>
            <w:r w:rsidR="00C1399E">
              <w:rPr>
                <w:rFonts w:ascii="Times New Roman" w:hAnsi="Times New Roman"/>
                <w:sz w:val="24"/>
              </w:rPr>
              <w:t>(EU) No</w:t>
            </w:r>
            <w:r w:rsidR="00C1399E">
              <w:rPr>
                <w:rFonts w:ascii="Times New Roman" w:hAnsi="Times New Roman"/>
                <w:sz w:val="24"/>
                <w:lang w:eastAsia="en-GB"/>
              </w:rPr>
              <w:t xml:space="preserve"> </w:t>
            </w:r>
            <w:r w:rsidR="00A13BBC">
              <w:rPr>
                <w:rFonts w:ascii="Times New Roman" w:hAnsi="Times New Roman"/>
                <w:sz w:val="24"/>
              </w:rPr>
              <w:t>575/2013</w:t>
            </w:r>
            <w:r w:rsidR="00AD794C" w:rsidRPr="0040604D">
              <w:rPr>
                <w:rStyle w:val="InstructionsTabelleberschrift"/>
                <w:rFonts w:ascii="Times New Roman" w:hAnsi="Times New Roman"/>
                <w:b w:val="0"/>
                <w:sz w:val="24"/>
                <w:u w:val="none"/>
                <w:lang w:eastAsia="de-DE"/>
              </w:rPr>
              <w:t>.</w:t>
            </w:r>
          </w:p>
          <w:p w:rsidR="00AD794C" w:rsidRPr="0040604D" w:rsidRDefault="00AD794C" w:rsidP="008B32E0">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1260</w:t>
            </w:r>
          </w:p>
        </w:tc>
        <w:tc>
          <w:tcPr>
            <w:tcW w:w="7740" w:type="dxa"/>
            <w:shd w:val="clear" w:color="auto" w:fill="auto"/>
            <w:noWrap/>
          </w:tcPr>
          <w:p w:rsidR="00AD794C" w:rsidRPr="0040604D" w:rsidRDefault="00AD794C" w:rsidP="008B32E0">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3.3.4.2</w:t>
            </w:r>
            <w:r w:rsidR="003E309A">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credit quality step 2</w:t>
            </w:r>
          </w:p>
          <w:p w:rsidR="00AD794C" w:rsidRPr="0040604D" w:rsidRDefault="00AD794C" w:rsidP="008B32E0">
            <w:pPr>
              <w:spacing w:before="0" w:after="0"/>
              <w:jc w:val="left"/>
              <w:rPr>
                <w:rStyle w:val="InstructionsTabelleberschrift"/>
                <w:rFonts w:ascii="Times New Roman" w:hAnsi="Times New Roman"/>
                <w:sz w:val="24"/>
              </w:rPr>
            </w:pPr>
          </w:p>
          <w:p w:rsidR="00AD794C" w:rsidRPr="0040604D" w:rsidRDefault="00743492" w:rsidP="005D5D43">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w:t>
            </w:r>
            <w:r w:rsidR="005D5D43">
              <w:rPr>
                <w:rStyle w:val="InstructionsTabelleberschrift"/>
                <w:rFonts w:ascii="Times New Roman" w:hAnsi="Times New Roman"/>
                <w:b w:val="0"/>
                <w:sz w:val="24"/>
                <w:u w:val="none"/>
                <w:lang w:eastAsia="de-DE"/>
              </w:rPr>
              <w:t>4</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5D5D43">
              <w:rPr>
                <w:rStyle w:val="InstructionsTabelleberschrift"/>
                <w:rFonts w:ascii="Times New Roman" w:hAnsi="Times New Roman"/>
                <w:b w:val="0"/>
                <w:sz w:val="24"/>
                <w:u w:val="none"/>
                <w:lang w:eastAsia="de-DE"/>
              </w:rPr>
              <w:t>is</w:t>
            </w:r>
            <w:r w:rsidR="005D5D43" w:rsidRPr="0040604D">
              <w:rPr>
                <w:rStyle w:val="InstructionsTabelleberschrift"/>
                <w:rFonts w:ascii="Times New Roman" w:hAnsi="Times New Roman"/>
                <w:b w:val="0"/>
                <w:sz w:val="24"/>
                <w:u w:val="none"/>
                <w:lang w:eastAsia="de-DE"/>
              </w:rPr>
              <w:t xml:space="preserve"> </w:t>
            </w:r>
            <w:r w:rsidR="00D56F3A">
              <w:rPr>
                <w:rStyle w:val="InstructionsTabelleberschrift"/>
                <w:rFonts w:ascii="Times New Roman" w:hAnsi="Times New Roman"/>
                <w:b w:val="0"/>
                <w:sz w:val="24"/>
                <w:u w:val="none"/>
                <w:lang w:eastAsia="de-DE"/>
              </w:rPr>
              <w:t xml:space="preserve">bonds of </w:t>
            </w:r>
            <w:r w:rsidR="00AD794C" w:rsidRPr="0040604D">
              <w:rPr>
                <w:rStyle w:val="InstructionsTabelleberschrift"/>
                <w:rFonts w:ascii="Times New Roman" w:hAnsi="Times New Roman"/>
                <w:b w:val="0"/>
                <w:sz w:val="24"/>
                <w:u w:val="none"/>
                <w:lang w:eastAsia="de-DE"/>
              </w:rPr>
              <w:t>credit quality step 2</w:t>
            </w:r>
            <w:r w:rsidR="00B27E9A" w:rsidRPr="00B27E9A">
              <w:rPr>
                <w:rFonts w:ascii="Times New Roman" w:hAnsi="Times New Roman"/>
                <w:sz w:val="24"/>
              </w:rPr>
              <w:t xml:space="preserve"> under Chapter 2, Title II of Part Three </w:t>
            </w:r>
            <w:r w:rsidR="00A13BBC">
              <w:rPr>
                <w:rFonts w:ascii="Times New Roman" w:hAnsi="Times New Roman"/>
                <w:sz w:val="24"/>
              </w:rPr>
              <w:t xml:space="preserve">of Regulation </w:t>
            </w:r>
            <w:r w:rsidR="00C1399E">
              <w:rPr>
                <w:rFonts w:ascii="Times New Roman" w:hAnsi="Times New Roman"/>
                <w:sz w:val="24"/>
              </w:rPr>
              <w:t>(EU) No</w:t>
            </w:r>
            <w:r w:rsidR="00C1399E">
              <w:rPr>
                <w:rFonts w:ascii="Times New Roman" w:hAnsi="Times New Roman"/>
                <w:sz w:val="24"/>
                <w:lang w:eastAsia="en-GB"/>
              </w:rPr>
              <w:t xml:space="preserve"> </w:t>
            </w:r>
            <w:r w:rsidR="00A13BBC">
              <w:rPr>
                <w:rFonts w:ascii="Times New Roman" w:hAnsi="Times New Roman"/>
                <w:sz w:val="24"/>
              </w:rPr>
              <w:t>575/2013</w:t>
            </w:r>
            <w:r w:rsidR="00AD794C" w:rsidRPr="0040604D">
              <w:rPr>
                <w:rStyle w:val="InstructionsTabelleberschrift"/>
                <w:rFonts w:ascii="Times New Roman" w:hAnsi="Times New Roman"/>
                <w:b w:val="0"/>
                <w:sz w:val="24"/>
                <w:u w:val="none"/>
                <w:lang w:eastAsia="de-DE"/>
              </w:rPr>
              <w:t>.</w:t>
            </w: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1270</w:t>
            </w:r>
          </w:p>
        </w:tc>
        <w:tc>
          <w:tcPr>
            <w:tcW w:w="7740" w:type="dxa"/>
            <w:shd w:val="clear" w:color="auto" w:fill="auto"/>
            <w:noWrap/>
          </w:tcPr>
          <w:p w:rsidR="00AD794C" w:rsidRPr="0040604D" w:rsidRDefault="00AD794C" w:rsidP="008B32E0">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3.3.4.3</w:t>
            </w:r>
            <w:r w:rsidR="003E309A">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credit quality step 3</w:t>
            </w:r>
          </w:p>
          <w:p w:rsidR="00AD794C" w:rsidRPr="0040604D" w:rsidRDefault="00AD794C" w:rsidP="008B32E0">
            <w:pPr>
              <w:spacing w:before="0" w:after="0"/>
              <w:jc w:val="left"/>
              <w:rPr>
                <w:rStyle w:val="InstructionsTabelleberschrift"/>
                <w:rFonts w:ascii="Times New Roman" w:hAnsi="Times New Roman"/>
                <w:b w:val="0"/>
                <w:sz w:val="24"/>
                <w:u w:val="none"/>
                <w:lang w:eastAsia="de-DE"/>
              </w:rPr>
            </w:pPr>
          </w:p>
          <w:p w:rsidR="00AD794C" w:rsidRPr="0040604D" w:rsidRDefault="00743492" w:rsidP="008B32E0">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w:t>
            </w:r>
            <w:r w:rsidR="00D43A69">
              <w:rPr>
                <w:rStyle w:val="InstructionsTabelleberschrift"/>
                <w:rFonts w:ascii="Times New Roman" w:hAnsi="Times New Roman"/>
                <w:b w:val="0"/>
                <w:sz w:val="24"/>
                <w:u w:val="none"/>
                <w:lang w:eastAsia="de-DE"/>
              </w:rPr>
              <w:t>4</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D43A69">
              <w:rPr>
                <w:rStyle w:val="InstructionsTabelleberschrift"/>
                <w:rFonts w:ascii="Times New Roman" w:hAnsi="Times New Roman"/>
                <w:b w:val="0"/>
                <w:sz w:val="24"/>
                <w:u w:val="none"/>
                <w:lang w:eastAsia="de-DE"/>
              </w:rPr>
              <w:t>is</w:t>
            </w:r>
            <w:r w:rsidR="00D43A69" w:rsidRPr="0040604D">
              <w:rPr>
                <w:rStyle w:val="InstructionsTabelleberschrift"/>
                <w:rFonts w:ascii="Times New Roman" w:hAnsi="Times New Roman"/>
                <w:b w:val="0"/>
                <w:sz w:val="24"/>
                <w:u w:val="none"/>
                <w:lang w:eastAsia="de-DE"/>
              </w:rPr>
              <w:t xml:space="preserve"> </w:t>
            </w:r>
            <w:r w:rsidR="00D56F3A">
              <w:rPr>
                <w:rStyle w:val="InstructionsTabelleberschrift"/>
                <w:rFonts w:ascii="Times New Roman" w:hAnsi="Times New Roman"/>
                <w:b w:val="0"/>
                <w:sz w:val="24"/>
                <w:u w:val="none"/>
                <w:lang w:eastAsia="de-DE"/>
              </w:rPr>
              <w:t xml:space="preserve">bonds of </w:t>
            </w:r>
            <w:r w:rsidR="00AD794C" w:rsidRPr="0040604D">
              <w:rPr>
                <w:rStyle w:val="InstructionsTabelleberschrift"/>
                <w:rFonts w:ascii="Times New Roman" w:hAnsi="Times New Roman"/>
                <w:b w:val="0"/>
                <w:sz w:val="24"/>
                <w:u w:val="none"/>
                <w:lang w:eastAsia="de-DE"/>
              </w:rPr>
              <w:t>credit quality step 3</w:t>
            </w:r>
            <w:r w:rsidR="00B27E9A" w:rsidRPr="00B27E9A">
              <w:rPr>
                <w:rFonts w:ascii="Times New Roman" w:hAnsi="Times New Roman"/>
                <w:sz w:val="24"/>
              </w:rPr>
              <w:t xml:space="preserve"> under Chapter 2, Title II of Part Three </w:t>
            </w:r>
            <w:r w:rsidR="00A13BBC">
              <w:rPr>
                <w:rFonts w:ascii="Times New Roman" w:hAnsi="Times New Roman"/>
                <w:sz w:val="24"/>
              </w:rPr>
              <w:t xml:space="preserve">of Regulation </w:t>
            </w:r>
            <w:r w:rsidR="00C1399E">
              <w:rPr>
                <w:rFonts w:ascii="Times New Roman" w:hAnsi="Times New Roman"/>
                <w:sz w:val="24"/>
              </w:rPr>
              <w:t>(EU) No</w:t>
            </w:r>
            <w:r w:rsidR="00C1399E">
              <w:rPr>
                <w:rFonts w:ascii="Times New Roman" w:hAnsi="Times New Roman"/>
                <w:sz w:val="24"/>
                <w:lang w:eastAsia="en-GB"/>
              </w:rPr>
              <w:t xml:space="preserve"> </w:t>
            </w:r>
            <w:r w:rsidR="00A13BBC">
              <w:rPr>
                <w:rFonts w:ascii="Times New Roman" w:hAnsi="Times New Roman"/>
                <w:sz w:val="24"/>
              </w:rPr>
              <w:t>575/2013</w:t>
            </w:r>
            <w:r w:rsidR="00AD794C" w:rsidRPr="0040604D">
              <w:rPr>
                <w:rStyle w:val="InstructionsTabelleberschrift"/>
                <w:rFonts w:ascii="Times New Roman" w:hAnsi="Times New Roman"/>
                <w:b w:val="0"/>
                <w:sz w:val="24"/>
                <w:u w:val="none"/>
                <w:lang w:eastAsia="de-DE"/>
              </w:rPr>
              <w:t>.</w:t>
            </w:r>
          </w:p>
          <w:p w:rsidR="00AD794C" w:rsidRPr="0040604D" w:rsidRDefault="00AD794C" w:rsidP="008B32E0">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1280</w:t>
            </w:r>
          </w:p>
        </w:tc>
        <w:tc>
          <w:tcPr>
            <w:tcW w:w="7740" w:type="dxa"/>
            <w:shd w:val="clear" w:color="auto" w:fill="auto"/>
            <w:noWrap/>
          </w:tcPr>
          <w:p w:rsidR="00AD794C" w:rsidRPr="0040604D" w:rsidRDefault="00AD794C" w:rsidP="00ED6567">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3.3.5 non financial corporate bonds</w:t>
            </w:r>
          </w:p>
          <w:p w:rsidR="00AD794C" w:rsidRPr="0040604D" w:rsidRDefault="00AD794C" w:rsidP="00ED6567">
            <w:pPr>
              <w:spacing w:before="0" w:after="0"/>
              <w:jc w:val="left"/>
              <w:rPr>
                <w:rStyle w:val="InstructionsTabelleberschrift"/>
                <w:rFonts w:ascii="Times New Roman" w:hAnsi="Times New Roman"/>
                <w:sz w:val="24"/>
                <w:lang w:eastAsia="de-DE"/>
              </w:rPr>
            </w:pPr>
          </w:p>
          <w:p w:rsidR="00AD794C" w:rsidRPr="0040604D" w:rsidRDefault="00743492" w:rsidP="00C85FA6">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D43A69">
              <w:rPr>
                <w:rStyle w:val="InstructionsTabelleberschrift"/>
                <w:rFonts w:ascii="Times New Roman" w:hAnsi="Times New Roman"/>
                <w:b w:val="0"/>
                <w:sz w:val="24"/>
                <w:u w:val="none"/>
                <w:lang w:eastAsia="de-DE"/>
              </w:rPr>
              <w:t xml:space="preserve">is </w:t>
            </w:r>
            <w:r w:rsidR="00AD794C" w:rsidRPr="0040604D">
              <w:rPr>
                <w:rStyle w:val="InstructionsTabelleberschrift"/>
                <w:rFonts w:ascii="Times New Roman" w:hAnsi="Times New Roman"/>
                <w:b w:val="0"/>
                <w:sz w:val="24"/>
                <w:u w:val="none"/>
                <w:lang w:eastAsia="de-DE"/>
              </w:rPr>
              <w:t xml:space="preserve">corporate bonds issued by </w:t>
            </w:r>
            <w:r w:rsidR="00D43A69">
              <w:rPr>
                <w:rStyle w:val="InstructionsTabelleberschrift"/>
                <w:rFonts w:ascii="Times New Roman" w:hAnsi="Times New Roman"/>
                <w:b w:val="0"/>
                <w:sz w:val="24"/>
                <w:u w:val="none"/>
                <w:lang w:eastAsia="de-DE"/>
              </w:rPr>
              <w:t>non-financial corporates</w:t>
            </w:r>
            <w:r w:rsidR="00AD794C" w:rsidRPr="0040604D">
              <w:rPr>
                <w:rStyle w:val="InstructionsTabelleberschrift"/>
                <w:rFonts w:ascii="Times New Roman" w:hAnsi="Times New Roman"/>
                <w:b w:val="0"/>
                <w:sz w:val="24"/>
                <w:u w:val="none"/>
                <w:lang w:eastAsia="de-DE"/>
              </w:rPr>
              <w:t>.</w:t>
            </w:r>
          </w:p>
          <w:p w:rsidR="00AD794C" w:rsidRPr="0040604D" w:rsidRDefault="00AD794C" w:rsidP="00ED6567">
            <w:pPr>
              <w:spacing w:before="0" w:after="0"/>
              <w:jc w:val="left"/>
              <w:rPr>
                <w:rStyle w:val="InstructionsTabelleberschrift"/>
                <w:rFonts w:ascii="Times New Roman" w:hAnsi="Times New Roman"/>
                <w:b w:val="0"/>
                <w:sz w:val="24"/>
                <w:u w:val="none"/>
              </w:rPr>
            </w:pP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1290</w:t>
            </w:r>
          </w:p>
        </w:tc>
        <w:tc>
          <w:tcPr>
            <w:tcW w:w="7740" w:type="dxa"/>
            <w:shd w:val="clear" w:color="auto" w:fill="auto"/>
            <w:noWrap/>
          </w:tcPr>
          <w:p w:rsidR="00AD794C" w:rsidRPr="0040604D" w:rsidRDefault="00AD794C" w:rsidP="00ED6567">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3.3.5.1</w:t>
            </w:r>
            <w:r w:rsidR="003E309A">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credit quality step 1</w:t>
            </w:r>
          </w:p>
          <w:p w:rsidR="00AD794C" w:rsidRPr="0040604D" w:rsidRDefault="00AD794C" w:rsidP="00ED6567">
            <w:pPr>
              <w:spacing w:before="0" w:after="0"/>
              <w:jc w:val="left"/>
              <w:rPr>
                <w:rStyle w:val="InstructionsTabelleberschrift"/>
                <w:rFonts w:ascii="Times New Roman" w:hAnsi="Times New Roman"/>
                <w:sz w:val="24"/>
                <w:lang w:eastAsia="de-DE"/>
              </w:rPr>
            </w:pPr>
          </w:p>
          <w:p w:rsidR="00AD794C" w:rsidRPr="0040604D" w:rsidRDefault="00743492" w:rsidP="00835E1D">
            <w:pPr>
              <w:spacing w:before="0" w:after="0"/>
              <w:jc w:val="left"/>
              <w:rPr>
                <w:rStyle w:val="InstructionsTabelleberschrift"/>
                <w:rFonts w:ascii="Times New Roman" w:hAnsi="Times New Roman"/>
                <w:sz w:val="24"/>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w:t>
            </w:r>
            <w:r w:rsidR="006470A0">
              <w:rPr>
                <w:rStyle w:val="InstructionsTabelleberschrift"/>
                <w:rFonts w:ascii="Times New Roman" w:hAnsi="Times New Roman"/>
                <w:b w:val="0"/>
                <w:sz w:val="24"/>
                <w:u w:val="none"/>
                <w:lang w:eastAsia="de-DE"/>
              </w:rPr>
              <w:t>5</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FD35D4">
              <w:rPr>
                <w:rStyle w:val="InstructionsTabelleberschrift"/>
                <w:rFonts w:ascii="Times New Roman" w:hAnsi="Times New Roman"/>
                <w:b w:val="0"/>
                <w:sz w:val="24"/>
                <w:u w:val="none"/>
                <w:lang w:eastAsia="de-DE"/>
              </w:rPr>
              <w:t>is</w:t>
            </w:r>
            <w:r w:rsidR="006242E9">
              <w:rPr>
                <w:rStyle w:val="InstructionsTabelleberschrift"/>
                <w:rFonts w:ascii="Times New Roman" w:hAnsi="Times New Roman"/>
                <w:b w:val="0"/>
                <w:sz w:val="24"/>
                <w:u w:val="none"/>
                <w:lang w:eastAsia="de-DE"/>
              </w:rPr>
              <w:t xml:space="preserve"> bonds of</w:t>
            </w:r>
            <w:r w:rsidR="00FD35D4"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credit quality step 1</w:t>
            </w:r>
            <w:r w:rsidR="00B27E9A" w:rsidRPr="00B27E9A">
              <w:rPr>
                <w:rFonts w:ascii="Times New Roman" w:hAnsi="Times New Roman"/>
                <w:sz w:val="24"/>
              </w:rPr>
              <w:t xml:space="preserve"> under Chapter 2, Title II of Part Three</w:t>
            </w:r>
            <w:r w:rsidR="00A13BBC">
              <w:rPr>
                <w:rFonts w:ascii="Times New Roman" w:hAnsi="Times New Roman"/>
                <w:sz w:val="24"/>
              </w:rPr>
              <w:t xml:space="preserve"> of Regulation </w:t>
            </w:r>
            <w:r w:rsidR="00C1399E">
              <w:rPr>
                <w:rFonts w:ascii="Times New Roman" w:hAnsi="Times New Roman"/>
                <w:sz w:val="24"/>
              </w:rPr>
              <w:t>(EU) No</w:t>
            </w:r>
            <w:r w:rsidR="00C1399E">
              <w:rPr>
                <w:rFonts w:ascii="Times New Roman" w:hAnsi="Times New Roman"/>
                <w:sz w:val="24"/>
                <w:lang w:eastAsia="en-GB"/>
              </w:rPr>
              <w:t xml:space="preserve"> </w:t>
            </w:r>
            <w:r w:rsidR="00A13BBC">
              <w:rPr>
                <w:rFonts w:ascii="Times New Roman" w:hAnsi="Times New Roman"/>
                <w:sz w:val="24"/>
              </w:rPr>
              <w:t>575/2013</w:t>
            </w:r>
            <w:r w:rsidR="00AD794C" w:rsidRPr="0040604D">
              <w:rPr>
                <w:rStyle w:val="InstructionsTabelleberschrift"/>
                <w:rFonts w:ascii="Times New Roman" w:hAnsi="Times New Roman"/>
                <w:b w:val="0"/>
                <w:sz w:val="24"/>
                <w:u w:val="none"/>
                <w:lang w:eastAsia="de-DE"/>
              </w:rPr>
              <w:t>.</w:t>
            </w: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1300</w:t>
            </w:r>
          </w:p>
        </w:tc>
        <w:tc>
          <w:tcPr>
            <w:tcW w:w="7740" w:type="dxa"/>
            <w:shd w:val="clear" w:color="auto" w:fill="auto"/>
            <w:noWrap/>
          </w:tcPr>
          <w:p w:rsidR="00AD794C" w:rsidRPr="0040604D" w:rsidRDefault="00AD794C" w:rsidP="00ED6567">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3.3.5.2</w:t>
            </w:r>
            <w:r w:rsidR="003E309A">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credit quality step 2</w:t>
            </w:r>
          </w:p>
          <w:p w:rsidR="00AD794C" w:rsidRPr="0040604D" w:rsidRDefault="00AD794C" w:rsidP="00ED6567">
            <w:pPr>
              <w:spacing w:before="0" w:after="0"/>
              <w:jc w:val="left"/>
              <w:rPr>
                <w:rStyle w:val="InstructionsTabelleberschrift"/>
                <w:rFonts w:ascii="Times New Roman" w:hAnsi="Times New Roman"/>
                <w:sz w:val="24"/>
                <w:lang w:eastAsia="de-DE"/>
              </w:rPr>
            </w:pPr>
          </w:p>
          <w:p w:rsidR="00AD794C" w:rsidRPr="0040604D" w:rsidRDefault="00743492" w:rsidP="00E263EA">
            <w:pPr>
              <w:spacing w:before="0" w:after="0"/>
              <w:jc w:val="left"/>
              <w:rPr>
                <w:rStyle w:val="InstructionsTabelleberschrift"/>
                <w:rFonts w:ascii="Times New Roman" w:hAnsi="Times New Roman"/>
                <w:sz w:val="24"/>
                <w:u w:val="non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w:t>
            </w:r>
            <w:r w:rsidR="00FD35D4">
              <w:rPr>
                <w:rStyle w:val="InstructionsTabelleberschrift"/>
                <w:rFonts w:ascii="Times New Roman" w:hAnsi="Times New Roman"/>
                <w:b w:val="0"/>
                <w:sz w:val="24"/>
                <w:u w:val="none"/>
                <w:lang w:eastAsia="de-DE"/>
              </w:rPr>
              <w:t>5</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FD35D4">
              <w:rPr>
                <w:rStyle w:val="InstructionsTabelleberschrift"/>
                <w:rFonts w:ascii="Times New Roman" w:hAnsi="Times New Roman"/>
                <w:b w:val="0"/>
                <w:sz w:val="24"/>
                <w:u w:val="none"/>
                <w:lang w:eastAsia="de-DE"/>
              </w:rPr>
              <w:t>is</w:t>
            </w:r>
            <w:r w:rsidR="00FD35D4" w:rsidRPr="0040604D">
              <w:rPr>
                <w:rStyle w:val="InstructionsTabelleberschrift"/>
                <w:rFonts w:ascii="Times New Roman" w:hAnsi="Times New Roman"/>
                <w:b w:val="0"/>
                <w:sz w:val="24"/>
                <w:u w:val="none"/>
                <w:lang w:eastAsia="de-DE"/>
              </w:rPr>
              <w:t xml:space="preserve"> </w:t>
            </w:r>
            <w:r w:rsidR="006242E9">
              <w:rPr>
                <w:rStyle w:val="InstructionsTabelleberschrift"/>
                <w:rFonts w:ascii="Times New Roman" w:hAnsi="Times New Roman"/>
                <w:b w:val="0"/>
                <w:sz w:val="24"/>
                <w:u w:val="none"/>
                <w:lang w:eastAsia="de-DE"/>
              </w:rPr>
              <w:t xml:space="preserve">bonds of </w:t>
            </w:r>
            <w:r w:rsidR="00AD794C" w:rsidRPr="0040604D">
              <w:rPr>
                <w:rStyle w:val="InstructionsTabelleberschrift"/>
                <w:rFonts w:ascii="Times New Roman" w:hAnsi="Times New Roman"/>
                <w:b w:val="0"/>
                <w:sz w:val="24"/>
                <w:u w:val="none"/>
                <w:lang w:eastAsia="de-DE"/>
              </w:rPr>
              <w:t>credit quality step 2</w:t>
            </w:r>
            <w:r w:rsidR="00B27E9A" w:rsidRPr="00B27E9A">
              <w:rPr>
                <w:rFonts w:ascii="Times New Roman" w:hAnsi="Times New Roman"/>
                <w:sz w:val="24"/>
              </w:rPr>
              <w:t xml:space="preserve"> under Chapter 2, Title II of Part Three</w:t>
            </w:r>
            <w:r w:rsidR="00A13BBC">
              <w:rPr>
                <w:rFonts w:ascii="Times New Roman" w:hAnsi="Times New Roman"/>
                <w:sz w:val="24"/>
              </w:rPr>
              <w:t xml:space="preserve"> of Regulation </w:t>
            </w:r>
            <w:r w:rsidR="00C1399E">
              <w:rPr>
                <w:rFonts w:ascii="Times New Roman" w:hAnsi="Times New Roman"/>
                <w:sz w:val="24"/>
              </w:rPr>
              <w:t>(EU) No</w:t>
            </w:r>
            <w:r w:rsidR="00C1399E">
              <w:rPr>
                <w:rFonts w:ascii="Times New Roman" w:hAnsi="Times New Roman"/>
                <w:sz w:val="24"/>
                <w:lang w:eastAsia="en-GB"/>
              </w:rPr>
              <w:t xml:space="preserve"> </w:t>
            </w:r>
            <w:r w:rsidR="00A13BBC">
              <w:rPr>
                <w:rFonts w:ascii="Times New Roman" w:hAnsi="Times New Roman"/>
                <w:sz w:val="24"/>
              </w:rPr>
              <w:t>575/2013</w:t>
            </w:r>
            <w:r w:rsidR="00AD794C" w:rsidRPr="0040604D">
              <w:rPr>
                <w:rStyle w:val="InstructionsTabelleberschrift"/>
                <w:rFonts w:ascii="Times New Roman" w:hAnsi="Times New Roman"/>
                <w:b w:val="0"/>
                <w:sz w:val="24"/>
                <w:u w:val="none"/>
                <w:lang w:eastAsia="de-DE"/>
              </w:rPr>
              <w:t>.</w:t>
            </w:r>
          </w:p>
          <w:p w:rsidR="00AD794C" w:rsidRPr="002A4E71" w:rsidRDefault="00AD794C" w:rsidP="00FA3649">
            <w:pPr>
              <w:spacing w:before="0" w:after="0"/>
              <w:jc w:val="left"/>
              <w:rPr>
                <w:rStyle w:val="InstructionsTabelleberschrift"/>
                <w:rFonts w:ascii="Times New Roman" w:hAnsi="Times New Roman"/>
                <w:b w:val="0"/>
                <w:sz w:val="24"/>
                <w:u w:val="none"/>
              </w:rPr>
            </w:pP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1310</w:t>
            </w:r>
          </w:p>
        </w:tc>
        <w:tc>
          <w:tcPr>
            <w:tcW w:w="7740" w:type="dxa"/>
            <w:shd w:val="clear" w:color="auto" w:fill="auto"/>
            <w:noWrap/>
          </w:tcPr>
          <w:p w:rsidR="00AD794C" w:rsidRPr="0040604D" w:rsidRDefault="00AD794C" w:rsidP="008B32E0">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3.3.5.3</w:t>
            </w:r>
            <w:r w:rsidR="003E309A">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credit quality step 3</w:t>
            </w:r>
          </w:p>
          <w:p w:rsidR="00AD794C" w:rsidRPr="0040604D" w:rsidRDefault="00AD794C" w:rsidP="008B32E0">
            <w:pPr>
              <w:spacing w:before="0" w:after="0"/>
              <w:jc w:val="left"/>
              <w:rPr>
                <w:rStyle w:val="InstructionsTabelleberschrift"/>
                <w:rFonts w:ascii="Times New Roman" w:hAnsi="Times New Roman"/>
                <w:sz w:val="24"/>
                <w:lang w:eastAsia="de-DE"/>
              </w:rPr>
            </w:pPr>
          </w:p>
          <w:p w:rsidR="00AD794C" w:rsidRPr="0040604D" w:rsidRDefault="00743492" w:rsidP="008B32E0">
            <w:pPr>
              <w:spacing w:before="0" w:after="0"/>
              <w:jc w:val="left"/>
              <w:rPr>
                <w:rStyle w:val="InstructionsTabelleberschrift"/>
                <w:rFonts w:ascii="Times New Roman" w:hAnsi="Times New Roman"/>
                <w:sz w:val="24"/>
                <w:u w:val="non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w:t>
            </w:r>
            <w:r w:rsidR="006470A0">
              <w:rPr>
                <w:rStyle w:val="InstructionsTabelleberschrift"/>
                <w:rFonts w:ascii="Times New Roman" w:hAnsi="Times New Roman"/>
                <w:b w:val="0"/>
                <w:sz w:val="24"/>
                <w:u w:val="none"/>
                <w:lang w:eastAsia="de-DE"/>
              </w:rPr>
              <w:t>.</w:t>
            </w:r>
            <w:r w:rsidR="00FD35D4">
              <w:rPr>
                <w:rStyle w:val="InstructionsTabelleberschrift"/>
                <w:rFonts w:ascii="Times New Roman" w:hAnsi="Times New Roman"/>
                <w:b w:val="0"/>
                <w:sz w:val="24"/>
                <w:u w:val="none"/>
                <w:lang w:eastAsia="de-DE"/>
              </w:rPr>
              <w:t>5</w:t>
            </w:r>
            <w:r w:rsidR="00AD794C" w:rsidRPr="0040604D">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FD35D4" w:rsidRPr="0040604D">
              <w:rPr>
                <w:rStyle w:val="InstructionsTabelleberschrift"/>
                <w:rFonts w:ascii="Times New Roman" w:hAnsi="Times New Roman"/>
                <w:b w:val="0"/>
                <w:sz w:val="24"/>
                <w:u w:val="none"/>
                <w:lang w:eastAsia="de-DE"/>
              </w:rPr>
              <w:t xml:space="preserve"> is</w:t>
            </w:r>
            <w:r w:rsidR="00AD794C" w:rsidRPr="0040604D">
              <w:rPr>
                <w:rStyle w:val="InstructionsTabelleberschrift"/>
                <w:rFonts w:ascii="Times New Roman" w:hAnsi="Times New Roman"/>
                <w:b w:val="0"/>
                <w:sz w:val="24"/>
                <w:u w:val="none"/>
                <w:lang w:eastAsia="de-DE"/>
              </w:rPr>
              <w:t xml:space="preserve"> </w:t>
            </w:r>
            <w:r w:rsidR="006242E9">
              <w:rPr>
                <w:rStyle w:val="InstructionsTabelleberschrift"/>
                <w:rFonts w:ascii="Times New Roman" w:hAnsi="Times New Roman"/>
                <w:b w:val="0"/>
                <w:sz w:val="24"/>
                <w:u w:val="none"/>
                <w:lang w:eastAsia="de-DE"/>
              </w:rPr>
              <w:t xml:space="preserve">bonds of </w:t>
            </w:r>
            <w:r w:rsidR="00AD794C" w:rsidRPr="0040604D">
              <w:rPr>
                <w:rStyle w:val="InstructionsTabelleberschrift"/>
                <w:rFonts w:ascii="Times New Roman" w:hAnsi="Times New Roman"/>
                <w:b w:val="0"/>
                <w:sz w:val="24"/>
                <w:u w:val="none"/>
                <w:lang w:eastAsia="de-DE"/>
              </w:rPr>
              <w:t>credit quality step 3</w:t>
            </w:r>
            <w:r w:rsidR="00B27E9A" w:rsidRPr="00B27E9A">
              <w:rPr>
                <w:rFonts w:ascii="Times New Roman" w:hAnsi="Times New Roman"/>
                <w:sz w:val="24"/>
              </w:rPr>
              <w:t xml:space="preserve"> under Chapter 2, Title II of Part Three </w:t>
            </w:r>
            <w:r w:rsidR="00A13BBC">
              <w:rPr>
                <w:rFonts w:ascii="Times New Roman" w:hAnsi="Times New Roman"/>
                <w:sz w:val="24"/>
              </w:rPr>
              <w:t xml:space="preserve">of Regulation </w:t>
            </w:r>
            <w:r w:rsidR="00C1399E">
              <w:rPr>
                <w:rFonts w:ascii="Times New Roman" w:hAnsi="Times New Roman"/>
                <w:sz w:val="24"/>
              </w:rPr>
              <w:t>(EU) No</w:t>
            </w:r>
            <w:r w:rsidR="00C1399E">
              <w:rPr>
                <w:rFonts w:ascii="Times New Roman" w:hAnsi="Times New Roman"/>
                <w:sz w:val="24"/>
                <w:lang w:eastAsia="en-GB"/>
              </w:rPr>
              <w:t xml:space="preserve"> </w:t>
            </w:r>
            <w:r w:rsidR="00A13BBC">
              <w:rPr>
                <w:rFonts w:ascii="Times New Roman" w:hAnsi="Times New Roman"/>
                <w:sz w:val="24"/>
              </w:rPr>
              <w:t>575/2013</w:t>
            </w:r>
            <w:r w:rsidR="00AD794C" w:rsidRPr="0040604D">
              <w:rPr>
                <w:rStyle w:val="InstructionsTabelleberschrift"/>
                <w:rFonts w:ascii="Times New Roman" w:hAnsi="Times New Roman"/>
                <w:b w:val="0"/>
                <w:sz w:val="24"/>
                <w:u w:val="none"/>
                <w:lang w:eastAsia="de-DE"/>
              </w:rPr>
              <w:t>.</w:t>
            </w:r>
          </w:p>
          <w:p w:rsidR="00AD794C" w:rsidRPr="0040604D" w:rsidRDefault="00AD794C" w:rsidP="00ED6567">
            <w:pPr>
              <w:spacing w:before="0" w:after="0"/>
              <w:jc w:val="left"/>
              <w:rPr>
                <w:rStyle w:val="InstructionsTabelleberschrift"/>
                <w:rFonts w:ascii="Times New Roman" w:hAnsi="Times New Roman"/>
                <w:sz w:val="24"/>
                <w:lang w:eastAsia="de-DE"/>
              </w:rPr>
            </w:pPr>
          </w:p>
        </w:tc>
      </w:tr>
      <w:tr w:rsidR="007F6D97" w:rsidRPr="0040604D" w:rsidTr="0021066C">
        <w:trPr>
          <w:gridAfter w:val="1"/>
          <w:wAfter w:w="26" w:type="dxa"/>
          <w:trHeight w:val="1134"/>
        </w:trPr>
        <w:tc>
          <w:tcPr>
            <w:tcW w:w="828" w:type="dxa"/>
            <w:shd w:val="clear" w:color="auto" w:fill="auto"/>
            <w:vAlign w:val="center"/>
          </w:tcPr>
          <w:p w:rsidR="007F6D97" w:rsidRPr="009920BE" w:rsidRDefault="00AA5B2D" w:rsidP="009920BE">
            <w:pPr>
              <w:jc w:val="left"/>
              <w:rPr>
                <w:rFonts w:ascii="Times New Roman" w:hAnsi="Times New Roman"/>
                <w:sz w:val="24"/>
              </w:rPr>
            </w:pPr>
            <w:r>
              <w:rPr>
                <w:rFonts w:ascii="Times New Roman" w:hAnsi="Times New Roman"/>
                <w:sz w:val="24"/>
              </w:rPr>
              <w:t>1320</w:t>
            </w:r>
          </w:p>
        </w:tc>
        <w:tc>
          <w:tcPr>
            <w:tcW w:w="7740" w:type="dxa"/>
            <w:shd w:val="clear" w:color="auto" w:fill="auto"/>
            <w:noWrap/>
          </w:tcPr>
          <w:p w:rsidR="007F6D97" w:rsidRPr="004C4F3B" w:rsidRDefault="007F6D97" w:rsidP="004C4F3B">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3.3.</w:t>
            </w:r>
            <w:r>
              <w:rPr>
                <w:rStyle w:val="InstructionsTabelleberschrift"/>
                <w:rFonts w:ascii="Times New Roman" w:hAnsi="Times New Roman"/>
                <w:sz w:val="24"/>
                <w:lang w:eastAsia="de-DE"/>
              </w:rPr>
              <w:t>6</w:t>
            </w:r>
            <w:r w:rsidRPr="0040604D">
              <w:rPr>
                <w:rStyle w:val="InstructionsTabelleberschrift"/>
                <w:rFonts w:ascii="Times New Roman" w:hAnsi="Times New Roman"/>
                <w:sz w:val="24"/>
                <w:lang w:eastAsia="de-DE"/>
              </w:rPr>
              <w:t xml:space="preserve"> </w:t>
            </w:r>
            <w:r w:rsidRPr="004C4F3B">
              <w:rPr>
                <w:rStyle w:val="InstructionsTabelleberschrift"/>
                <w:rFonts w:ascii="Times New Roman" w:hAnsi="Times New Roman"/>
                <w:sz w:val="24"/>
                <w:lang w:eastAsia="de-DE"/>
              </w:rPr>
              <w:t>residential mortgage backed securities of credit quality step 1</w:t>
            </w:r>
          </w:p>
          <w:p w:rsidR="007F6D97" w:rsidRPr="0040604D" w:rsidRDefault="007F6D97" w:rsidP="007F6D97">
            <w:pPr>
              <w:spacing w:before="0" w:after="0"/>
              <w:jc w:val="left"/>
              <w:rPr>
                <w:rStyle w:val="InstructionsTabelleberschrift"/>
                <w:rFonts w:ascii="Times New Roman" w:hAnsi="Times New Roman"/>
                <w:sz w:val="24"/>
                <w:lang w:eastAsia="de-DE"/>
              </w:rPr>
            </w:pPr>
          </w:p>
          <w:p w:rsidR="007F6D97" w:rsidRPr="0040604D" w:rsidRDefault="007F6D97" w:rsidP="007F6D97">
            <w:pPr>
              <w:spacing w:before="0" w:after="0"/>
              <w:jc w:val="left"/>
              <w:rPr>
                <w:rStyle w:val="InstructionsTabelleberschrift"/>
                <w:rFonts w:ascii="Times New Roman" w:hAnsi="Times New Roman"/>
                <w:b w:val="0"/>
                <w:sz w:val="24"/>
                <w:u w:val="none"/>
                <w:lang w:eastAsia="de-DE"/>
              </w:rPr>
            </w:pPr>
            <w:r>
              <w:rPr>
                <w:rFonts w:ascii="Times New Roman" w:hAnsi="Times New Roman"/>
                <w:sz w:val="24"/>
              </w:rPr>
              <w:t>R</w:t>
            </w:r>
            <w:r w:rsidRPr="0040604D">
              <w:rPr>
                <w:rFonts w:ascii="Times New Roman" w:hAnsi="Times New Roman"/>
                <w:sz w:val="24"/>
              </w:rPr>
              <w:t xml:space="preserve">esidential mortgage backed securities rated </w:t>
            </w:r>
            <w:r>
              <w:rPr>
                <w:rFonts w:ascii="Times New Roman" w:hAnsi="Times New Roman"/>
                <w:sz w:val="24"/>
              </w:rPr>
              <w:t>at</w:t>
            </w:r>
            <w:r w:rsidRPr="0040604D">
              <w:rPr>
                <w:rFonts w:ascii="Times New Roman" w:hAnsi="Times New Roman"/>
                <w:sz w:val="24"/>
              </w:rPr>
              <w:t xml:space="preserve"> credit quality step 1</w:t>
            </w:r>
            <w:r>
              <w:rPr>
                <w:rFonts w:ascii="Times New Roman" w:hAnsi="Times New Roman"/>
                <w:sz w:val="24"/>
              </w:rPr>
              <w:t xml:space="preserve"> under Chapter 2, Title II of Part Three of Regulation (EU) No 575/2013</w:t>
            </w:r>
            <w:r w:rsidR="00DC6350">
              <w:rPr>
                <w:rFonts w:ascii="Times New Roman" w:hAnsi="Times New Roman"/>
                <w:sz w:val="24"/>
              </w:rPr>
              <w:t>.</w:t>
            </w:r>
          </w:p>
          <w:p w:rsidR="007F6D97" w:rsidRPr="0040604D" w:rsidRDefault="007F6D97" w:rsidP="008B32E0">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1330</w:t>
            </w:r>
          </w:p>
        </w:tc>
        <w:tc>
          <w:tcPr>
            <w:tcW w:w="7740" w:type="dxa"/>
            <w:shd w:val="clear" w:color="auto" w:fill="auto"/>
            <w:noWrap/>
          </w:tcPr>
          <w:p w:rsidR="00AD794C" w:rsidRPr="0040604D" w:rsidRDefault="00AD794C" w:rsidP="00ED6567">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3.3.</w:t>
            </w:r>
            <w:r w:rsidR="007F6D97">
              <w:rPr>
                <w:rStyle w:val="InstructionsTabelleberschrift"/>
                <w:rFonts w:ascii="Times New Roman" w:hAnsi="Times New Roman"/>
                <w:sz w:val="24"/>
                <w:lang w:eastAsia="de-DE"/>
              </w:rPr>
              <w:t>7</w:t>
            </w:r>
            <w:r w:rsidR="003E309A">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 xml:space="preserve">other </w:t>
            </w:r>
            <w:r w:rsidR="00D45CFC">
              <w:rPr>
                <w:rStyle w:val="InstructionsTabelleberschrift"/>
                <w:rFonts w:ascii="Times New Roman" w:hAnsi="Times New Roman"/>
                <w:sz w:val="24"/>
                <w:lang w:eastAsia="de-DE"/>
              </w:rPr>
              <w:t>central bank</w:t>
            </w:r>
            <w:r w:rsidRPr="0040604D">
              <w:rPr>
                <w:rStyle w:val="InstructionsTabelleberschrift"/>
                <w:rFonts w:ascii="Times New Roman" w:hAnsi="Times New Roman"/>
                <w:sz w:val="24"/>
                <w:lang w:eastAsia="de-DE"/>
              </w:rPr>
              <w:t xml:space="preserve"> eligible assets (including credit claims)</w:t>
            </w:r>
          </w:p>
          <w:p w:rsidR="00AD794C" w:rsidRPr="0040604D" w:rsidRDefault="00AD794C" w:rsidP="00ED6567">
            <w:pPr>
              <w:spacing w:before="0" w:after="0"/>
              <w:jc w:val="left"/>
              <w:rPr>
                <w:rStyle w:val="InstructionsTabelleberschrift"/>
                <w:rFonts w:ascii="Times New Roman" w:hAnsi="Times New Roman"/>
                <w:sz w:val="24"/>
                <w:lang w:eastAsia="de-DE"/>
              </w:rPr>
            </w:pPr>
          </w:p>
          <w:p w:rsidR="00AD794C" w:rsidRPr="0040604D" w:rsidRDefault="00743492" w:rsidP="00E263EA">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3.3,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136550">
              <w:rPr>
                <w:rStyle w:val="InstructionsTabelleberschrift"/>
                <w:rFonts w:ascii="Times New Roman" w:hAnsi="Times New Roman"/>
                <w:b w:val="0"/>
                <w:sz w:val="24"/>
                <w:u w:val="none"/>
                <w:lang w:eastAsia="de-DE"/>
              </w:rPr>
              <w:t>is</w:t>
            </w:r>
            <w:r w:rsidR="00136550"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other central bank eligible assets not reported in item 3.3</w:t>
            </w:r>
            <w:r w:rsidR="00136550">
              <w:rPr>
                <w:rStyle w:val="InstructionsTabelleberschrift"/>
                <w:rFonts w:ascii="Times New Roman" w:hAnsi="Times New Roman"/>
                <w:b w:val="0"/>
                <w:sz w:val="24"/>
                <w:u w:val="none"/>
                <w:lang w:eastAsia="de-DE"/>
              </w:rPr>
              <w:t>.</w:t>
            </w:r>
            <w:r w:rsidR="00AD794C" w:rsidRPr="0040604D">
              <w:rPr>
                <w:rStyle w:val="InstructionsTabelleberschrift"/>
                <w:rFonts w:ascii="Times New Roman" w:hAnsi="Times New Roman"/>
                <w:b w:val="0"/>
                <w:sz w:val="24"/>
                <w:u w:val="none"/>
                <w:lang w:eastAsia="de-DE"/>
              </w:rPr>
              <w:t>1-3.3.</w:t>
            </w:r>
            <w:r w:rsidR="00136550">
              <w:rPr>
                <w:rStyle w:val="InstructionsTabelleberschrift"/>
                <w:rFonts w:ascii="Times New Roman" w:hAnsi="Times New Roman"/>
                <w:b w:val="0"/>
                <w:sz w:val="24"/>
                <w:u w:val="none"/>
                <w:lang w:eastAsia="de-DE"/>
              </w:rPr>
              <w:t>5</w:t>
            </w:r>
            <w:r w:rsidR="00AD794C" w:rsidRPr="0040604D">
              <w:rPr>
                <w:rStyle w:val="InstructionsTabelleberschrift"/>
                <w:rFonts w:ascii="Times New Roman" w:hAnsi="Times New Roman"/>
                <w:b w:val="0"/>
                <w:sz w:val="24"/>
                <w:u w:val="none"/>
                <w:lang w:eastAsia="de-DE"/>
              </w:rPr>
              <w:t>.</w:t>
            </w:r>
          </w:p>
          <w:p w:rsidR="00AD794C" w:rsidRPr="0040604D" w:rsidRDefault="00AD794C" w:rsidP="00E263EA">
            <w:pPr>
              <w:spacing w:before="0" w:after="0"/>
              <w:jc w:val="left"/>
              <w:rPr>
                <w:rStyle w:val="InstructionsTabelleberschrift"/>
                <w:rFonts w:ascii="Times New Roman" w:hAnsi="Times New Roman"/>
                <w:b w:val="0"/>
                <w:sz w:val="24"/>
                <w:u w:val="none"/>
                <w:lang w:eastAsia="de-DE"/>
              </w:rPr>
            </w:pPr>
          </w:p>
          <w:p w:rsidR="00AD794C" w:rsidRPr="0040604D" w:rsidRDefault="00AD794C" w:rsidP="00E263EA">
            <w:pPr>
              <w:spacing w:before="0" w:after="0"/>
              <w:jc w:val="left"/>
              <w:rPr>
                <w:rStyle w:val="InstructionsTabelleberschrift"/>
                <w:rFonts w:ascii="Times New Roman" w:hAnsi="Times New Roman"/>
                <w:b w:val="0"/>
                <w:sz w:val="24"/>
                <w:u w:val="none"/>
              </w:rPr>
            </w:pP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lastRenderedPageBreak/>
              <w:t>1340</w:t>
            </w:r>
          </w:p>
        </w:tc>
        <w:tc>
          <w:tcPr>
            <w:tcW w:w="7740" w:type="dxa"/>
            <w:shd w:val="clear" w:color="auto" w:fill="auto"/>
            <w:noWrap/>
          </w:tcPr>
          <w:p w:rsidR="00AD794C" w:rsidRPr="0040604D" w:rsidRDefault="00AD794C" w:rsidP="00ED6567">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w:t>
            </w:r>
            <w:r w:rsidR="008B208E">
              <w:rPr>
                <w:rStyle w:val="InstructionsTabelleberschrift"/>
                <w:rFonts w:ascii="Times New Roman" w:hAnsi="Times New Roman"/>
                <w:sz w:val="24"/>
                <w:lang w:eastAsia="de-DE"/>
              </w:rPr>
              <w:t>4</w:t>
            </w:r>
            <w:r w:rsidRPr="0040604D">
              <w:rPr>
                <w:rStyle w:val="InstructionsTabelleberschrift"/>
                <w:rFonts w:ascii="Times New Roman" w:hAnsi="Times New Roman"/>
                <w:sz w:val="24"/>
                <w:lang w:eastAsia="de-DE"/>
              </w:rPr>
              <w:t xml:space="preserve"> </w:t>
            </w:r>
            <w:r w:rsidR="004A7225">
              <w:rPr>
                <w:rStyle w:val="InstructionsTabelleberschrift"/>
                <w:rFonts w:ascii="Times New Roman" w:hAnsi="Times New Roman"/>
                <w:sz w:val="24"/>
                <w:lang w:eastAsia="de-DE"/>
              </w:rPr>
              <w:t>Other u</w:t>
            </w:r>
            <w:r w:rsidRPr="0040604D">
              <w:rPr>
                <w:rStyle w:val="InstructionsTabelleberschrift"/>
                <w:rFonts w:ascii="Times New Roman" w:hAnsi="Times New Roman"/>
                <w:sz w:val="24"/>
                <w:lang w:eastAsia="de-DE"/>
              </w:rPr>
              <w:t xml:space="preserve">nencumbered non central bank eligible, </w:t>
            </w:r>
            <w:r w:rsidR="002B1FDF" w:rsidRPr="008A1DB9">
              <w:rPr>
                <w:rStyle w:val="InstructionsTabelleberschrift"/>
                <w:rFonts w:ascii="Times New Roman" w:hAnsi="Times New Roman"/>
                <w:sz w:val="24"/>
                <w:lang w:eastAsia="de-DE"/>
              </w:rPr>
              <w:t>tradable</w:t>
            </w:r>
            <w:r w:rsidRPr="0040604D">
              <w:rPr>
                <w:rStyle w:val="InstructionsTabelleberschrift"/>
                <w:rFonts w:ascii="Times New Roman" w:hAnsi="Times New Roman"/>
                <w:sz w:val="24"/>
                <w:lang w:eastAsia="de-DE"/>
              </w:rPr>
              <w:t xml:space="preserve"> assets</w:t>
            </w:r>
          </w:p>
          <w:p w:rsidR="00AD794C" w:rsidRPr="0040604D" w:rsidRDefault="00AD794C" w:rsidP="00ED6567">
            <w:pPr>
              <w:spacing w:before="0" w:after="0"/>
              <w:jc w:val="left"/>
              <w:rPr>
                <w:rStyle w:val="InstructionsTabelleberschrift"/>
                <w:rFonts w:ascii="Times New Roman" w:hAnsi="Times New Roman"/>
                <w:sz w:val="24"/>
                <w:lang w:eastAsia="de-DE"/>
              </w:rPr>
            </w:pPr>
          </w:p>
          <w:p w:rsidR="00AD794C" w:rsidRPr="0040604D" w:rsidRDefault="00AD794C" w:rsidP="00967FEB">
            <w:pPr>
              <w:spacing w:before="0" w:after="0"/>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b w:val="0"/>
                <w:sz w:val="24"/>
                <w:u w:val="none"/>
                <w:lang w:eastAsia="de-DE"/>
              </w:rPr>
              <w:t>Total market value of unencumbered non central bank eligible, tradable assets.</w:t>
            </w:r>
          </w:p>
          <w:p w:rsidR="00AD794C" w:rsidRPr="002C1513" w:rsidRDefault="00AD794C" w:rsidP="00967FEB">
            <w:pPr>
              <w:spacing w:before="0" w:after="0"/>
              <w:rPr>
                <w:rStyle w:val="InstructionsTabelleberschrift"/>
                <w:rFonts w:ascii="Times New Roman" w:hAnsi="Times New Roman"/>
                <w:b w:val="0"/>
                <w:sz w:val="24"/>
                <w:u w:val="none"/>
                <w:lang w:eastAsia="de-DE"/>
              </w:rPr>
            </w:pPr>
          </w:p>
          <w:p w:rsidR="00A12578" w:rsidRDefault="00A13BBC" w:rsidP="008A1DB9">
            <w:pPr>
              <w:spacing w:before="0" w:after="0"/>
              <w:rPr>
                <w:rStyle w:val="InstructionsTabelleberschrift"/>
                <w:rFonts w:ascii="Times New Roman" w:hAnsi="Times New Roman"/>
                <w:b w:val="0"/>
                <w:sz w:val="24"/>
                <w:u w:val="none"/>
                <w:lang w:eastAsia="de-DE"/>
              </w:rPr>
            </w:pPr>
            <w:r w:rsidRPr="009920BE">
              <w:rPr>
                <w:rStyle w:val="InstructionsTabelleberschrift"/>
                <w:rFonts w:ascii="Times New Roman" w:hAnsi="Times New Roman"/>
                <w:b w:val="0"/>
                <w:sz w:val="24"/>
                <w:u w:val="none"/>
                <w:lang w:eastAsia="de-DE"/>
              </w:rPr>
              <w:t>For central bank eligible assets, only those assets shall be included which are proven to be eligible collateral for standard liquidity operations of a central bank in a Member State or third country including credit claims, if applicable.</w:t>
            </w:r>
          </w:p>
          <w:p w:rsidR="002C1513" w:rsidRPr="009920BE" w:rsidRDefault="002C1513" w:rsidP="008A1DB9">
            <w:pPr>
              <w:spacing w:before="0" w:after="0"/>
              <w:rPr>
                <w:rStyle w:val="InstructionsTabelleberschrift"/>
                <w:rFonts w:ascii="Times New Roman" w:hAnsi="Times New Roman"/>
                <w:b w:val="0"/>
                <w:sz w:val="24"/>
                <w:u w:val="none"/>
                <w:lang w:eastAsia="de-DE"/>
              </w:rPr>
            </w:pPr>
          </w:p>
          <w:p w:rsidR="001A5E1F" w:rsidRPr="002C1513" w:rsidRDefault="00D45CFC" w:rsidP="00967FEB">
            <w:pPr>
              <w:spacing w:before="0" w:after="0"/>
              <w:rPr>
                <w:rStyle w:val="InstructionsTabelleberschrift"/>
                <w:rFonts w:ascii="Times New Roman" w:hAnsi="Times New Roman"/>
                <w:b w:val="0"/>
                <w:sz w:val="24"/>
                <w:u w:val="none"/>
                <w:lang w:eastAsia="de-DE"/>
              </w:rPr>
            </w:pPr>
            <w:r w:rsidRPr="009920BE">
              <w:rPr>
                <w:rStyle w:val="InstructionsTabelleberschrift"/>
                <w:rFonts w:ascii="Times New Roman" w:hAnsi="Times New Roman"/>
                <w:sz w:val="24"/>
                <w:u w:val="none"/>
                <w:lang w:eastAsia="de-DE"/>
              </w:rPr>
              <w:t>For assets denominated in a currency included in the ITS issued under Article 416 (5) Regulation 575/2013 as a currency with extremely narrow central bank eligibility, institutions shall report the relevant assets as central bank eligible.</w:t>
            </w:r>
          </w:p>
          <w:p w:rsidR="001A5E1F" w:rsidRPr="0040604D" w:rsidRDefault="001A5E1F" w:rsidP="00CD413A">
            <w:pPr>
              <w:spacing w:before="0" w:after="0"/>
              <w:rPr>
                <w:rStyle w:val="InstructionsTabelleberschrift"/>
                <w:rFonts w:ascii="Times New Roman" w:hAnsi="Times New Roman"/>
                <w:sz w:val="24"/>
                <w:lang w:eastAsia="de-DE"/>
              </w:rPr>
            </w:pP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1350</w:t>
            </w:r>
          </w:p>
        </w:tc>
        <w:tc>
          <w:tcPr>
            <w:tcW w:w="7740" w:type="dxa"/>
            <w:shd w:val="clear" w:color="auto" w:fill="auto"/>
            <w:noWrap/>
          </w:tcPr>
          <w:p w:rsidR="00AD794C" w:rsidRPr="0040604D" w:rsidRDefault="00AD794C" w:rsidP="00ED6567">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w:t>
            </w:r>
            <w:r w:rsidR="008B208E">
              <w:rPr>
                <w:rStyle w:val="InstructionsTabelleberschrift"/>
                <w:rFonts w:ascii="Times New Roman" w:hAnsi="Times New Roman"/>
                <w:sz w:val="24"/>
                <w:lang w:eastAsia="de-DE"/>
              </w:rPr>
              <w:t>4</w:t>
            </w:r>
            <w:r w:rsidRPr="0040604D">
              <w:rPr>
                <w:rStyle w:val="InstructionsTabelleberschrift"/>
                <w:rFonts w:ascii="Times New Roman" w:hAnsi="Times New Roman"/>
                <w:sz w:val="24"/>
                <w:lang w:eastAsia="de-DE"/>
              </w:rPr>
              <w:t>.1</w:t>
            </w:r>
            <w:r w:rsidR="003E309A">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equities listed on a recognised exchange, not self issued or issued by financial institutions</w:t>
            </w:r>
          </w:p>
          <w:p w:rsidR="00B27E9A" w:rsidRDefault="00B27E9A" w:rsidP="00ED6567">
            <w:pPr>
              <w:spacing w:before="0" w:after="0"/>
              <w:jc w:val="left"/>
              <w:rPr>
                <w:rStyle w:val="InstructionsTabelleberschrift"/>
                <w:rFonts w:ascii="Times New Roman" w:hAnsi="Times New Roman"/>
                <w:b w:val="0"/>
                <w:sz w:val="24"/>
                <w:highlight w:val="yellow"/>
                <w:u w:val="none"/>
                <w:lang w:eastAsia="de-DE"/>
              </w:rPr>
            </w:pPr>
          </w:p>
          <w:p w:rsidR="00AD794C" w:rsidRPr="0040604D" w:rsidRDefault="00B27E9A" w:rsidP="00ED6567">
            <w:pPr>
              <w:spacing w:before="0" w:after="0"/>
              <w:jc w:val="left"/>
              <w:rPr>
                <w:rStyle w:val="InstructionsTabelleberschrift"/>
                <w:rFonts w:ascii="Times New Roman" w:hAnsi="Times New Roman"/>
                <w:sz w:val="24"/>
                <w:lang w:eastAsia="de-DE"/>
              </w:rPr>
            </w:pPr>
            <w:r w:rsidRPr="00B27E9A">
              <w:rPr>
                <w:rStyle w:val="InstructionsTabelleberschrift"/>
                <w:rFonts w:ascii="Times New Roman" w:hAnsi="Times New Roman"/>
                <w:b w:val="0"/>
                <w:sz w:val="24"/>
                <w:u w:val="none"/>
                <w:lang w:eastAsia="de-DE"/>
              </w:rPr>
              <w:t xml:space="preserve">Point 11 of Annex III </w:t>
            </w:r>
            <w:r w:rsidRPr="0040604D">
              <w:rPr>
                <w:rStyle w:val="InstructionsTabelleberschrift"/>
                <w:rFonts w:ascii="Times New Roman" w:hAnsi="Times New Roman"/>
                <w:b w:val="0"/>
                <w:sz w:val="24"/>
                <w:u w:val="none"/>
                <w:lang w:eastAsia="de-DE"/>
              </w:rPr>
              <w:t xml:space="preserve">of </w:t>
            </w:r>
            <w:r w:rsidRPr="0040604D">
              <w:rPr>
                <w:rFonts w:ascii="Times New Roman" w:hAnsi="Times New Roman"/>
                <w:sz w:val="24"/>
                <w:lang w:eastAsia="en-GB"/>
              </w:rPr>
              <w:t xml:space="preserve">Regulation </w:t>
            </w:r>
            <w:r>
              <w:rPr>
                <w:rFonts w:ascii="Times New Roman" w:hAnsi="Times New Roman"/>
                <w:sz w:val="24"/>
                <w:lang w:eastAsia="en-GB"/>
              </w:rPr>
              <w:t>575/2013</w:t>
            </w:r>
            <w:r w:rsidR="002C1513">
              <w:rPr>
                <w:rFonts w:ascii="Times New Roman" w:hAnsi="Times New Roman"/>
                <w:sz w:val="24"/>
                <w:lang w:eastAsia="en-GB"/>
              </w:rPr>
              <w:t>.</w:t>
            </w:r>
          </w:p>
          <w:p w:rsidR="00B27E9A" w:rsidRDefault="00B27E9A" w:rsidP="00ED6567">
            <w:pPr>
              <w:spacing w:before="0" w:after="0"/>
              <w:jc w:val="left"/>
              <w:rPr>
                <w:rStyle w:val="InstructionsTabelleberschrift"/>
                <w:rFonts w:ascii="Times New Roman" w:hAnsi="Times New Roman"/>
                <w:b w:val="0"/>
                <w:sz w:val="24"/>
                <w:u w:val="none"/>
              </w:rPr>
            </w:pPr>
          </w:p>
          <w:p w:rsidR="00AD794C" w:rsidRPr="0040604D" w:rsidRDefault="00743492" w:rsidP="00ED6567">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amount reported in item 3.</w:t>
            </w:r>
            <w:r w:rsidR="008B208E">
              <w:rPr>
                <w:rStyle w:val="InstructionsTabelleberschrift"/>
                <w:rFonts w:ascii="Times New Roman" w:hAnsi="Times New Roman"/>
                <w:b w:val="0"/>
                <w:sz w:val="24"/>
                <w:u w:val="none"/>
                <w:lang w:eastAsia="de-DE"/>
              </w:rPr>
              <w:t>4</w:t>
            </w:r>
            <w:r w:rsidR="00AD794C" w:rsidRPr="0040604D">
              <w:rPr>
                <w:rStyle w:val="InstructionsTabelleberschrift"/>
                <w:rFonts w:ascii="Times New Roman" w:hAnsi="Times New Roman"/>
                <w:b w:val="0"/>
                <w:sz w:val="24"/>
                <w:u w:val="none"/>
                <w:lang w:eastAsia="de-DE"/>
              </w:rPr>
              <w:t xml:space="preserve"> above,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A95302">
              <w:rPr>
                <w:rStyle w:val="InstructionsTabelleberschrift"/>
                <w:rFonts w:ascii="Times New Roman" w:hAnsi="Times New Roman"/>
                <w:b w:val="0"/>
                <w:sz w:val="24"/>
                <w:u w:val="none"/>
                <w:lang w:eastAsia="de-DE"/>
              </w:rPr>
              <w:t>is</w:t>
            </w:r>
            <w:r w:rsidR="00A95302"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equities listed on a recognised exchange</w:t>
            </w:r>
            <w:r w:rsidR="002C1513">
              <w:rPr>
                <w:rStyle w:val="InstructionsTabelleberschrift"/>
                <w:rFonts w:ascii="Times New Roman" w:hAnsi="Times New Roman"/>
                <w:b w:val="0"/>
                <w:sz w:val="24"/>
                <w:u w:val="none"/>
                <w:lang w:eastAsia="de-DE"/>
              </w:rPr>
              <w:t>.</w:t>
            </w:r>
          </w:p>
          <w:p w:rsidR="00AD794C" w:rsidRPr="0040604D" w:rsidRDefault="00AD794C" w:rsidP="00ED6567">
            <w:pPr>
              <w:spacing w:before="0" w:after="0"/>
              <w:jc w:val="left"/>
              <w:rPr>
                <w:rStyle w:val="InstructionsTabelleberschrift"/>
                <w:rFonts w:ascii="Times New Roman" w:hAnsi="Times New Roman"/>
                <w:sz w:val="24"/>
                <w:lang w:eastAsia="de-DE"/>
              </w:rPr>
            </w:pP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1360</w:t>
            </w:r>
          </w:p>
        </w:tc>
        <w:tc>
          <w:tcPr>
            <w:tcW w:w="7740" w:type="dxa"/>
            <w:shd w:val="clear" w:color="auto" w:fill="auto"/>
            <w:noWrap/>
          </w:tcPr>
          <w:p w:rsidR="00AD794C" w:rsidRPr="0040604D" w:rsidRDefault="00AD794C" w:rsidP="0048225A">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w:t>
            </w:r>
            <w:r w:rsidR="008B208E">
              <w:rPr>
                <w:rStyle w:val="InstructionsTabelleberschrift"/>
                <w:rFonts w:ascii="Times New Roman" w:hAnsi="Times New Roman"/>
                <w:sz w:val="24"/>
                <w:lang w:eastAsia="de-DE"/>
              </w:rPr>
              <w:t>4</w:t>
            </w:r>
            <w:r w:rsidRPr="0040604D">
              <w:rPr>
                <w:rStyle w:val="InstructionsTabelleberschrift"/>
                <w:rFonts w:ascii="Times New Roman" w:hAnsi="Times New Roman"/>
                <w:sz w:val="24"/>
                <w:lang w:eastAsia="de-DE"/>
              </w:rPr>
              <w:t>.2</w:t>
            </w:r>
            <w:r w:rsidR="003E309A">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 xml:space="preserve"> gold</w:t>
            </w:r>
          </w:p>
          <w:p w:rsidR="00AD794C" w:rsidRPr="0040604D" w:rsidRDefault="00AD794C" w:rsidP="00ED6567">
            <w:pPr>
              <w:spacing w:before="0" w:after="0"/>
              <w:jc w:val="left"/>
              <w:rPr>
                <w:rStyle w:val="InstructionsTabelleberschrift"/>
                <w:rFonts w:ascii="Times New Roman" w:hAnsi="Times New Roman"/>
                <w:sz w:val="24"/>
                <w:lang w:eastAsia="de-DE"/>
              </w:rPr>
            </w:pPr>
          </w:p>
          <w:p w:rsidR="00B27E9A" w:rsidRPr="0040604D" w:rsidRDefault="00B27E9A" w:rsidP="00B27E9A">
            <w:pPr>
              <w:spacing w:before="0" w:after="0"/>
              <w:jc w:val="left"/>
              <w:rPr>
                <w:rStyle w:val="InstructionsTabelleberschrift"/>
                <w:rFonts w:ascii="Times New Roman" w:hAnsi="Times New Roman"/>
                <w:sz w:val="24"/>
                <w:lang w:eastAsia="de-DE"/>
              </w:rPr>
            </w:pPr>
            <w:r w:rsidRPr="00B27E9A">
              <w:rPr>
                <w:rStyle w:val="InstructionsTabelleberschrift"/>
                <w:rFonts w:ascii="Times New Roman" w:hAnsi="Times New Roman"/>
                <w:b w:val="0"/>
                <w:sz w:val="24"/>
                <w:u w:val="none"/>
                <w:lang w:eastAsia="de-DE"/>
              </w:rPr>
              <w:t xml:space="preserve">Point </w:t>
            </w:r>
            <w:r>
              <w:rPr>
                <w:rStyle w:val="InstructionsTabelleberschrift"/>
                <w:rFonts w:ascii="Times New Roman" w:hAnsi="Times New Roman"/>
                <w:b w:val="0"/>
                <w:sz w:val="24"/>
                <w:u w:val="none"/>
                <w:lang w:eastAsia="de-DE"/>
              </w:rPr>
              <w:t>12</w:t>
            </w:r>
            <w:r w:rsidRPr="00B27E9A">
              <w:rPr>
                <w:rStyle w:val="InstructionsTabelleberschrift"/>
                <w:rFonts w:ascii="Times New Roman" w:hAnsi="Times New Roman"/>
                <w:b w:val="0"/>
                <w:sz w:val="24"/>
                <w:u w:val="none"/>
                <w:lang w:eastAsia="de-DE"/>
              </w:rPr>
              <w:t xml:space="preserve"> of Annex III </w:t>
            </w:r>
            <w:r w:rsidRPr="0040604D">
              <w:rPr>
                <w:rStyle w:val="InstructionsTabelleberschrift"/>
                <w:rFonts w:ascii="Times New Roman" w:hAnsi="Times New Roman"/>
                <w:b w:val="0"/>
                <w:sz w:val="24"/>
                <w:u w:val="none"/>
                <w:lang w:eastAsia="de-DE"/>
              </w:rPr>
              <w:t xml:space="preserve">of </w:t>
            </w:r>
            <w:r w:rsidRPr="0040604D">
              <w:rPr>
                <w:rFonts w:ascii="Times New Roman" w:hAnsi="Times New Roman"/>
                <w:sz w:val="24"/>
                <w:lang w:eastAsia="en-GB"/>
              </w:rPr>
              <w:t xml:space="preserve">Regulation </w:t>
            </w:r>
            <w:r>
              <w:rPr>
                <w:rFonts w:ascii="Times New Roman" w:hAnsi="Times New Roman"/>
                <w:sz w:val="24"/>
                <w:lang w:eastAsia="en-GB"/>
              </w:rPr>
              <w:t>575/2013</w:t>
            </w:r>
            <w:r w:rsidR="002C1513">
              <w:rPr>
                <w:rFonts w:ascii="Times New Roman" w:hAnsi="Times New Roman"/>
                <w:sz w:val="24"/>
                <w:lang w:eastAsia="en-GB"/>
              </w:rPr>
              <w:t>.</w:t>
            </w:r>
          </w:p>
          <w:p w:rsidR="00B27E9A" w:rsidRDefault="00B27E9A" w:rsidP="005830CB">
            <w:pPr>
              <w:spacing w:before="0" w:after="0"/>
              <w:jc w:val="left"/>
              <w:rPr>
                <w:rStyle w:val="InstructionsTabelleberschrift"/>
                <w:rFonts w:ascii="Times New Roman" w:hAnsi="Times New Roman"/>
                <w:b w:val="0"/>
                <w:sz w:val="24"/>
                <w:u w:val="none"/>
              </w:rPr>
            </w:pPr>
          </w:p>
          <w:p w:rsidR="00AD794C" w:rsidRPr="0040604D" w:rsidRDefault="00743492" w:rsidP="005830CB">
            <w:pPr>
              <w:spacing w:before="0" w:after="0"/>
              <w:jc w:val="left"/>
              <w:rPr>
                <w:rStyle w:val="InstructionsTabelleberschrift"/>
                <w:rFonts w:ascii="Times New Roman" w:hAnsi="Times New Roman"/>
                <w:sz w:val="24"/>
                <w:lang w:eastAsia="de-DE"/>
              </w:rPr>
            </w:pPr>
            <w:r>
              <w:rPr>
                <w:rStyle w:val="InstructionsTabelleberschrift"/>
                <w:rFonts w:ascii="Times New Roman" w:hAnsi="Times New Roman"/>
                <w:b w:val="0"/>
                <w:sz w:val="24"/>
                <w:u w:val="none"/>
                <w:lang w:eastAsia="de-DE"/>
              </w:rPr>
              <w:t>The</w:t>
            </w:r>
            <w:r w:rsidR="00AD794C" w:rsidRPr="0040604D">
              <w:rPr>
                <w:rStyle w:val="InstructionsTabelleberschrift"/>
                <w:rFonts w:ascii="Times New Roman" w:hAnsi="Times New Roman"/>
                <w:b w:val="0"/>
                <w:sz w:val="24"/>
                <w:u w:val="none"/>
                <w:lang w:eastAsia="de-DE"/>
              </w:rPr>
              <w:t xml:space="preserve"> reported in item 3.</w:t>
            </w:r>
            <w:r w:rsidR="008B208E">
              <w:rPr>
                <w:rStyle w:val="InstructionsTabelleberschrift"/>
                <w:rFonts w:ascii="Times New Roman" w:hAnsi="Times New Roman"/>
                <w:b w:val="0"/>
                <w:sz w:val="24"/>
                <w:u w:val="none"/>
                <w:lang w:eastAsia="de-DE"/>
              </w:rPr>
              <w:t>4</w:t>
            </w:r>
            <w:r w:rsidR="00AD794C" w:rsidRPr="0040604D">
              <w:rPr>
                <w:rStyle w:val="InstructionsTabelleberschrift"/>
                <w:rFonts w:ascii="Times New Roman" w:hAnsi="Times New Roman"/>
                <w:b w:val="0"/>
                <w:sz w:val="24"/>
                <w:u w:val="none"/>
                <w:lang w:eastAsia="de-DE"/>
              </w:rPr>
              <w:t xml:space="preserve"> above, </w:t>
            </w:r>
            <w:r>
              <w:rPr>
                <w:rStyle w:val="InstructionsTabelleberschrift"/>
                <w:rFonts w:ascii="Times New Roman" w:hAnsi="Times New Roman"/>
                <w:b w:val="0"/>
                <w:sz w:val="24"/>
                <w:u w:val="none"/>
                <w:lang w:eastAsia="de-DE"/>
              </w:rPr>
              <w:t>which</w:t>
            </w:r>
            <w:r w:rsidR="00AD794C" w:rsidRPr="0040604D">
              <w:rPr>
                <w:rStyle w:val="InstructionsTabelleberschrift"/>
                <w:rFonts w:ascii="Times New Roman" w:hAnsi="Times New Roman"/>
                <w:b w:val="0"/>
                <w:sz w:val="24"/>
                <w:u w:val="none"/>
                <w:lang w:eastAsia="de-DE"/>
              </w:rPr>
              <w:t xml:space="preserve"> </w:t>
            </w:r>
            <w:r w:rsidR="005830CB">
              <w:rPr>
                <w:rStyle w:val="InstructionsTabelleberschrift"/>
                <w:rFonts w:ascii="Times New Roman" w:hAnsi="Times New Roman"/>
                <w:b w:val="0"/>
                <w:sz w:val="24"/>
                <w:u w:val="none"/>
                <w:lang w:eastAsia="de-DE"/>
              </w:rPr>
              <w:t>is</w:t>
            </w:r>
            <w:r w:rsidR="005830CB"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gold.</w:t>
            </w: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1370</w:t>
            </w:r>
          </w:p>
        </w:tc>
        <w:tc>
          <w:tcPr>
            <w:tcW w:w="7740" w:type="dxa"/>
            <w:shd w:val="clear" w:color="auto" w:fill="auto"/>
            <w:noWrap/>
          </w:tcPr>
          <w:p w:rsidR="00AD794C" w:rsidRPr="0040604D" w:rsidRDefault="00AD794C" w:rsidP="00ED6567">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w:t>
            </w:r>
            <w:r w:rsidR="008B208E">
              <w:rPr>
                <w:rStyle w:val="InstructionsTabelleberschrift"/>
                <w:rFonts w:ascii="Times New Roman" w:hAnsi="Times New Roman"/>
                <w:sz w:val="24"/>
                <w:lang w:eastAsia="de-DE"/>
              </w:rPr>
              <w:t>5</w:t>
            </w:r>
            <w:r w:rsidRPr="0040604D">
              <w:rPr>
                <w:rStyle w:val="InstructionsTabelleberschrift"/>
                <w:rFonts w:ascii="Times New Roman" w:hAnsi="Times New Roman"/>
                <w:sz w:val="24"/>
                <w:lang w:eastAsia="de-DE"/>
              </w:rPr>
              <w:t xml:space="preserve"> Undrawn committed </w:t>
            </w:r>
            <w:r w:rsidR="007B2BBD">
              <w:rPr>
                <w:rStyle w:val="InstructionsTabelleberschrift"/>
                <w:rFonts w:ascii="Times New Roman" w:hAnsi="Times New Roman"/>
                <w:sz w:val="24"/>
                <w:lang w:eastAsia="de-DE"/>
              </w:rPr>
              <w:t>credit</w:t>
            </w:r>
            <w:r w:rsidR="007B2BBD" w:rsidRPr="0040604D">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lines granted to the reporting institution</w:t>
            </w:r>
          </w:p>
          <w:p w:rsidR="00AD794C" w:rsidRPr="0040604D" w:rsidRDefault="00AD794C" w:rsidP="00ED6567">
            <w:pPr>
              <w:spacing w:before="0" w:after="0"/>
              <w:jc w:val="left"/>
              <w:rPr>
                <w:rStyle w:val="InstructionsTabelleberschrift"/>
                <w:rFonts w:ascii="Times New Roman" w:hAnsi="Times New Roman"/>
                <w:sz w:val="24"/>
                <w:lang w:eastAsia="de-DE"/>
              </w:rPr>
            </w:pPr>
          </w:p>
          <w:p w:rsidR="00AD794C" w:rsidRPr="0040604D" w:rsidRDefault="00AD794C" w:rsidP="00ED6567">
            <w:pPr>
              <w:spacing w:before="0" w:after="0"/>
              <w:jc w:val="left"/>
              <w:rPr>
                <w:rStyle w:val="InstructionsTabelleberschrift"/>
                <w:rFonts w:ascii="Times New Roman" w:hAnsi="Times New Roman"/>
                <w:b w:val="0"/>
                <w:sz w:val="24"/>
                <w:u w:val="none"/>
                <w:lang w:eastAsia="de-DE"/>
              </w:rPr>
            </w:pPr>
            <w:r w:rsidRPr="0040604D">
              <w:rPr>
                <w:rStyle w:val="InstructionsTabelleberschrift"/>
                <w:rFonts w:ascii="Times New Roman" w:hAnsi="Times New Roman"/>
                <w:b w:val="0"/>
                <w:sz w:val="24"/>
                <w:u w:val="none"/>
                <w:lang w:eastAsia="de-DE"/>
              </w:rPr>
              <w:t xml:space="preserve">Total amount of undrawn committed </w:t>
            </w:r>
            <w:r w:rsidR="000F740F">
              <w:rPr>
                <w:rStyle w:val="InstructionsTabelleberschrift"/>
                <w:rFonts w:ascii="Times New Roman" w:hAnsi="Times New Roman"/>
                <w:b w:val="0"/>
                <w:sz w:val="24"/>
                <w:u w:val="none"/>
                <w:lang w:eastAsia="de-DE"/>
              </w:rPr>
              <w:t>credit</w:t>
            </w:r>
            <w:r w:rsidR="000F740F" w:rsidRPr="0040604D">
              <w:rPr>
                <w:rStyle w:val="InstructionsTabelleberschrift"/>
                <w:rFonts w:ascii="Times New Roman" w:hAnsi="Times New Roman"/>
                <w:b w:val="0"/>
                <w:sz w:val="24"/>
                <w:u w:val="none"/>
                <w:lang w:eastAsia="de-DE"/>
              </w:rPr>
              <w:t xml:space="preserve"> </w:t>
            </w:r>
            <w:r w:rsidRPr="0040604D">
              <w:rPr>
                <w:rStyle w:val="InstructionsTabelleberschrift"/>
                <w:rFonts w:ascii="Times New Roman" w:hAnsi="Times New Roman"/>
                <w:b w:val="0"/>
                <w:sz w:val="24"/>
                <w:u w:val="none"/>
                <w:lang w:eastAsia="de-DE"/>
              </w:rPr>
              <w:t>facilities extended to the reporting institution. These include contractually irrevocable or conditionally revocable lines.</w:t>
            </w:r>
            <w:r w:rsidR="009005D0">
              <w:rPr>
                <w:rStyle w:val="InstructionsTabelleberschrift"/>
                <w:rFonts w:ascii="Times New Roman" w:hAnsi="Times New Roman"/>
                <w:b w:val="0"/>
                <w:sz w:val="24"/>
                <w:u w:val="none"/>
                <w:lang w:eastAsia="de-DE"/>
              </w:rPr>
              <w:t xml:space="preserve"> Institutions shall report a reduced amount </w:t>
            </w:r>
            <w:r w:rsidR="00A13BBC">
              <w:rPr>
                <w:rStyle w:val="InstructionsTabelleberschrift"/>
                <w:rFonts w:ascii="Times New Roman" w:hAnsi="Times New Roman"/>
                <w:b w:val="0"/>
                <w:sz w:val="24"/>
                <w:u w:val="none"/>
                <w:lang w:eastAsia="de-DE"/>
              </w:rPr>
              <w:t>for</w:t>
            </w:r>
            <w:r w:rsidR="009005D0">
              <w:rPr>
                <w:rStyle w:val="InstructionsTabelleberschrift"/>
                <w:rFonts w:ascii="Times New Roman" w:hAnsi="Times New Roman"/>
                <w:b w:val="0"/>
                <w:sz w:val="24"/>
                <w:u w:val="none"/>
                <w:lang w:eastAsia="de-DE"/>
              </w:rPr>
              <w:t xml:space="preserve"> case</w:t>
            </w:r>
            <w:r w:rsidR="00A13BBC">
              <w:rPr>
                <w:rStyle w:val="InstructionsTabelleberschrift"/>
                <w:rFonts w:ascii="Times New Roman" w:hAnsi="Times New Roman"/>
                <w:b w:val="0"/>
                <w:sz w:val="24"/>
                <w:u w:val="none"/>
                <w:lang w:eastAsia="de-DE"/>
              </w:rPr>
              <w:t>s</w:t>
            </w:r>
            <w:r w:rsidR="009005D0">
              <w:rPr>
                <w:rStyle w:val="InstructionsTabelleberschrift"/>
                <w:rFonts w:ascii="Times New Roman" w:hAnsi="Times New Roman"/>
                <w:b w:val="0"/>
                <w:sz w:val="24"/>
                <w:u w:val="none"/>
                <w:lang w:eastAsia="de-DE"/>
              </w:rPr>
              <w:t xml:space="preserve"> </w:t>
            </w:r>
            <w:r w:rsidR="00A13BBC">
              <w:rPr>
                <w:rStyle w:val="InstructionsTabelleberschrift"/>
                <w:rFonts w:ascii="Times New Roman" w:hAnsi="Times New Roman"/>
                <w:b w:val="0"/>
                <w:sz w:val="24"/>
                <w:u w:val="none"/>
                <w:lang w:eastAsia="de-DE"/>
              </w:rPr>
              <w:t xml:space="preserve">where </w:t>
            </w:r>
            <w:r w:rsidR="009005D0">
              <w:rPr>
                <w:rStyle w:val="InstructionsTabelleberschrift"/>
                <w:rFonts w:ascii="Times New Roman" w:hAnsi="Times New Roman"/>
                <w:b w:val="0"/>
                <w:sz w:val="24"/>
                <w:u w:val="none"/>
                <w:lang w:eastAsia="de-DE"/>
              </w:rPr>
              <w:t>th</w:t>
            </w:r>
            <w:r w:rsidR="00A13BBC">
              <w:rPr>
                <w:rStyle w:val="InstructionsTabelleberschrift"/>
                <w:rFonts w:ascii="Times New Roman" w:hAnsi="Times New Roman"/>
                <w:b w:val="0"/>
                <w:sz w:val="24"/>
                <w:u w:val="none"/>
                <w:lang w:eastAsia="de-DE"/>
              </w:rPr>
              <w:t>e</w:t>
            </w:r>
            <w:r w:rsidR="009005D0">
              <w:rPr>
                <w:rStyle w:val="InstructionsTabelleberschrift"/>
                <w:rFonts w:ascii="Times New Roman" w:hAnsi="Times New Roman"/>
                <w:b w:val="0"/>
                <w:sz w:val="24"/>
                <w:u w:val="none"/>
                <w:lang w:eastAsia="de-DE"/>
              </w:rPr>
              <w:t xml:space="preserve"> potential collateral needs for drawing on these lines exceeds the availability of collateral. </w:t>
            </w:r>
          </w:p>
          <w:p w:rsidR="00AD794C" w:rsidRDefault="00AD794C" w:rsidP="00ED6567">
            <w:pPr>
              <w:spacing w:before="0" w:after="0"/>
              <w:jc w:val="left"/>
              <w:rPr>
                <w:rStyle w:val="InstructionsTabelleberschrift"/>
                <w:rFonts w:ascii="Times New Roman" w:hAnsi="Times New Roman"/>
                <w:b w:val="0"/>
                <w:sz w:val="24"/>
                <w:u w:val="none"/>
                <w:lang w:eastAsia="de-DE"/>
              </w:rPr>
            </w:pPr>
          </w:p>
          <w:p w:rsidR="007B2BBD" w:rsidRPr="0040604D" w:rsidRDefault="007B2BBD" w:rsidP="009005D0">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 xml:space="preserve">In order to avoid double-counting, where the reporting institution has already prepositioned </w:t>
            </w:r>
            <w:r w:rsidR="009005D0">
              <w:rPr>
                <w:rStyle w:val="InstructionsTabelleberschrift"/>
                <w:rFonts w:ascii="Times New Roman" w:hAnsi="Times New Roman"/>
                <w:b w:val="0"/>
                <w:sz w:val="24"/>
                <w:u w:val="none"/>
                <w:lang w:eastAsia="de-DE"/>
              </w:rPr>
              <w:t xml:space="preserve">assets as </w:t>
            </w:r>
            <w:r>
              <w:rPr>
                <w:rStyle w:val="InstructionsTabelleberschrift"/>
                <w:rFonts w:ascii="Times New Roman" w:hAnsi="Times New Roman"/>
                <w:b w:val="0"/>
                <w:sz w:val="24"/>
                <w:u w:val="none"/>
                <w:lang w:eastAsia="de-DE"/>
              </w:rPr>
              <w:t xml:space="preserve">collateral </w:t>
            </w:r>
            <w:r w:rsidR="009005D0">
              <w:rPr>
                <w:rStyle w:val="InstructionsTabelleberschrift"/>
                <w:rFonts w:ascii="Times New Roman" w:hAnsi="Times New Roman"/>
                <w:b w:val="0"/>
                <w:sz w:val="24"/>
                <w:u w:val="none"/>
                <w:lang w:eastAsia="de-DE"/>
              </w:rPr>
              <w:t xml:space="preserve">– or </w:t>
            </w:r>
            <w:r w:rsidR="00EC53F7">
              <w:rPr>
                <w:rStyle w:val="InstructionsTabelleberschrift"/>
                <w:rFonts w:ascii="Times New Roman" w:hAnsi="Times New Roman"/>
                <w:b w:val="0"/>
                <w:sz w:val="24"/>
                <w:u w:val="none"/>
                <w:lang w:eastAsia="de-DE"/>
              </w:rPr>
              <w:t>may need to</w:t>
            </w:r>
            <w:r w:rsidR="009005D0">
              <w:rPr>
                <w:rStyle w:val="InstructionsTabelleberschrift"/>
                <w:rFonts w:ascii="Times New Roman" w:hAnsi="Times New Roman"/>
                <w:b w:val="0"/>
                <w:sz w:val="24"/>
                <w:u w:val="none"/>
                <w:lang w:eastAsia="de-DE"/>
              </w:rPr>
              <w:t xml:space="preserve">, in order to draw as reported in this field – </w:t>
            </w:r>
            <w:r>
              <w:rPr>
                <w:rStyle w:val="InstructionsTabelleberschrift"/>
                <w:rFonts w:ascii="Times New Roman" w:hAnsi="Times New Roman"/>
                <w:b w:val="0"/>
                <w:sz w:val="24"/>
                <w:u w:val="none"/>
                <w:lang w:eastAsia="de-DE"/>
              </w:rPr>
              <w:t>for</w:t>
            </w:r>
            <w:r w:rsidR="00EC53F7">
              <w:rPr>
                <w:rStyle w:val="InstructionsTabelleberschrift"/>
                <w:rFonts w:ascii="Times New Roman" w:hAnsi="Times New Roman"/>
                <w:b w:val="0"/>
                <w:sz w:val="24"/>
                <w:u w:val="none"/>
                <w:lang w:eastAsia="de-DE"/>
              </w:rPr>
              <w:t xml:space="preserve"> an</w:t>
            </w:r>
            <w:r>
              <w:rPr>
                <w:rStyle w:val="InstructionsTabelleberschrift"/>
                <w:rFonts w:ascii="Times New Roman" w:hAnsi="Times New Roman"/>
                <w:b w:val="0"/>
                <w:sz w:val="24"/>
                <w:u w:val="none"/>
                <w:lang w:eastAsia="de-DE"/>
              </w:rPr>
              <w:t xml:space="preserve"> undrawn </w:t>
            </w:r>
            <w:r w:rsidR="002959B8">
              <w:rPr>
                <w:rStyle w:val="InstructionsTabelleberschrift"/>
                <w:rFonts w:ascii="Times New Roman" w:hAnsi="Times New Roman"/>
                <w:b w:val="0"/>
                <w:sz w:val="24"/>
                <w:u w:val="none"/>
                <w:lang w:eastAsia="de-DE"/>
              </w:rPr>
              <w:t>credit line</w:t>
            </w:r>
            <w:r>
              <w:rPr>
                <w:rStyle w:val="InstructionsTabelleberschrift"/>
                <w:rFonts w:ascii="Times New Roman" w:hAnsi="Times New Roman"/>
                <w:b w:val="0"/>
                <w:sz w:val="24"/>
                <w:u w:val="none"/>
                <w:lang w:eastAsia="de-DE"/>
              </w:rPr>
              <w:t>, these assets shall not be reported in</w:t>
            </w:r>
            <w:r w:rsidR="009005D0">
              <w:rPr>
                <w:rStyle w:val="InstructionsTabelleberschrift"/>
                <w:rFonts w:ascii="Times New Roman" w:hAnsi="Times New Roman"/>
                <w:b w:val="0"/>
                <w:sz w:val="24"/>
                <w:u w:val="none"/>
                <w:lang w:eastAsia="de-DE"/>
              </w:rPr>
              <w:t xml:space="preserve"> any of</w:t>
            </w:r>
            <w:r>
              <w:rPr>
                <w:rStyle w:val="InstructionsTabelleberschrift"/>
                <w:rFonts w:ascii="Times New Roman" w:hAnsi="Times New Roman"/>
                <w:b w:val="0"/>
                <w:sz w:val="24"/>
                <w:u w:val="none"/>
                <w:lang w:eastAsia="de-DE"/>
              </w:rPr>
              <w:t xml:space="preserve"> the</w:t>
            </w:r>
            <w:r w:rsidR="009005D0">
              <w:rPr>
                <w:rStyle w:val="InstructionsTabelleberschrift"/>
                <w:rFonts w:ascii="Times New Roman" w:hAnsi="Times New Roman"/>
                <w:b w:val="0"/>
                <w:sz w:val="24"/>
                <w:u w:val="none"/>
                <w:lang w:eastAsia="de-DE"/>
              </w:rPr>
              <w:t xml:space="preserve"> other rows</w:t>
            </w:r>
            <w:r>
              <w:rPr>
                <w:rStyle w:val="InstructionsTabelleberschrift"/>
                <w:rFonts w:ascii="Times New Roman" w:hAnsi="Times New Roman"/>
                <w:b w:val="0"/>
                <w:sz w:val="24"/>
                <w:u w:val="none"/>
                <w:lang w:eastAsia="de-DE"/>
              </w:rPr>
              <w:t xml:space="preserve"> </w:t>
            </w:r>
            <w:r w:rsidR="009005D0">
              <w:rPr>
                <w:rStyle w:val="InstructionsTabelleberschrift"/>
                <w:rFonts w:ascii="Times New Roman" w:hAnsi="Times New Roman"/>
                <w:b w:val="0"/>
                <w:sz w:val="24"/>
                <w:u w:val="none"/>
                <w:lang w:eastAsia="de-DE"/>
              </w:rPr>
              <w:t xml:space="preserve">of the </w:t>
            </w:r>
            <w:r>
              <w:rPr>
                <w:rStyle w:val="InstructionsTabelleberschrift"/>
                <w:rFonts w:ascii="Times New Roman" w:hAnsi="Times New Roman"/>
                <w:b w:val="0"/>
                <w:sz w:val="24"/>
                <w:u w:val="none"/>
                <w:lang w:eastAsia="de-DE"/>
              </w:rPr>
              <w:t xml:space="preserve">counterbalancing capacity </w:t>
            </w:r>
            <w:r w:rsidR="009005D0">
              <w:rPr>
                <w:rStyle w:val="InstructionsTabelleberschrift"/>
                <w:rFonts w:ascii="Times New Roman" w:hAnsi="Times New Roman"/>
                <w:b w:val="0"/>
                <w:sz w:val="24"/>
                <w:u w:val="none"/>
                <w:lang w:eastAsia="de-DE"/>
              </w:rPr>
              <w:t>table.</w:t>
            </w:r>
            <w:r w:rsidR="003E309A">
              <w:rPr>
                <w:rStyle w:val="InstructionsTabelleberschrift"/>
                <w:rFonts w:ascii="Times New Roman" w:hAnsi="Times New Roman"/>
                <w:b w:val="0"/>
                <w:sz w:val="24"/>
                <w:u w:val="none"/>
                <w:lang w:eastAsia="de-DE"/>
              </w:rPr>
              <w:t xml:space="preserve"> </w:t>
            </w: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1380</w:t>
            </w:r>
          </w:p>
        </w:tc>
        <w:tc>
          <w:tcPr>
            <w:tcW w:w="7740" w:type="dxa"/>
            <w:shd w:val="clear" w:color="auto" w:fill="auto"/>
            <w:noWrap/>
          </w:tcPr>
          <w:p w:rsidR="0085529D" w:rsidRDefault="008B208E">
            <w:pPr>
              <w:spacing w:before="0" w:after="0"/>
              <w:jc w:val="left"/>
              <w:rPr>
                <w:rStyle w:val="InstructionsTabelleberschrift"/>
                <w:rFonts w:ascii="Times New Roman" w:hAnsi="Times New Roman"/>
                <w:sz w:val="24"/>
                <w:lang w:eastAsia="de-DE"/>
              </w:rPr>
            </w:pPr>
            <w:r>
              <w:rPr>
                <w:rStyle w:val="InstructionsTabelleberschrift"/>
                <w:rFonts w:ascii="Times New Roman" w:hAnsi="Times New Roman"/>
                <w:sz w:val="24"/>
                <w:lang w:eastAsia="de-DE"/>
              </w:rPr>
              <w:t xml:space="preserve">3.5.1 </w:t>
            </w:r>
            <w:r w:rsidR="00AD794C" w:rsidRPr="0040604D">
              <w:rPr>
                <w:rStyle w:val="InstructionsTabelleberschrift"/>
                <w:rFonts w:ascii="Times New Roman" w:hAnsi="Times New Roman"/>
                <w:sz w:val="24"/>
                <w:lang w:eastAsia="de-DE"/>
              </w:rPr>
              <w:t>by members of the institutional network</w:t>
            </w:r>
          </w:p>
          <w:p w:rsidR="00AD794C" w:rsidRPr="0040604D" w:rsidRDefault="00AD794C" w:rsidP="008F1100">
            <w:pPr>
              <w:spacing w:before="0" w:after="0"/>
              <w:jc w:val="left"/>
              <w:rPr>
                <w:rStyle w:val="InstructionsTabelleberschrift"/>
                <w:rFonts w:ascii="Times New Roman" w:hAnsi="Times New Roman"/>
                <w:sz w:val="24"/>
                <w:lang w:eastAsia="de-DE"/>
              </w:rPr>
            </w:pPr>
          </w:p>
          <w:p w:rsidR="00AD794C" w:rsidRPr="0040604D" w:rsidRDefault="00743492" w:rsidP="008F1100">
            <w:pPr>
              <w:spacing w:before="0" w:after="0"/>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8B208E">
              <w:rPr>
                <w:rStyle w:val="InstructionsTabelleberschrift"/>
                <w:rFonts w:ascii="Times New Roman" w:hAnsi="Times New Roman"/>
                <w:b w:val="0"/>
                <w:sz w:val="24"/>
                <w:u w:val="none"/>
                <w:lang w:eastAsia="de-DE"/>
              </w:rPr>
              <w:t xml:space="preserve"> </w:t>
            </w:r>
            <w:r w:rsidR="00DC6350">
              <w:rPr>
                <w:rStyle w:val="InstructionsTabelleberschrift"/>
                <w:rFonts w:ascii="Times New Roman" w:hAnsi="Times New Roman"/>
                <w:b w:val="0"/>
                <w:sz w:val="24"/>
                <w:u w:val="none"/>
                <w:lang w:eastAsia="de-DE"/>
              </w:rPr>
              <w:t xml:space="preserve">amount </w:t>
            </w:r>
            <w:r w:rsidR="008B208E">
              <w:rPr>
                <w:rStyle w:val="InstructionsTabelleberschrift"/>
                <w:rFonts w:ascii="Times New Roman" w:hAnsi="Times New Roman"/>
                <w:b w:val="0"/>
                <w:sz w:val="24"/>
                <w:u w:val="none"/>
                <w:lang w:eastAsia="de-DE"/>
              </w:rPr>
              <w:t>reported in item 3.5</w:t>
            </w:r>
            <w:r w:rsidR="007D6378">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7D6378">
              <w:rPr>
                <w:rStyle w:val="InstructionsTabelleberschrift"/>
                <w:rFonts w:ascii="Times New Roman" w:hAnsi="Times New Roman"/>
                <w:b w:val="0"/>
                <w:sz w:val="24"/>
                <w:u w:val="none"/>
                <w:lang w:eastAsia="de-DE"/>
              </w:rPr>
              <w:t xml:space="preserve"> is </w:t>
            </w:r>
            <w:r w:rsidR="00AD794C" w:rsidRPr="0040604D">
              <w:rPr>
                <w:rStyle w:val="InstructionsTabelleberschrift"/>
                <w:rFonts w:ascii="Times New Roman" w:hAnsi="Times New Roman"/>
                <w:b w:val="0"/>
                <w:sz w:val="24"/>
                <w:u w:val="none"/>
                <w:lang w:eastAsia="de-DE"/>
              </w:rPr>
              <w:t>extended to</w:t>
            </w:r>
            <w:r w:rsidR="00AD794C" w:rsidRPr="009920BE">
              <w:rPr>
                <w:rStyle w:val="InstructionsTabelleberschrift"/>
                <w:rFonts w:ascii="Times New Roman" w:hAnsi="Times New Roman"/>
                <w:sz w:val="24"/>
                <w:u w:val="none"/>
                <w:lang w:eastAsia="de-DE"/>
              </w:rPr>
              <w:t xml:space="preserve"> </w:t>
            </w:r>
            <w:r w:rsidR="00AD794C" w:rsidRPr="0040604D">
              <w:rPr>
                <w:rStyle w:val="InstructionsTabelleberschrift"/>
                <w:rFonts w:ascii="Times New Roman" w:hAnsi="Times New Roman"/>
                <w:b w:val="0"/>
                <w:sz w:val="24"/>
                <w:u w:val="none"/>
                <w:lang w:eastAsia="de-DE"/>
              </w:rPr>
              <w:t xml:space="preserve">the reporting institution by members of the institutional network, that is, </w:t>
            </w:r>
            <w:r w:rsidR="00AD794C" w:rsidRPr="0040604D">
              <w:rPr>
                <w:rFonts w:ascii="Times New Roman" w:hAnsi="Times New Roman"/>
                <w:sz w:val="24"/>
              </w:rPr>
              <w:t>those which are in the context of common task sharing within an institutional protection scheme meeting the requirements of Article 1</w:t>
            </w:r>
            <w:r w:rsidR="00844416">
              <w:rPr>
                <w:rFonts w:ascii="Times New Roman" w:hAnsi="Times New Roman"/>
                <w:sz w:val="24"/>
              </w:rPr>
              <w:t>13</w:t>
            </w:r>
            <w:r w:rsidR="00AD794C" w:rsidRPr="0040604D">
              <w:rPr>
                <w:rFonts w:ascii="Times New Roman" w:hAnsi="Times New Roman"/>
                <w:sz w:val="24"/>
              </w:rPr>
              <w:t>(7) or as a legal or statutory minimum deposit by another entity being a Member of the same institutional protection scheme</w:t>
            </w:r>
            <w:r w:rsidR="002C1513">
              <w:rPr>
                <w:rFonts w:ascii="Times New Roman" w:hAnsi="Times New Roman"/>
                <w:sz w:val="24"/>
              </w:rPr>
              <w:t>.</w:t>
            </w:r>
          </w:p>
          <w:p w:rsidR="00AD794C" w:rsidRPr="0040604D" w:rsidRDefault="00AD794C" w:rsidP="008A1DB9">
            <w:pPr>
              <w:spacing w:before="0" w:after="0"/>
              <w:rPr>
                <w:rStyle w:val="InstructionsTabelleberschrift"/>
                <w:rFonts w:ascii="Times New Roman" w:hAnsi="Times New Roman"/>
                <w:sz w:val="24"/>
                <w:lang w:eastAsia="de-DE"/>
              </w:rPr>
            </w:pP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lastRenderedPageBreak/>
              <w:t>1390</w:t>
            </w:r>
          </w:p>
        </w:tc>
        <w:tc>
          <w:tcPr>
            <w:tcW w:w="7740" w:type="dxa"/>
            <w:shd w:val="clear" w:color="auto" w:fill="auto"/>
            <w:noWrap/>
          </w:tcPr>
          <w:p w:rsidR="00AD794C" w:rsidRPr="0040604D" w:rsidRDefault="00AD794C" w:rsidP="00ED6567">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w:t>
            </w:r>
            <w:r w:rsidR="008B208E">
              <w:rPr>
                <w:rStyle w:val="InstructionsTabelleberschrift"/>
                <w:rFonts w:ascii="Times New Roman" w:hAnsi="Times New Roman"/>
                <w:sz w:val="24"/>
                <w:lang w:eastAsia="de-DE"/>
              </w:rPr>
              <w:t>5</w:t>
            </w:r>
            <w:r w:rsidRPr="0040604D">
              <w:rPr>
                <w:rStyle w:val="InstructionsTabelleberschrift"/>
                <w:rFonts w:ascii="Times New Roman" w:hAnsi="Times New Roman"/>
                <w:sz w:val="24"/>
                <w:lang w:eastAsia="de-DE"/>
              </w:rPr>
              <w:t>.2</w:t>
            </w:r>
            <w:r w:rsidR="003E309A">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by</w:t>
            </w:r>
            <w:r w:rsidR="003E309A">
              <w:rPr>
                <w:rStyle w:val="InstructionsTabelleberschrift"/>
                <w:rFonts w:ascii="Times New Roman" w:hAnsi="Times New Roman"/>
                <w:sz w:val="24"/>
                <w:lang w:eastAsia="de-DE"/>
              </w:rPr>
              <w:t xml:space="preserve"> </w:t>
            </w:r>
            <w:r w:rsidR="007D6378">
              <w:rPr>
                <w:rStyle w:val="InstructionsTabelleberschrift"/>
                <w:rFonts w:ascii="Times New Roman" w:hAnsi="Times New Roman"/>
                <w:sz w:val="24"/>
                <w:lang w:eastAsia="de-DE"/>
              </w:rPr>
              <w:t>intragroup</w:t>
            </w:r>
            <w:r w:rsidRPr="0040604D">
              <w:rPr>
                <w:rStyle w:val="InstructionsTabelleberschrift"/>
                <w:rFonts w:ascii="Times New Roman" w:hAnsi="Times New Roman"/>
                <w:sz w:val="24"/>
                <w:lang w:eastAsia="de-DE"/>
              </w:rPr>
              <w:t xml:space="preserve"> entities</w:t>
            </w:r>
          </w:p>
          <w:p w:rsidR="00AD794C" w:rsidRPr="0040604D" w:rsidRDefault="00AD794C" w:rsidP="00ED6567">
            <w:pPr>
              <w:spacing w:before="0" w:after="0"/>
              <w:jc w:val="left"/>
              <w:rPr>
                <w:rStyle w:val="InstructionsTabelleberschrift"/>
                <w:rFonts w:ascii="Times New Roman" w:hAnsi="Times New Roman"/>
                <w:sz w:val="24"/>
                <w:lang w:eastAsia="de-DE"/>
              </w:rPr>
            </w:pPr>
          </w:p>
          <w:p w:rsidR="00AD794C" w:rsidRPr="0040604D" w:rsidRDefault="00743492" w:rsidP="00F168E0">
            <w:pPr>
              <w:spacing w:before="0" w:after="0"/>
              <w:jc w:val="left"/>
              <w:rPr>
                <w:rStyle w:val="InstructionsTabelleberschrift"/>
                <w:rFonts w:ascii="Times New Roman" w:hAnsi="Times New Roman"/>
                <w:sz w:val="24"/>
                <w:lang w:eastAsia="de-DE"/>
              </w:rPr>
            </w:pPr>
            <w:r>
              <w:rPr>
                <w:rStyle w:val="InstructionsTabelleberschrift"/>
                <w:rFonts w:ascii="Times New Roman" w:hAnsi="Times New Roman"/>
                <w:b w:val="0"/>
                <w:sz w:val="24"/>
                <w:u w:val="none"/>
                <w:lang w:eastAsia="de-DE"/>
              </w:rPr>
              <w:t>The</w:t>
            </w:r>
            <w:r w:rsidR="007D6378">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 xml:space="preserve">amount </w:t>
            </w:r>
            <w:r w:rsidR="008B208E">
              <w:rPr>
                <w:rStyle w:val="InstructionsTabelleberschrift"/>
                <w:rFonts w:ascii="Times New Roman" w:hAnsi="Times New Roman"/>
                <w:b w:val="0"/>
                <w:sz w:val="24"/>
                <w:u w:val="none"/>
                <w:lang w:eastAsia="de-DE"/>
              </w:rPr>
              <w:t>reported in item 3.5</w:t>
            </w:r>
            <w:r w:rsidR="007D6378">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7D6378">
              <w:rPr>
                <w:rStyle w:val="InstructionsTabelleberschrift"/>
                <w:rFonts w:ascii="Times New Roman" w:hAnsi="Times New Roman"/>
                <w:b w:val="0"/>
                <w:sz w:val="24"/>
                <w:u w:val="none"/>
                <w:lang w:eastAsia="de-DE"/>
              </w:rPr>
              <w:t xml:space="preserve"> is </w:t>
            </w:r>
            <w:r w:rsidR="00AD794C" w:rsidRPr="0040604D">
              <w:rPr>
                <w:rStyle w:val="InstructionsTabelleberschrift"/>
                <w:rFonts w:ascii="Times New Roman" w:hAnsi="Times New Roman"/>
                <w:b w:val="0"/>
                <w:sz w:val="24"/>
                <w:u w:val="none"/>
                <w:lang w:eastAsia="de-DE"/>
              </w:rPr>
              <w:t xml:space="preserve">extended to the </w:t>
            </w:r>
            <w:r w:rsidR="00F168E0">
              <w:rPr>
                <w:rStyle w:val="InstructionsTabelleberschrift"/>
                <w:rFonts w:ascii="Times New Roman" w:hAnsi="Times New Roman"/>
                <w:b w:val="0"/>
                <w:sz w:val="24"/>
                <w:u w:val="none"/>
                <w:lang w:eastAsia="de-DE"/>
              </w:rPr>
              <w:t>reporting</w:t>
            </w:r>
            <w:r w:rsidR="00AD794C" w:rsidRPr="0040604D">
              <w:rPr>
                <w:rStyle w:val="InstructionsTabelleberschrift"/>
                <w:rFonts w:ascii="Times New Roman" w:hAnsi="Times New Roman"/>
                <w:b w:val="0"/>
                <w:sz w:val="24"/>
                <w:u w:val="none"/>
                <w:lang w:eastAsia="de-DE"/>
              </w:rPr>
              <w:t xml:space="preserve"> institution by </w:t>
            </w:r>
            <w:r w:rsidR="007D6378">
              <w:rPr>
                <w:rStyle w:val="InstructionsTabelleberschrift"/>
                <w:rFonts w:ascii="Times New Roman" w:hAnsi="Times New Roman"/>
                <w:b w:val="0"/>
                <w:sz w:val="24"/>
                <w:u w:val="none"/>
                <w:lang w:eastAsia="de-DE"/>
              </w:rPr>
              <w:t xml:space="preserve">intragroup </w:t>
            </w:r>
            <w:r w:rsidR="00AD794C" w:rsidRPr="0040604D">
              <w:rPr>
                <w:rStyle w:val="InstructionsTabelleberschrift"/>
                <w:rFonts w:ascii="Times New Roman" w:hAnsi="Times New Roman"/>
                <w:b w:val="0"/>
                <w:sz w:val="24"/>
                <w:u w:val="none"/>
                <w:lang w:eastAsia="de-DE"/>
              </w:rPr>
              <w:t>entities.</w:t>
            </w:r>
          </w:p>
        </w:tc>
      </w:tr>
      <w:tr w:rsidR="00AD794C" w:rsidRPr="0040604D" w:rsidTr="0021066C">
        <w:trPr>
          <w:gridAfter w:val="1"/>
          <w:wAfter w:w="26" w:type="dxa"/>
          <w:trHeight w:val="1134"/>
        </w:trPr>
        <w:tc>
          <w:tcPr>
            <w:tcW w:w="828" w:type="dxa"/>
            <w:shd w:val="clear" w:color="auto" w:fill="auto"/>
            <w:vAlign w:val="center"/>
          </w:tcPr>
          <w:p w:rsidR="00AD794C" w:rsidRPr="009920BE" w:rsidRDefault="00AA5B2D" w:rsidP="009920BE">
            <w:pPr>
              <w:jc w:val="left"/>
              <w:rPr>
                <w:rFonts w:ascii="Times New Roman" w:hAnsi="Times New Roman"/>
                <w:sz w:val="24"/>
              </w:rPr>
            </w:pPr>
            <w:r>
              <w:rPr>
                <w:rFonts w:ascii="Times New Roman" w:hAnsi="Times New Roman"/>
                <w:sz w:val="24"/>
              </w:rPr>
              <w:t>1400</w:t>
            </w:r>
          </w:p>
        </w:tc>
        <w:tc>
          <w:tcPr>
            <w:tcW w:w="7740" w:type="dxa"/>
            <w:shd w:val="clear" w:color="auto" w:fill="auto"/>
            <w:noWrap/>
          </w:tcPr>
          <w:p w:rsidR="00AD794C" w:rsidRPr="0040604D" w:rsidRDefault="00AD794C" w:rsidP="00373296">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w:t>
            </w:r>
            <w:r w:rsidR="008B208E">
              <w:rPr>
                <w:rStyle w:val="InstructionsTabelleberschrift"/>
                <w:rFonts w:ascii="Times New Roman" w:hAnsi="Times New Roman"/>
                <w:sz w:val="24"/>
                <w:lang w:eastAsia="de-DE"/>
              </w:rPr>
              <w:t>5</w:t>
            </w:r>
            <w:r w:rsidRPr="0040604D">
              <w:rPr>
                <w:rStyle w:val="InstructionsTabelleberschrift"/>
                <w:rFonts w:ascii="Times New Roman" w:hAnsi="Times New Roman"/>
                <w:sz w:val="24"/>
                <w:lang w:eastAsia="de-DE"/>
              </w:rPr>
              <w:t>.3</w:t>
            </w:r>
            <w:r w:rsidR="003E309A">
              <w:rPr>
                <w:rStyle w:val="InstructionsTabelleberschrift"/>
                <w:rFonts w:ascii="Times New Roman" w:hAnsi="Times New Roman"/>
                <w:sz w:val="24"/>
                <w:lang w:eastAsia="de-DE"/>
              </w:rPr>
              <w:t xml:space="preserve"> </w:t>
            </w:r>
            <w:r w:rsidRPr="0040604D">
              <w:rPr>
                <w:rStyle w:val="InstructionsTabelleberschrift"/>
                <w:rFonts w:ascii="Times New Roman" w:hAnsi="Times New Roman"/>
                <w:sz w:val="24"/>
                <w:lang w:eastAsia="de-DE"/>
              </w:rPr>
              <w:t>by</w:t>
            </w:r>
            <w:r w:rsidR="003E309A">
              <w:rPr>
                <w:rStyle w:val="InstructionsTabelleberschrift"/>
                <w:rFonts w:ascii="Times New Roman" w:hAnsi="Times New Roman"/>
                <w:sz w:val="24"/>
                <w:lang w:eastAsia="de-DE"/>
              </w:rPr>
              <w:t xml:space="preserve"> </w:t>
            </w:r>
            <w:r w:rsidR="007D6378">
              <w:rPr>
                <w:rStyle w:val="InstructionsTabelleberschrift"/>
                <w:rFonts w:ascii="Times New Roman" w:hAnsi="Times New Roman"/>
                <w:sz w:val="24"/>
                <w:lang w:eastAsia="de-DE"/>
              </w:rPr>
              <w:t>other entit</w:t>
            </w:r>
            <w:r w:rsidR="00484814">
              <w:rPr>
                <w:rStyle w:val="InstructionsTabelleberschrift"/>
                <w:rFonts w:ascii="Times New Roman" w:hAnsi="Times New Roman"/>
                <w:sz w:val="24"/>
                <w:lang w:eastAsia="de-DE"/>
              </w:rPr>
              <w:t>i</w:t>
            </w:r>
            <w:r w:rsidR="007D6378">
              <w:rPr>
                <w:rStyle w:val="InstructionsTabelleberschrift"/>
                <w:rFonts w:ascii="Times New Roman" w:hAnsi="Times New Roman"/>
                <w:sz w:val="24"/>
                <w:lang w:eastAsia="de-DE"/>
              </w:rPr>
              <w:t>es</w:t>
            </w:r>
          </w:p>
          <w:p w:rsidR="00AD794C" w:rsidRPr="0040604D" w:rsidRDefault="00AD794C" w:rsidP="00ED6567">
            <w:pPr>
              <w:spacing w:before="0" w:after="0"/>
              <w:jc w:val="left"/>
              <w:rPr>
                <w:rStyle w:val="InstructionsTabelleberschrift"/>
                <w:rFonts w:ascii="Times New Roman" w:hAnsi="Times New Roman"/>
                <w:sz w:val="24"/>
                <w:lang w:eastAsia="de-DE"/>
              </w:rPr>
            </w:pPr>
          </w:p>
          <w:p w:rsidR="00AD794C" w:rsidRPr="0040604D" w:rsidRDefault="00743492" w:rsidP="00ED6567">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The</w:t>
            </w:r>
            <w:r w:rsidR="007D6378">
              <w:rPr>
                <w:rStyle w:val="InstructionsTabelleberschrift"/>
                <w:rFonts w:ascii="Times New Roman" w:hAnsi="Times New Roman"/>
                <w:b w:val="0"/>
                <w:sz w:val="24"/>
                <w:u w:val="none"/>
                <w:lang w:eastAsia="de-DE"/>
              </w:rPr>
              <w:t xml:space="preserve"> amount reported</w:t>
            </w:r>
            <w:r w:rsidR="008B208E">
              <w:rPr>
                <w:rStyle w:val="InstructionsTabelleberschrift"/>
                <w:rFonts w:ascii="Times New Roman" w:hAnsi="Times New Roman"/>
                <w:b w:val="0"/>
                <w:sz w:val="24"/>
                <w:u w:val="none"/>
                <w:lang w:eastAsia="de-DE"/>
              </w:rPr>
              <w:t xml:space="preserve"> in item 3.5</w:t>
            </w:r>
            <w:r w:rsidR="007D6378">
              <w:rPr>
                <w:rStyle w:val="InstructionsTabelleberschrift"/>
                <w:rFonts w:ascii="Times New Roman" w:hAnsi="Times New Roman"/>
                <w:b w:val="0"/>
                <w:sz w:val="24"/>
                <w:u w:val="none"/>
                <w:lang w:eastAsia="de-DE"/>
              </w:rPr>
              <w:t xml:space="preserve"> </w:t>
            </w:r>
            <w:r>
              <w:rPr>
                <w:rStyle w:val="InstructionsTabelleberschrift"/>
                <w:rFonts w:ascii="Times New Roman" w:hAnsi="Times New Roman"/>
                <w:b w:val="0"/>
                <w:sz w:val="24"/>
                <w:u w:val="none"/>
                <w:lang w:eastAsia="de-DE"/>
              </w:rPr>
              <w:t>which</w:t>
            </w:r>
            <w:r w:rsidR="007D6378">
              <w:rPr>
                <w:rStyle w:val="InstructionsTabelleberschrift"/>
                <w:rFonts w:ascii="Times New Roman" w:hAnsi="Times New Roman"/>
                <w:b w:val="0"/>
                <w:sz w:val="24"/>
                <w:u w:val="none"/>
                <w:lang w:eastAsia="de-DE"/>
              </w:rPr>
              <w:t xml:space="preserve"> is</w:t>
            </w:r>
            <w:r w:rsidR="007D6378" w:rsidRPr="0040604D">
              <w:rPr>
                <w:rStyle w:val="InstructionsTabelleberschrift"/>
                <w:rFonts w:ascii="Times New Roman" w:hAnsi="Times New Roman"/>
                <w:b w:val="0"/>
                <w:sz w:val="24"/>
                <w:u w:val="none"/>
                <w:lang w:eastAsia="de-DE"/>
              </w:rPr>
              <w:t xml:space="preserve"> </w:t>
            </w:r>
            <w:r w:rsidR="00AD794C" w:rsidRPr="0040604D">
              <w:rPr>
                <w:rStyle w:val="InstructionsTabelleberschrift"/>
                <w:rFonts w:ascii="Times New Roman" w:hAnsi="Times New Roman"/>
                <w:b w:val="0"/>
                <w:sz w:val="24"/>
                <w:u w:val="none"/>
                <w:lang w:eastAsia="de-DE"/>
              </w:rPr>
              <w:t xml:space="preserve">extended to the </w:t>
            </w:r>
            <w:r w:rsidR="00F168E0">
              <w:rPr>
                <w:rStyle w:val="InstructionsTabelleberschrift"/>
                <w:rFonts w:ascii="Times New Roman" w:hAnsi="Times New Roman"/>
                <w:b w:val="0"/>
                <w:sz w:val="24"/>
                <w:u w:val="none"/>
                <w:lang w:eastAsia="de-DE"/>
              </w:rPr>
              <w:t>reporting</w:t>
            </w:r>
            <w:r w:rsidR="00AD794C" w:rsidRPr="0040604D">
              <w:rPr>
                <w:rStyle w:val="InstructionsTabelleberschrift"/>
                <w:rFonts w:ascii="Times New Roman" w:hAnsi="Times New Roman"/>
                <w:b w:val="0"/>
                <w:sz w:val="24"/>
                <w:u w:val="none"/>
                <w:lang w:eastAsia="de-DE"/>
              </w:rPr>
              <w:t xml:space="preserve"> institution not included items 3.</w:t>
            </w:r>
            <w:r w:rsidR="00983A15">
              <w:rPr>
                <w:rStyle w:val="InstructionsTabelleberschrift"/>
                <w:rFonts w:ascii="Times New Roman" w:hAnsi="Times New Roman"/>
                <w:b w:val="0"/>
                <w:sz w:val="24"/>
                <w:u w:val="none"/>
                <w:lang w:eastAsia="de-DE"/>
              </w:rPr>
              <w:t>5</w:t>
            </w:r>
            <w:r w:rsidR="00AD794C" w:rsidRPr="0040604D">
              <w:rPr>
                <w:rStyle w:val="InstructionsTabelleberschrift"/>
                <w:rFonts w:ascii="Times New Roman" w:hAnsi="Times New Roman"/>
                <w:b w:val="0"/>
                <w:sz w:val="24"/>
                <w:u w:val="none"/>
                <w:lang w:eastAsia="de-DE"/>
              </w:rPr>
              <w:t>.1-3.</w:t>
            </w:r>
            <w:r w:rsidR="00983A15">
              <w:rPr>
                <w:rStyle w:val="InstructionsTabelleberschrift"/>
                <w:rFonts w:ascii="Times New Roman" w:hAnsi="Times New Roman"/>
                <w:b w:val="0"/>
                <w:sz w:val="24"/>
                <w:u w:val="none"/>
                <w:lang w:eastAsia="de-DE"/>
              </w:rPr>
              <w:t>5</w:t>
            </w:r>
            <w:r w:rsidR="00AD794C" w:rsidRPr="0040604D">
              <w:rPr>
                <w:rStyle w:val="InstructionsTabelleberschrift"/>
                <w:rFonts w:ascii="Times New Roman" w:hAnsi="Times New Roman"/>
                <w:b w:val="0"/>
                <w:sz w:val="24"/>
                <w:u w:val="none"/>
                <w:lang w:eastAsia="de-DE"/>
              </w:rPr>
              <w:t>.2.</w:t>
            </w:r>
          </w:p>
          <w:p w:rsidR="00AD794C" w:rsidRPr="0040604D" w:rsidRDefault="00AD794C" w:rsidP="00ED6567">
            <w:pPr>
              <w:spacing w:before="0" w:after="0"/>
              <w:jc w:val="left"/>
              <w:rPr>
                <w:rStyle w:val="InstructionsTabelleberschrift"/>
                <w:rFonts w:ascii="Times New Roman" w:hAnsi="Times New Roman"/>
                <w:sz w:val="24"/>
                <w:lang w:eastAsia="de-DE"/>
              </w:rPr>
            </w:pPr>
          </w:p>
        </w:tc>
      </w:tr>
      <w:tr w:rsidR="00484814" w:rsidRPr="0040604D" w:rsidTr="0021066C">
        <w:trPr>
          <w:gridAfter w:val="1"/>
          <w:wAfter w:w="26" w:type="dxa"/>
          <w:trHeight w:val="1134"/>
        </w:trPr>
        <w:tc>
          <w:tcPr>
            <w:tcW w:w="828" w:type="dxa"/>
            <w:shd w:val="clear" w:color="auto" w:fill="auto"/>
            <w:vAlign w:val="center"/>
          </w:tcPr>
          <w:p w:rsidR="00484814" w:rsidRPr="009920BE" w:rsidRDefault="00AA5B2D" w:rsidP="009920BE">
            <w:pPr>
              <w:jc w:val="left"/>
              <w:rPr>
                <w:rFonts w:ascii="Times New Roman" w:hAnsi="Times New Roman"/>
                <w:sz w:val="24"/>
              </w:rPr>
            </w:pPr>
            <w:r>
              <w:rPr>
                <w:rFonts w:ascii="Times New Roman" w:hAnsi="Times New Roman"/>
                <w:sz w:val="24"/>
              </w:rPr>
              <w:t>1410</w:t>
            </w:r>
          </w:p>
        </w:tc>
        <w:tc>
          <w:tcPr>
            <w:tcW w:w="7740" w:type="dxa"/>
            <w:shd w:val="clear" w:color="auto" w:fill="auto"/>
            <w:noWrap/>
          </w:tcPr>
          <w:p w:rsidR="00484814" w:rsidRDefault="008B208E" w:rsidP="008B208E">
            <w:pPr>
              <w:spacing w:before="0" w:after="0"/>
              <w:jc w:val="left"/>
              <w:rPr>
                <w:rStyle w:val="InstructionsTabelleberschrift"/>
                <w:rFonts w:ascii="Times New Roman" w:hAnsi="Times New Roman"/>
                <w:sz w:val="24"/>
                <w:lang w:eastAsia="de-DE"/>
              </w:rPr>
            </w:pPr>
            <w:r w:rsidRPr="0040604D">
              <w:rPr>
                <w:rStyle w:val="InstructionsTabelleberschrift"/>
                <w:rFonts w:ascii="Times New Roman" w:hAnsi="Times New Roman"/>
                <w:sz w:val="24"/>
                <w:lang w:eastAsia="de-DE"/>
              </w:rPr>
              <w:t>3.</w:t>
            </w:r>
            <w:r>
              <w:rPr>
                <w:rStyle w:val="InstructionsTabelleberschrift"/>
                <w:rFonts w:ascii="Times New Roman" w:hAnsi="Times New Roman"/>
                <w:sz w:val="24"/>
                <w:lang w:eastAsia="de-DE"/>
              </w:rPr>
              <w:t xml:space="preserve">6 Net </w:t>
            </w:r>
            <w:r w:rsidR="00956D8A">
              <w:rPr>
                <w:rStyle w:val="InstructionsTabelleberschrift"/>
                <w:rFonts w:ascii="Times New Roman" w:hAnsi="Times New Roman"/>
                <w:sz w:val="24"/>
                <w:lang w:eastAsia="de-DE"/>
              </w:rPr>
              <w:t>change</w:t>
            </w:r>
            <w:r>
              <w:rPr>
                <w:rStyle w:val="InstructionsTabelleberschrift"/>
                <w:rFonts w:ascii="Times New Roman" w:hAnsi="Times New Roman"/>
                <w:sz w:val="24"/>
                <w:lang w:eastAsia="de-DE"/>
              </w:rPr>
              <w:t xml:space="preserve"> </w:t>
            </w:r>
            <w:r w:rsidR="00662B92">
              <w:rPr>
                <w:rStyle w:val="InstructionsTabelleberschrift"/>
                <w:rFonts w:ascii="Times New Roman" w:hAnsi="Times New Roman"/>
                <w:sz w:val="24"/>
                <w:lang w:eastAsia="de-DE"/>
              </w:rPr>
              <w:t>of</w:t>
            </w:r>
            <w:r>
              <w:rPr>
                <w:rStyle w:val="InstructionsTabelleberschrift"/>
                <w:rFonts w:ascii="Times New Roman" w:hAnsi="Times New Roman"/>
                <w:sz w:val="24"/>
                <w:lang w:eastAsia="de-DE"/>
              </w:rPr>
              <w:t xml:space="preserve"> Counterbalancing Capacity</w:t>
            </w:r>
          </w:p>
          <w:p w:rsidR="004D16B9" w:rsidRDefault="004D16B9" w:rsidP="008B208E">
            <w:pPr>
              <w:spacing w:before="0" w:after="0"/>
              <w:jc w:val="left"/>
              <w:rPr>
                <w:rStyle w:val="InstructionsTabelleberschrift"/>
                <w:rFonts w:ascii="Times New Roman" w:hAnsi="Times New Roman"/>
                <w:sz w:val="24"/>
                <w:lang w:eastAsia="de-DE"/>
              </w:rPr>
            </w:pPr>
          </w:p>
          <w:p w:rsidR="00A27A0B" w:rsidRDefault="004F638B" w:rsidP="007B76FE">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 xml:space="preserve">Net </w:t>
            </w:r>
            <w:r w:rsidR="00A27A0B">
              <w:rPr>
                <w:rStyle w:val="InstructionsTabelleberschrift"/>
                <w:rFonts w:ascii="Times New Roman" w:hAnsi="Times New Roman"/>
                <w:b w:val="0"/>
                <w:sz w:val="24"/>
                <w:u w:val="none"/>
                <w:lang w:eastAsia="de-DE"/>
              </w:rPr>
              <w:t>change</w:t>
            </w:r>
            <w:r>
              <w:rPr>
                <w:rStyle w:val="InstructionsTabelleberschrift"/>
                <w:rFonts w:ascii="Times New Roman" w:hAnsi="Times New Roman"/>
                <w:b w:val="0"/>
                <w:sz w:val="24"/>
                <w:u w:val="none"/>
                <w:lang w:eastAsia="de-DE"/>
              </w:rPr>
              <w:t xml:space="preserve"> </w:t>
            </w:r>
            <w:r w:rsidR="000C46A9">
              <w:rPr>
                <w:rStyle w:val="InstructionsTabelleberschrift"/>
                <w:rFonts w:ascii="Times New Roman" w:hAnsi="Times New Roman"/>
                <w:b w:val="0"/>
                <w:sz w:val="24"/>
                <w:u w:val="none"/>
                <w:lang w:eastAsia="de-DE"/>
              </w:rPr>
              <w:t xml:space="preserve">in exposures to central banks, </w:t>
            </w:r>
            <w:r>
              <w:rPr>
                <w:rStyle w:val="InstructionsTabelleberschrift"/>
                <w:rFonts w:ascii="Times New Roman" w:hAnsi="Times New Roman"/>
                <w:b w:val="0"/>
                <w:sz w:val="24"/>
                <w:u w:val="none"/>
                <w:lang w:eastAsia="de-DE"/>
              </w:rPr>
              <w:t>securiti</w:t>
            </w:r>
            <w:r w:rsidR="00A27A0B">
              <w:rPr>
                <w:rStyle w:val="InstructionsTabelleberschrift"/>
                <w:rFonts w:ascii="Times New Roman" w:hAnsi="Times New Roman"/>
                <w:b w:val="0"/>
                <w:sz w:val="24"/>
                <w:u w:val="none"/>
                <w:lang w:eastAsia="de-DE"/>
              </w:rPr>
              <w:t xml:space="preserve">es flows </w:t>
            </w:r>
            <w:r w:rsidR="000C46A9">
              <w:rPr>
                <w:rStyle w:val="InstructionsTabelleberschrift"/>
                <w:rFonts w:ascii="Times New Roman" w:hAnsi="Times New Roman"/>
                <w:b w:val="0"/>
                <w:sz w:val="24"/>
                <w:u w:val="none"/>
                <w:lang w:eastAsia="de-DE"/>
              </w:rPr>
              <w:t xml:space="preserve">and committed credit lines </w:t>
            </w:r>
            <w:r w:rsidR="00A27A0B">
              <w:rPr>
                <w:rStyle w:val="InstructionsTabelleberschrift"/>
                <w:rFonts w:ascii="Times New Roman" w:hAnsi="Times New Roman"/>
                <w:b w:val="0"/>
                <w:sz w:val="24"/>
                <w:u w:val="none"/>
                <w:lang w:eastAsia="de-DE"/>
              </w:rPr>
              <w:t>in a given time bucket shall be reported.</w:t>
            </w:r>
            <w:r w:rsidR="00A3211A">
              <w:rPr>
                <w:rStyle w:val="InstructionsTabelleberschrift"/>
                <w:rFonts w:ascii="Times New Roman" w:hAnsi="Times New Roman"/>
                <w:b w:val="0"/>
                <w:sz w:val="24"/>
                <w:u w:val="none"/>
                <w:lang w:eastAsia="de-DE"/>
              </w:rPr>
              <w:t xml:space="preserve"> (i.e.net change of items 3.2, 3.3, 3.4 and 3.5).</w:t>
            </w:r>
          </w:p>
          <w:p w:rsidR="004D16B9" w:rsidRPr="00C51AA5" w:rsidRDefault="004D16B9" w:rsidP="007B76FE">
            <w:pPr>
              <w:spacing w:before="0" w:after="0"/>
              <w:jc w:val="left"/>
              <w:rPr>
                <w:rStyle w:val="InstructionsTabelleberschrift"/>
                <w:rFonts w:ascii="Times New Roman" w:hAnsi="Times New Roman"/>
                <w:b w:val="0"/>
                <w:sz w:val="24"/>
                <w:u w:val="none"/>
                <w:lang w:eastAsia="de-DE"/>
              </w:rPr>
            </w:pPr>
          </w:p>
        </w:tc>
      </w:tr>
      <w:tr w:rsidR="00484814" w:rsidRPr="0040604D" w:rsidTr="0021066C">
        <w:trPr>
          <w:gridAfter w:val="1"/>
          <w:wAfter w:w="26" w:type="dxa"/>
          <w:trHeight w:val="1134"/>
        </w:trPr>
        <w:tc>
          <w:tcPr>
            <w:tcW w:w="828" w:type="dxa"/>
            <w:shd w:val="clear" w:color="auto" w:fill="auto"/>
            <w:vAlign w:val="center"/>
          </w:tcPr>
          <w:p w:rsidR="00484814" w:rsidRPr="009920BE" w:rsidRDefault="00AA5B2D" w:rsidP="009920BE">
            <w:pPr>
              <w:jc w:val="left"/>
              <w:rPr>
                <w:rFonts w:ascii="Times New Roman" w:hAnsi="Times New Roman"/>
                <w:sz w:val="24"/>
              </w:rPr>
            </w:pPr>
            <w:r>
              <w:rPr>
                <w:rFonts w:ascii="Times New Roman" w:hAnsi="Times New Roman"/>
                <w:sz w:val="24"/>
              </w:rPr>
              <w:t>1420</w:t>
            </w:r>
          </w:p>
        </w:tc>
        <w:tc>
          <w:tcPr>
            <w:tcW w:w="7740" w:type="dxa"/>
            <w:shd w:val="clear" w:color="auto" w:fill="auto"/>
            <w:noWrap/>
          </w:tcPr>
          <w:p w:rsidR="00484814" w:rsidRDefault="008B208E" w:rsidP="00373296">
            <w:pPr>
              <w:spacing w:before="0" w:after="0"/>
              <w:jc w:val="left"/>
              <w:rPr>
                <w:rStyle w:val="InstructionsTabelleberschrift"/>
                <w:rFonts w:ascii="Times New Roman" w:hAnsi="Times New Roman"/>
                <w:sz w:val="24"/>
                <w:lang w:eastAsia="de-DE"/>
              </w:rPr>
            </w:pPr>
            <w:r>
              <w:rPr>
                <w:rStyle w:val="InstructionsTabelleberschrift"/>
                <w:rFonts w:ascii="Times New Roman" w:hAnsi="Times New Roman"/>
                <w:sz w:val="24"/>
                <w:lang w:eastAsia="de-DE"/>
              </w:rPr>
              <w:t>3.7 Cumulated Counterbalancing Capacity</w:t>
            </w:r>
          </w:p>
          <w:p w:rsidR="00C51AA5" w:rsidRDefault="00C51AA5" w:rsidP="00373296">
            <w:pPr>
              <w:spacing w:before="0" w:after="0"/>
              <w:jc w:val="left"/>
              <w:rPr>
                <w:rStyle w:val="InstructionsTabelleberschrift"/>
                <w:rFonts w:ascii="Times New Roman" w:hAnsi="Times New Roman"/>
                <w:sz w:val="24"/>
                <w:lang w:eastAsia="de-DE"/>
              </w:rPr>
            </w:pPr>
          </w:p>
          <w:p w:rsidR="00C51AA5" w:rsidRPr="00C51AA5" w:rsidRDefault="00BC59C1" w:rsidP="00A24714">
            <w:pPr>
              <w:spacing w:before="0" w:after="0"/>
              <w:jc w:val="left"/>
              <w:rPr>
                <w:rStyle w:val="InstructionsTabelleberschrift"/>
                <w:rFonts w:ascii="Times New Roman" w:hAnsi="Times New Roman"/>
                <w:b w:val="0"/>
                <w:sz w:val="24"/>
                <w:u w:val="none"/>
                <w:lang w:eastAsia="de-DE"/>
              </w:rPr>
            </w:pPr>
            <w:r>
              <w:rPr>
                <w:rStyle w:val="InstructionsTabelleberschrift"/>
                <w:rFonts w:ascii="Times New Roman" w:hAnsi="Times New Roman"/>
                <w:b w:val="0"/>
                <w:sz w:val="24"/>
                <w:u w:val="none"/>
                <w:lang w:eastAsia="de-DE"/>
              </w:rPr>
              <w:t>Cumulated amount of Counterbalancing Capacity from the reporting</w:t>
            </w:r>
            <w:r w:rsidR="00A24714">
              <w:rPr>
                <w:rStyle w:val="InstructionsTabelleberschrift"/>
                <w:rFonts w:ascii="Times New Roman" w:hAnsi="Times New Roman"/>
                <w:b w:val="0"/>
                <w:sz w:val="24"/>
                <w:u w:val="none"/>
                <w:lang w:eastAsia="de-DE"/>
              </w:rPr>
              <w:t xml:space="preserve"> date</w:t>
            </w:r>
            <w:r>
              <w:rPr>
                <w:rStyle w:val="InstructionsTabelleberschrift"/>
                <w:rFonts w:ascii="Times New Roman" w:hAnsi="Times New Roman"/>
                <w:b w:val="0"/>
                <w:sz w:val="24"/>
                <w:u w:val="none"/>
                <w:lang w:eastAsia="de-DE"/>
              </w:rPr>
              <w:t xml:space="preserve"> to the upper limit of a relevant time bucket.</w:t>
            </w:r>
          </w:p>
        </w:tc>
      </w:tr>
    </w:tbl>
    <w:p w:rsidR="00D02FE4" w:rsidRPr="00870EC4" w:rsidRDefault="00D02FE4" w:rsidP="00ED6567">
      <w:pPr>
        <w:pStyle w:val="Instructionsberschrift2"/>
        <w:numPr>
          <w:ilvl w:val="0"/>
          <w:numId w:val="0"/>
        </w:numPr>
        <w:ind w:left="720" w:hanging="360"/>
        <w:rPr>
          <w:rFonts w:ascii="Arial" w:hAnsi="Arial"/>
          <w:sz w:val="24"/>
        </w:rPr>
      </w:pPr>
    </w:p>
    <w:sectPr w:rsidR="00D02FE4" w:rsidRPr="00870EC4" w:rsidSect="001C50E6">
      <w:headerReference w:type="default" r:id="rId10"/>
      <w:footerReference w:type="default" r:id="rId11"/>
      <w:headerReference w:type="first" r:id="rId12"/>
      <w:pgSz w:w="11906" w:h="16838"/>
      <w:pgMar w:top="1440" w:right="1800" w:bottom="1440" w:left="1800" w:header="130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F7B" w:rsidRDefault="00A22F7B">
      <w:r>
        <w:separator/>
      </w:r>
    </w:p>
  </w:endnote>
  <w:endnote w:type="continuationSeparator" w:id="0">
    <w:p w:rsidR="00A22F7B" w:rsidRDefault="00A22F7B">
      <w:r>
        <w:continuationSeparator/>
      </w:r>
    </w:p>
  </w:endnote>
  <w:endnote w:type="continuationNotice" w:id="1">
    <w:p w:rsidR="00A22F7B" w:rsidRDefault="00A22F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350" w:rsidRDefault="00DC6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F7B" w:rsidRDefault="00A22F7B">
      <w:r>
        <w:separator/>
      </w:r>
    </w:p>
  </w:footnote>
  <w:footnote w:type="continuationSeparator" w:id="0">
    <w:p w:rsidR="00A22F7B" w:rsidRDefault="00A22F7B">
      <w:r>
        <w:continuationSeparator/>
      </w:r>
    </w:p>
  </w:footnote>
  <w:footnote w:type="continuationNotice" w:id="1">
    <w:p w:rsidR="00A22F7B" w:rsidRDefault="00A22F7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350" w:rsidRDefault="00DC6350" w:rsidP="00CB367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350" w:rsidRDefault="00DC6350" w:rsidP="001C50E6">
    <w:pPr>
      <w:pStyle w:val="Header"/>
      <w:tabs>
        <w:tab w:val="left" w:pos="2742"/>
        <w:tab w:val="right"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CE6"/>
    <w:multiLevelType w:val="hybridMultilevel"/>
    <w:tmpl w:val="451A7CD0"/>
    <w:lvl w:ilvl="0" w:tplc="9CEC86B4">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3E2FBC"/>
    <w:multiLevelType w:val="multilevel"/>
    <w:tmpl w:val="DD72019A"/>
    <w:lvl w:ilvl="0">
      <w:start w:val="1"/>
      <w:numFmt w:val="decimal"/>
      <w:lvlText w:val="%1."/>
      <w:lvlJc w:val="left"/>
      <w:pPr>
        <w:ind w:left="720" w:hanging="360"/>
      </w:p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E839D4"/>
    <w:multiLevelType w:val="multilevel"/>
    <w:tmpl w:val="94C82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C425C1"/>
    <w:multiLevelType w:val="hybridMultilevel"/>
    <w:tmpl w:val="E4C84E2C"/>
    <w:lvl w:ilvl="0" w:tplc="163C578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F81BD"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F81BD"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F81BD"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nsid w:val="22746B01"/>
    <w:multiLevelType w:val="hybridMultilevel"/>
    <w:tmpl w:val="9A0EA950"/>
    <w:lvl w:ilvl="0" w:tplc="163C578A">
      <w:start w:val="1"/>
      <w:numFmt w:val="decimal"/>
      <w:lvlText w:val="%1."/>
      <w:lvlJc w:val="left"/>
      <w:pPr>
        <w:ind w:left="144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40213F8"/>
    <w:multiLevelType w:val="multilevel"/>
    <w:tmpl w:val="7436C00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3057CB8"/>
    <w:multiLevelType w:val="hybridMultilevel"/>
    <w:tmpl w:val="372601F8"/>
    <w:lvl w:ilvl="0" w:tplc="8640B122">
      <w:start w:val="1"/>
      <w:numFmt w:val="decimal"/>
      <w:pStyle w:val="InstructionsText2"/>
      <w:lvlText w:val="%1."/>
      <w:lvlJc w:val="left"/>
      <w:pPr>
        <w:ind w:left="720" w:hanging="360"/>
      </w:pPr>
      <w:rPr>
        <w:sz w:val="24"/>
        <w:szCs w:val="24"/>
      </w:rPr>
    </w:lvl>
    <w:lvl w:ilvl="1" w:tplc="58287F7C">
      <w:start w:val="1"/>
      <w:numFmt w:val="lowerLetter"/>
      <w:lvlText w:val="(%2)"/>
      <w:lvlJc w:val="left"/>
      <w:pPr>
        <w:tabs>
          <w:tab w:val="num" w:pos="1800"/>
        </w:tabs>
        <w:ind w:left="1800" w:hanging="720"/>
      </w:pPr>
      <w:rPr>
        <w:rFonts w:hint="default"/>
      </w:rPr>
    </w:lvl>
    <w:lvl w:ilvl="2" w:tplc="08090003">
      <w:start w:val="1"/>
      <w:numFmt w:val="bullet"/>
      <w:lvlText w:val="o"/>
      <w:lvlJc w:val="left"/>
      <w:pPr>
        <w:tabs>
          <w:tab w:val="num" w:pos="2340"/>
        </w:tabs>
        <w:ind w:left="2340" w:hanging="360"/>
      </w:pPr>
      <w:rPr>
        <w:rFonts w:ascii="Courier New" w:hAnsi="Courier New" w:cs="Courier New" w:hint="default"/>
      </w:rPr>
    </w:lvl>
    <w:lvl w:ilvl="3" w:tplc="21B0A36A">
      <w:start w:val="1"/>
      <w:numFmt w:val="lowerRoman"/>
      <w:lvlText w:val="(%4)"/>
      <w:lvlJc w:val="left"/>
      <w:pPr>
        <w:ind w:left="2880" w:hanging="360"/>
      </w:pPr>
      <w:rPr>
        <w:rFonts w:hint="default"/>
      </w:r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8">
    <w:nsid w:val="363838F1"/>
    <w:multiLevelType w:val="hybridMultilevel"/>
    <w:tmpl w:val="C1324640"/>
    <w:lvl w:ilvl="0" w:tplc="E78A429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87562D9"/>
    <w:multiLevelType w:val="hybridMultilevel"/>
    <w:tmpl w:val="F0BA8DEA"/>
    <w:lvl w:ilvl="0" w:tplc="E78A429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928567E"/>
    <w:multiLevelType w:val="multilevel"/>
    <w:tmpl w:val="CBCE4B3C"/>
    <w:lvl w:ilvl="0">
      <w:start w:val="4"/>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nsid w:val="5083694F"/>
    <w:multiLevelType w:val="multilevel"/>
    <w:tmpl w:val="51325D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A245501"/>
    <w:multiLevelType w:val="multilevel"/>
    <w:tmpl w:val="B4C80860"/>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D780373"/>
    <w:multiLevelType w:val="hybridMultilevel"/>
    <w:tmpl w:val="21EA8BC8"/>
    <w:lvl w:ilvl="0" w:tplc="04130001">
      <w:start w:val="1"/>
      <w:numFmt w:val="bullet"/>
      <w:lvlText w:val=""/>
      <w:lvlJc w:val="left"/>
      <w:pPr>
        <w:tabs>
          <w:tab w:val="num" w:pos="1212"/>
        </w:tabs>
        <w:ind w:left="1212" w:hanging="360"/>
      </w:pPr>
      <w:rPr>
        <w:rFonts w:ascii="Symbol" w:hAnsi="Symbol" w:hint="default"/>
      </w:rPr>
    </w:lvl>
    <w:lvl w:ilvl="1" w:tplc="04130003" w:tentative="1">
      <w:start w:val="1"/>
      <w:numFmt w:val="bullet"/>
      <w:lvlText w:val="o"/>
      <w:lvlJc w:val="left"/>
      <w:pPr>
        <w:tabs>
          <w:tab w:val="num" w:pos="1932"/>
        </w:tabs>
        <w:ind w:left="1932" w:hanging="360"/>
      </w:pPr>
      <w:rPr>
        <w:rFonts w:ascii="Courier New" w:hAnsi="Courier New" w:cs="Courier New" w:hint="default"/>
      </w:rPr>
    </w:lvl>
    <w:lvl w:ilvl="2" w:tplc="04130005" w:tentative="1">
      <w:start w:val="1"/>
      <w:numFmt w:val="bullet"/>
      <w:lvlText w:val=""/>
      <w:lvlJc w:val="left"/>
      <w:pPr>
        <w:tabs>
          <w:tab w:val="num" w:pos="2652"/>
        </w:tabs>
        <w:ind w:left="2652" w:hanging="360"/>
      </w:pPr>
      <w:rPr>
        <w:rFonts w:ascii="Wingdings" w:hAnsi="Wingdings" w:hint="default"/>
      </w:rPr>
    </w:lvl>
    <w:lvl w:ilvl="3" w:tplc="04130001" w:tentative="1">
      <w:start w:val="1"/>
      <w:numFmt w:val="bullet"/>
      <w:lvlText w:val=""/>
      <w:lvlJc w:val="left"/>
      <w:pPr>
        <w:tabs>
          <w:tab w:val="num" w:pos="3372"/>
        </w:tabs>
        <w:ind w:left="3372" w:hanging="360"/>
      </w:pPr>
      <w:rPr>
        <w:rFonts w:ascii="Symbol" w:hAnsi="Symbol" w:hint="default"/>
      </w:rPr>
    </w:lvl>
    <w:lvl w:ilvl="4" w:tplc="04130003" w:tentative="1">
      <w:start w:val="1"/>
      <w:numFmt w:val="bullet"/>
      <w:lvlText w:val="o"/>
      <w:lvlJc w:val="left"/>
      <w:pPr>
        <w:tabs>
          <w:tab w:val="num" w:pos="4092"/>
        </w:tabs>
        <w:ind w:left="4092" w:hanging="360"/>
      </w:pPr>
      <w:rPr>
        <w:rFonts w:ascii="Courier New" w:hAnsi="Courier New" w:cs="Courier New" w:hint="default"/>
      </w:rPr>
    </w:lvl>
    <w:lvl w:ilvl="5" w:tplc="04130005" w:tentative="1">
      <w:start w:val="1"/>
      <w:numFmt w:val="bullet"/>
      <w:lvlText w:val=""/>
      <w:lvlJc w:val="left"/>
      <w:pPr>
        <w:tabs>
          <w:tab w:val="num" w:pos="4812"/>
        </w:tabs>
        <w:ind w:left="4812" w:hanging="360"/>
      </w:pPr>
      <w:rPr>
        <w:rFonts w:ascii="Wingdings" w:hAnsi="Wingdings" w:hint="default"/>
      </w:rPr>
    </w:lvl>
    <w:lvl w:ilvl="6" w:tplc="04130001" w:tentative="1">
      <w:start w:val="1"/>
      <w:numFmt w:val="bullet"/>
      <w:lvlText w:val=""/>
      <w:lvlJc w:val="left"/>
      <w:pPr>
        <w:tabs>
          <w:tab w:val="num" w:pos="5532"/>
        </w:tabs>
        <w:ind w:left="5532" w:hanging="360"/>
      </w:pPr>
      <w:rPr>
        <w:rFonts w:ascii="Symbol" w:hAnsi="Symbol" w:hint="default"/>
      </w:rPr>
    </w:lvl>
    <w:lvl w:ilvl="7" w:tplc="04130003" w:tentative="1">
      <w:start w:val="1"/>
      <w:numFmt w:val="bullet"/>
      <w:lvlText w:val="o"/>
      <w:lvlJc w:val="left"/>
      <w:pPr>
        <w:tabs>
          <w:tab w:val="num" w:pos="6252"/>
        </w:tabs>
        <w:ind w:left="6252" w:hanging="360"/>
      </w:pPr>
      <w:rPr>
        <w:rFonts w:ascii="Courier New" w:hAnsi="Courier New" w:cs="Courier New" w:hint="default"/>
      </w:rPr>
    </w:lvl>
    <w:lvl w:ilvl="8" w:tplc="04130005" w:tentative="1">
      <w:start w:val="1"/>
      <w:numFmt w:val="bullet"/>
      <w:lvlText w:val=""/>
      <w:lvlJc w:val="left"/>
      <w:pPr>
        <w:tabs>
          <w:tab w:val="num" w:pos="6972"/>
        </w:tabs>
        <w:ind w:left="6972" w:hanging="360"/>
      </w:pPr>
      <w:rPr>
        <w:rFonts w:ascii="Wingdings" w:hAnsi="Wingdings" w:hint="default"/>
      </w:rPr>
    </w:lvl>
  </w:abstractNum>
  <w:abstractNum w:abstractNumId="14">
    <w:nsid w:val="61680F18"/>
    <w:multiLevelType w:val="multilevel"/>
    <w:tmpl w:val="57D60B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44B66D8"/>
    <w:multiLevelType w:val="singleLevel"/>
    <w:tmpl w:val="E8B65104"/>
    <w:lvl w:ilvl="0">
      <w:start w:val="1"/>
      <w:numFmt w:val="bullet"/>
      <w:lvlText w:val=""/>
      <w:lvlJc w:val="left"/>
      <w:pPr>
        <w:tabs>
          <w:tab w:val="num" w:pos="851"/>
        </w:tabs>
        <w:ind w:left="851" w:hanging="851"/>
      </w:pPr>
      <w:rPr>
        <w:rFonts w:ascii="Symbol" w:hAnsi="Symbol" w:hint="default"/>
      </w:rPr>
    </w:lvl>
  </w:abstractNum>
  <w:abstractNum w:abstractNumId="16">
    <w:nsid w:val="64BE1E33"/>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7">
    <w:nsid w:val="66CA2C8C"/>
    <w:multiLevelType w:val="hybridMultilevel"/>
    <w:tmpl w:val="5BF2CFE0"/>
    <w:lvl w:ilvl="0" w:tplc="4BB6D85C">
      <w:start w:val="1"/>
      <w:numFmt w:val="decimal"/>
      <w:pStyle w:val="Instructionsberschrift2"/>
      <w:lvlText w:val="%1.1"/>
      <w:lvlJc w:val="left"/>
      <w:pPr>
        <w:ind w:left="720" w:hanging="360"/>
      </w:pPr>
      <w:rPr>
        <w:rFonts w:hint="default"/>
      </w:rPr>
    </w:lvl>
    <w:lvl w:ilvl="1" w:tplc="E7565B6A">
      <w:start w:val="1"/>
      <w:numFmt w:val="lowerLetter"/>
      <w:lvlText w:val="%2."/>
      <w:lvlJc w:val="left"/>
      <w:pPr>
        <w:ind w:left="1440" w:hanging="360"/>
      </w:pPr>
    </w:lvl>
    <w:lvl w:ilvl="2" w:tplc="67A6A44A" w:tentative="1">
      <w:start w:val="1"/>
      <w:numFmt w:val="lowerRoman"/>
      <w:lvlText w:val="%3."/>
      <w:lvlJc w:val="right"/>
      <w:pPr>
        <w:ind w:left="2160" w:hanging="180"/>
      </w:pPr>
    </w:lvl>
    <w:lvl w:ilvl="3" w:tplc="21C6EF3C" w:tentative="1">
      <w:start w:val="1"/>
      <w:numFmt w:val="decimal"/>
      <w:lvlText w:val="%4."/>
      <w:lvlJc w:val="left"/>
      <w:pPr>
        <w:ind w:left="2880" w:hanging="360"/>
      </w:pPr>
    </w:lvl>
    <w:lvl w:ilvl="4" w:tplc="6C185750" w:tentative="1">
      <w:start w:val="1"/>
      <w:numFmt w:val="lowerLetter"/>
      <w:lvlText w:val="%5."/>
      <w:lvlJc w:val="left"/>
      <w:pPr>
        <w:ind w:left="3600" w:hanging="360"/>
      </w:pPr>
    </w:lvl>
    <w:lvl w:ilvl="5" w:tplc="FA46F0F4" w:tentative="1">
      <w:start w:val="1"/>
      <w:numFmt w:val="lowerRoman"/>
      <w:lvlText w:val="%6."/>
      <w:lvlJc w:val="right"/>
      <w:pPr>
        <w:ind w:left="4320" w:hanging="180"/>
      </w:pPr>
    </w:lvl>
    <w:lvl w:ilvl="6" w:tplc="84CCF45A" w:tentative="1">
      <w:start w:val="1"/>
      <w:numFmt w:val="decimal"/>
      <w:lvlText w:val="%7."/>
      <w:lvlJc w:val="left"/>
      <w:pPr>
        <w:ind w:left="5040" w:hanging="360"/>
      </w:pPr>
    </w:lvl>
    <w:lvl w:ilvl="7" w:tplc="E2FA2386" w:tentative="1">
      <w:start w:val="1"/>
      <w:numFmt w:val="lowerLetter"/>
      <w:lvlText w:val="%8."/>
      <w:lvlJc w:val="left"/>
      <w:pPr>
        <w:ind w:left="5760" w:hanging="360"/>
      </w:pPr>
    </w:lvl>
    <w:lvl w:ilvl="8" w:tplc="1E3AE066" w:tentative="1">
      <w:start w:val="1"/>
      <w:numFmt w:val="lowerRoman"/>
      <w:lvlText w:val="%9."/>
      <w:lvlJc w:val="right"/>
      <w:pPr>
        <w:ind w:left="6480" w:hanging="180"/>
      </w:pPr>
    </w:lvl>
  </w:abstractNum>
  <w:abstractNum w:abstractNumId="18">
    <w:nsid w:val="67C410AD"/>
    <w:multiLevelType w:val="multilevel"/>
    <w:tmpl w:val="43BA8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96F783C"/>
    <w:multiLevelType w:val="hybridMultilevel"/>
    <w:tmpl w:val="D09460B0"/>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0">
    <w:nsid w:val="79C01145"/>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1">
    <w:nsid w:val="7CE07AFA"/>
    <w:multiLevelType w:val="multilevel"/>
    <w:tmpl w:val="51F244C2"/>
    <w:lvl w:ilvl="0">
      <w:start w:val="2"/>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2"/>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7"/>
  </w:num>
  <w:num w:numId="2">
    <w:abstractNumId w:val="7"/>
  </w:num>
  <w:num w:numId="3">
    <w:abstractNumId w:val="16"/>
  </w:num>
  <w:num w:numId="4">
    <w:abstractNumId w:val="7"/>
  </w:num>
  <w:num w:numId="5">
    <w:abstractNumId w:val="7"/>
  </w:num>
  <w:num w:numId="6">
    <w:abstractNumId w:val="15"/>
  </w:num>
  <w:num w:numId="7">
    <w:abstractNumId w:val="7"/>
  </w:num>
  <w:num w:numId="8">
    <w:abstractNumId w:val="7"/>
  </w:num>
  <w:num w:numId="9">
    <w:abstractNumId w:val="19"/>
  </w:num>
  <w:num w:numId="10">
    <w:abstractNumId w:val="7"/>
  </w:num>
  <w:num w:numId="11">
    <w:abstractNumId w:val="11"/>
  </w:num>
  <w:num w:numId="12">
    <w:abstractNumId w:val="13"/>
  </w:num>
  <w:num w:numId="13">
    <w:abstractNumId w:val="17"/>
  </w:num>
  <w:num w:numId="14">
    <w:abstractNumId w:val="7"/>
  </w:num>
  <w:num w:numId="15">
    <w:abstractNumId w:val="7"/>
  </w:num>
  <w:num w:numId="16">
    <w:abstractNumId w:val="17"/>
  </w:num>
  <w:num w:numId="17">
    <w:abstractNumId w:val="7"/>
  </w:num>
  <w:num w:numId="18">
    <w:abstractNumId w:val="7"/>
  </w:num>
  <w:num w:numId="19">
    <w:abstractNumId w:val="17"/>
  </w:num>
  <w:num w:numId="20">
    <w:abstractNumId w:val="7"/>
  </w:num>
  <w:num w:numId="21">
    <w:abstractNumId w:val="17"/>
  </w:num>
  <w:num w:numId="22">
    <w:abstractNumId w:val="18"/>
  </w:num>
  <w:num w:numId="23">
    <w:abstractNumId w:val="1"/>
  </w:num>
  <w:num w:numId="24">
    <w:abstractNumId w:val="7"/>
    <w:lvlOverride w:ilvl="0">
      <w:startOverride w:val="1"/>
    </w:lvlOverride>
  </w:num>
  <w:num w:numId="25">
    <w:abstractNumId w:val="14"/>
  </w:num>
  <w:num w:numId="26">
    <w:abstractNumId w:val="2"/>
  </w:num>
  <w:num w:numId="27">
    <w:abstractNumId w:val="6"/>
  </w:num>
  <w:num w:numId="28">
    <w:abstractNumId w:val="7"/>
  </w:num>
  <w:num w:numId="29">
    <w:abstractNumId w:val="7"/>
    <w:lvlOverride w:ilvl="0">
      <w:startOverride w:val="1"/>
    </w:lvlOverride>
  </w:num>
  <w:num w:numId="30">
    <w:abstractNumId w:val="12"/>
  </w:num>
  <w:num w:numId="31">
    <w:abstractNumId w:val="21"/>
  </w:num>
  <w:num w:numId="32">
    <w:abstractNumId w:val="4"/>
  </w:num>
  <w:num w:numId="33">
    <w:abstractNumId w:val="8"/>
  </w:num>
  <w:num w:numId="34">
    <w:abstractNumId w:val="7"/>
  </w:num>
  <w:num w:numId="35">
    <w:abstractNumId w:val="3"/>
  </w:num>
  <w:num w:numId="36">
    <w:abstractNumId w:val="7"/>
  </w:num>
  <w:num w:numId="37">
    <w:abstractNumId w:val="5"/>
  </w:num>
  <w:num w:numId="38">
    <w:abstractNumId w:val="9"/>
  </w:num>
  <w:num w:numId="39">
    <w:abstractNumId w:val="20"/>
  </w:num>
  <w:num w:numId="40">
    <w:abstractNumId w:val="10"/>
  </w:num>
  <w:num w:numId="41">
    <w:abstractNumId w:val="0"/>
  </w:num>
  <w:num w:numId="42">
    <w:abstractNumId w:val="7"/>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02FE4"/>
    <w:rsid w:val="00003323"/>
    <w:rsid w:val="000038B0"/>
    <w:rsid w:val="0000533E"/>
    <w:rsid w:val="000055AF"/>
    <w:rsid w:val="00007F98"/>
    <w:rsid w:val="00010E6E"/>
    <w:rsid w:val="0001317A"/>
    <w:rsid w:val="00014140"/>
    <w:rsid w:val="000147A2"/>
    <w:rsid w:val="00017710"/>
    <w:rsid w:val="00020037"/>
    <w:rsid w:val="00020D35"/>
    <w:rsid w:val="000222A8"/>
    <w:rsid w:val="00024284"/>
    <w:rsid w:val="00025096"/>
    <w:rsid w:val="000305BD"/>
    <w:rsid w:val="00030E1A"/>
    <w:rsid w:val="000319E0"/>
    <w:rsid w:val="00032985"/>
    <w:rsid w:val="00032AC7"/>
    <w:rsid w:val="00032D38"/>
    <w:rsid w:val="0003410D"/>
    <w:rsid w:val="00036812"/>
    <w:rsid w:val="00037147"/>
    <w:rsid w:val="000420D5"/>
    <w:rsid w:val="00045FD6"/>
    <w:rsid w:val="000460CB"/>
    <w:rsid w:val="000473FA"/>
    <w:rsid w:val="000502BD"/>
    <w:rsid w:val="000502EB"/>
    <w:rsid w:val="0005030F"/>
    <w:rsid w:val="000516AE"/>
    <w:rsid w:val="000520B1"/>
    <w:rsid w:val="0005230B"/>
    <w:rsid w:val="00052C04"/>
    <w:rsid w:val="000536F6"/>
    <w:rsid w:val="0005450D"/>
    <w:rsid w:val="00054637"/>
    <w:rsid w:val="00054CDC"/>
    <w:rsid w:val="000553C2"/>
    <w:rsid w:val="0005541B"/>
    <w:rsid w:val="00055892"/>
    <w:rsid w:val="00057495"/>
    <w:rsid w:val="00060360"/>
    <w:rsid w:val="0006085A"/>
    <w:rsid w:val="00061237"/>
    <w:rsid w:val="00062247"/>
    <w:rsid w:val="000634DB"/>
    <w:rsid w:val="00063538"/>
    <w:rsid w:val="000635F8"/>
    <w:rsid w:val="00065B7A"/>
    <w:rsid w:val="000661DE"/>
    <w:rsid w:val="00067872"/>
    <w:rsid w:val="0007112B"/>
    <w:rsid w:val="0007486C"/>
    <w:rsid w:val="000761EA"/>
    <w:rsid w:val="000774F6"/>
    <w:rsid w:val="000811DC"/>
    <w:rsid w:val="00083FD8"/>
    <w:rsid w:val="000852A1"/>
    <w:rsid w:val="00085880"/>
    <w:rsid w:val="000858D4"/>
    <w:rsid w:val="00086CCB"/>
    <w:rsid w:val="00087DC0"/>
    <w:rsid w:val="000916BF"/>
    <w:rsid w:val="0009355B"/>
    <w:rsid w:val="00094799"/>
    <w:rsid w:val="000A1E8B"/>
    <w:rsid w:val="000A22EF"/>
    <w:rsid w:val="000A265B"/>
    <w:rsid w:val="000A4E47"/>
    <w:rsid w:val="000A65B1"/>
    <w:rsid w:val="000A676C"/>
    <w:rsid w:val="000B1AD8"/>
    <w:rsid w:val="000B1E42"/>
    <w:rsid w:val="000B31E2"/>
    <w:rsid w:val="000B323F"/>
    <w:rsid w:val="000B36FE"/>
    <w:rsid w:val="000B45B9"/>
    <w:rsid w:val="000B5A28"/>
    <w:rsid w:val="000B7471"/>
    <w:rsid w:val="000C0065"/>
    <w:rsid w:val="000C1613"/>
    <w:rsid w:val="000C1BA6"/>
    <w:rsid w:val="000C1E1F"/>
    <w:rsid w:val="000C2B9F"/>
    <w:rsid w:val="000C3837"/>
    <w:rsid w:val="000C44C9"/>
    <w:rsid w:val="000C46A9"/>
    <w:rsid w:val="000C72CD"/>
    <w:rsid w:val="000C7B0C"/>
    <w:rsid w:val="000D002E"/>
    <w:rsid w:val="000D04E1"/>
    <w:rsid w:val="000D4298"/>
    <w:rsid w:val="000D50C1"/>
    <w:rsid w:val="000D7457"/>
    <w:rsid w:val="000D7711"/>
    <w:rsid w:val="000E0086"/>
    <w:rsid w:val="000E0FC1"/>
    <w:rsid w:val="000E375E"/>
    <w:rsid w:val="000E3E1D"/>
    <w:rsid w:val="000E43D6"/>
    <w:rsid w:val="000E54B5"/>
    <w:rsid w:val="000E7CD0"/>
    <w:rsid w:val="000F0DF9"/>
    <w:rsid w:val="000F32F6"/>
    <w:rsid w:val="000F5579"/>
    <w:rsid w:val="000F740F"/>
    <w:rsid w:val="0010105A"/>
    <w:rsid w:val="0010175F"/>
    <w:rsid w:val="00101DBE"/>
    <w:rsid w:val="00103C2D"/>
    <w:rsid w:val="00104ECF"/>
    <w:rsid w:val="00104F31"/>
    <w:rsid w:val="00105E75"/>
    <w:rsid w:val="001105C6"/>
    <w:rsid w:val="00110E44"/>
    <w:rsid w:val="0011243F"/>
    <w:rsid w:val="001126F1"/>
    <w:rsid w:val="001128AA"/>
    <w:rsid w:val="00114DCE"/>
    <w:rsid w:val="0011685F"/>
    <w:rsid w:val="00120331"/>
    <w:rsid w:val="00123582"/>
    <w:rsid w:val="001253FE"/>
    <w:rsid w:val="00127122"/>
    <w:rsid w:val="0013073C"/>
    <w:rsid w:val="001359BB"/>
    <w:rsid w:val="00136431"/>
    <w:rsid w:val="00136550"/>
    <w:rsid w:val="00140831"/>
    <w:rsid w:val="00140ABC"/>
    <w:rsid w:val="001410FF"/>
    <w:rsid w:val="00142225"/>
    <w:rsid w:val="00143022"/>
    <w:rsid w:val="00143B75"/>
    <w:rsid w:val="00145317"/>
    <w:rsid w:val="001456E6"/>
    <w:rsid w:val="00147C46"/>
    <w:rsid w:val="00147F95"/>
    <w:rsid w:val="001507A4"/>
    <w:rsid w:val="001526C6"/>
    <w:rsid w:val="00152A18"/>
    <w:rsid w:val="0015307E"/>
    <w:rsid w:val="00153E41"/>
    <w:rsid w:val="00155567"/>
    <w:rsid w:val="00155E96"/>
    <w:rsid w:val="00161BDD"/>
    <w:rsid w:val="001625B0"/>
    <w:rsid w:val="00165C19"/>
    <w:rsid w:val="001660A1"/>
    <w:rsid w:val="00166193"/>
    <w:rsid w:val="00166BAD"/>
    <w:rsid w:val="0017040C"/>
    <w:rsid w:val="00170712"/>
    <w:rsid w:val="00174660"/>
    <w:rsid w:val="00174D74"/>
    <w:rsid w:val="0017510B"/>
    <w:rsid w:val="00187112"/>
    <w:rsid w:val="00191CE8"/>
    <w:rsid w:val="001922E6"/>
    <w:rsid w:val="001924A9"/>
    <w:rsid w:val="001925FB"/>
    <w:rsid w:val="001934CA"/>
    <w:rsid w:val="001959EA"/>
    <w:rsid w:val="00195D88"/>
    <w:rsid w:val="00197358"/>
    <w:rsid w:val="00197458"/>
    <w:rsid w:val="00197B73"/>
    <w:rsid w:val="00197EDB"/>
    <w:rsid w:val="001A1D46"/>
    <w:rsid w:val="001A2A5D"/>
    <w:rsid w:val="001A331C"/>
    <w:rsid w:val="001A5E1F"/>
    <w:rsid w:val="001B05A8"/>
    <w:rsid w:val="001B0E00"/>
    <w:rsid w:val="001B391C"/>
    <w:rsid w:val="001B5CC0"/>
    <w:rsid w:val="001B609D"/>
    <w:rsid w:val="001C32BB"/>
    <w:rsid w:val="001C3ABE"/>
    <w:rsid w:val="001C4004"/>
    <w:rsid w:val="001C4296"/>
    <w:rsid w:val="001C44AD"/>
    <w:rsid w:val="001C50E6"/>
    <w:rsid w:val="001C5C97"/>
    <w:rsid w:val="001D2383"/>
    <w:rsid w:val="001D4F56"/>
    <w:rsid w:val="001D7651"/>
    <w:rsid w:val="001E0127"/>
    <w:rsid w:val="001E0B50"/>
    <w:rsid w:val="001E26C9"/>
    <w:rsid w:val="001E377E"/>
    <w:rsid w:val="001E4031"/>
    <w:rsid w:val="001E4878"/>
    <w:rsid w:val="001E4D8E"/>
    <w:rsid w:val="001E4EA9"/>
    <w:rsid w:val="001F03D5"/>
    <w:rsid w:val="001F06E6"/>
    <w:rsid w:val="001F0920"/>
    <w:rsid w:val="001F0985"/>
    <w:rsid w:val="001F21BE"/>
    <w:rsid w:val="001F222A"/>
    <w:rsid w:val="001F2559"/>
    <w:rsid w:val="001F3791"/>
    <w:rsid w:val="001F38B6"/>
    <w:rsid w:val="001F3C44"/>
    <w:rsid w:val="001F41F9"/>
    <w:rsid w:val="001F54B3"/>
    <w:rsid w:val="001F552A"/>
    <w:rsid w:val="001F5BAD"/>
    <w:rsid w:val="001F7680"/>
    <w:rsid w:val="001F7864"/>
    <w:rsid w:val="001F7E2C"/>
    <w:rsid w:val="002039F8"/>
    <w:rsid w:val="00203DDF"/>
    <w:rsid w:val="00204D9A"/>
    <w:rsid w:val="00206F9E"/>
    <w:rsid w:val="0021066C"/>
    <w:rsid w:val="002108D8"/>
    <w:rsid w:val="00210E4D"/>
    <w:rsid w:val="00211504"/>
    <w:rsid w:val="00211F7A"/>
    <w:rsid w:val="00212FCC"/>
    <w:rsid w:val="00214011"/>
    <w:rsid w:val="00217076"/>
    <w:rsid w:val="00217556"/>
    <w:rsid w:val="00220736"/>
    <w:rsid w:val="00220CBD"/>
    <w:rsid w:val="002219D9"/>
    <w:rsid w:val="0022499B"/>
    <w:rsid w:val="00224C95"/>
    <w:rsid w:val="0023008B"/>
    <w:rsid w:val="002301D6"/>
    <w:rsid w:val="002309CD"/>
    <w:rsid w:val="00231B08"/>
    <w:rsid w:val="002352E7"/>
    <w:rsid w:val="00235ED5"/>
    <w:rsid w:val="00237261"/>
    <w:rsid w:val="002378C6"/>
    <w:rsid w:val="002403E3"/>
    <w:rsid w:val="00243B7F"/>
    <w:rsid w:val="002453B7"/>
    <w:rsid w:val="00245824"/>
    <w:rsid w:val="00245F6F"/>
    <w:rsid w:val="00246D52"/>
    <w:rsid w:val="00247235"/>
    <w:rsid w:val="002505E8"/>
    <w:rsid w:val="00250C47"/>
    <w:rsid w:val="00251381"/>
    <w:rsid w:val="00253273"/>
    <w:rsid w:val="002538F2"/>
    <w:rsid w:val="0025496A"/>
    <w:rsid w:val="00257904"/>
    <w:rsid w:val="00257EFA"/>
    <w:rsid w:val="0026098F"/>
    <w:rsid w:val="00261C3A"/>
    <w:rsid w:val="0026228C"/>
    <w:rsid w:val="0026410D"/>
    <w:rsid w:val="00264535"/>
    <w:rsid w:val="0026486E"/>
    <w:rsid w:val="0026487A"/>
    <w:rsid w:val="00265A6B"/>
    <w:rsid w:val="00265D0F"/>
    <w:rsid w:val="00270D39"/>
    <w:rsid w:val="00273B9D"/>
    <w:rsid w:val="00274246"/>
    <w:rsid w:val="00274A2D"/>
    <w:rsid w:val="00274FC9"/>
    <w:rsid w:val="002779FD"/>
    <w:rsid w:val="002813A2"/>
    <w:rsid w:val="00282604"/>
    <w:rsid w:val="00284510"/>
    <w:rsid w:val="00286398"/>
    <w:rsid w:val="002873EA"/>
    <w:rsid w:val="00290092"/>
    <w:rsid w:val="0029091E"/>
    <w:rsid w:val="002914DD"/>
    <w:rsid w:val="00291A5F"/>
    <w:rsid w:val="00292D74"/>
    <w:rsid w:val="0029373D"/>
    <w:rsid w:val="0029404F"/>
    <w:rsid w:val="00295731"/>
    <w:rsid w:val="002957A1"/>
    <w:rsid w:val="002959B8"/>
    <w:rsid w:val="00295C96"/>
    <w:rsid w:val="00296254"/>
    <w:rsid w:val="002963F5"/>
    <w:rsid w:val="0029689C"/>
    <w:rsid w:val="002A0287"/>
    <w:rsid w:val="002A0515"/>
    <w:rsid w:val="002A08C1"/>
    <w:rsid w:val="002A1620"/>
    <w:rsid w:val="002A2091"/>
    <w:rsid w:val="002A24DB"/>
    <w:rsid w:val="002A4E71"/>
    <w:rsid w:val="002A575B"/>
    <w:rsid w:val="002A71AB"/>
    <w:rsid w:val="002B09BC"/>
    <w:rsid w:val="002B19FD"/>
    <w:rsid w:val="002B1FDF"/>
    <w:rsid w:val="002B27BD"/>
    <w:rsid w:val="002B3370"/>
    <w:rsid w:val="002B33E6"/>
    <w:rsid w:val="002B4524"/>
    <w:rsid w:val="002B61DE"/>
    <w:rsid w:val="002B6C9B"/>
    <w:rsid w:val="002C0F1F"/>
    <w:rsid w:val="002C1513"/>
    <w:rsid w:val="002C60EE"/>
    <w:rsid w:val="002C67AA"/>
    <w:rsid w:val="002C72B4"/>
    <w:rsid w:val="002D1564"/>
    <w:rsid w:val="002D2625"/>
    <w:rsid w:val="002D4EAD"/>
    <w:rsid w:val="002D6FC1"/>
    <w:rsid w:val="002D74BE"/>
    <w:rsid w:val="002D7DBC"/>
    <w:rsid w:val="002E0FBD"/>
    <w:rsid w:val="002E1D10"/>
    <w:rsid w:val="002E226D"/>
    <w:rsid w:val="002E4EDF"/>
    <w:rsid w:val="002E526C"/>
    <w:rsid w:val="002E6647"/>
    <w:rsid w:val="002E7093"/>
    <w:rsid w:val="002F100F"/>
    <w:rsid w:val="002F2006"/>
    <w:rsid w:val="002F3F30"/>
    <w:rsid w:val="002F40B2"/>
    <w:rsid w:val="002F461A"/>
    <w:rsid w:val="002F49D9"/>
    <w:rsid w:val="002F54A6"/>
    <w:rsid w:val="002F6343"/>
    <w:rsid w:val="00301B66"/>
    <w:rsid w:val="003040AA"/>
    <w:rsid w:val="00305838"/>
    <w:rsid w:val="003062E2"/>
    <w:rsid w:val="0031067C"/>
    <w:rsid w:val="00315C5E"/>
    <w:rsid w:val="00316707"/>
    <w:rsid w:val="00316817"/>
    <w:rsid w:val="00320184"/>
    <w:rsid w:val="00322AD6"/>
    <w:rsid w:val="0032336B"/>
    <w:rsid w:val="003237B6"/>
    <w:rsid w:val="00325272"/>
    <w:rsid w:val="00325C2E"/>
    <w:rsid w:val="00327A13"/>
    <w:rsid w:val="00330661"/>
    <w:rsid w:val="00331259"/>
    <w:rsid w:val="003322E1"/>
    <w:rsid w:val="0033279C"/>
    <w:rsid w:val="00332BEB"/>
    <w:rsid w:val="00332D04"/>
    <w:rsid w:val="003344EC"/>
    <w:rsid w:val="00335698"/>
    <w:rsid w:val="003400BD"/>
    <w:rsid w:val="00340D40"/>
    <w:rsid w:val="003411FB"/>
    <w:rsid w:val="00342A05"/>
    <w:rsid w:val="00342A27"/>
    <w:rsid w:val="00345BBF"/>
    <w:rsid w:val="00346A24"/>
    <w:rsid w:val="00347094"/>
    <w:rsid w:val="00347456"/>
    <w:rsid w:val="0035186E"/>
    <w:rsid w:val="0035467B"/>
    <w:rsid w:val="0035579B"/>
    <w:rsid w:val="003618AD"/>
    <w:rsid w:val="00365819"/>
    <w:rsid w:val="00365D67"/>
    <w:rsid w:val="003664D2"/>
    <w:rsid w:val="00367F87"/>
    <w:rsid w:val="00370CE1"/>
    <w:rsid w:val="003719B4"/>
    <w:rsid w:val="00372157"/>
    <w:rsid w:val="003727B9"/>
    <w:rsid w:val="00373296"/>
    <w:rsid w:val="003737D3"/>
    <w:rsid w:val="003748A7"/>
    <w:rsid w:val="00375F1B"/>
    <w:rsid w:val="00376755"/>
    <w:rsid w:val="003821DB"/>
    <w:rsid w:val="0038298F"/>
    <w:rsid w:val="00382D94"/>
    <w:rsid w:val="00382E57"/>
    <w:rsid w:val="00387314"/>
    <w:rsid w:val="00387DE5"/>
    <w:rsid w:val="00390C02"/>
    <w:rsid w:val="003920BB"/>
    <w:rsid w:val="00392C32"/>
    <w:rsid w:val="003A05E1"/>
    <w:rsid w:val="003A07A5"/>
    <w:rsid w:val="003A45A0"/>
    <w:rsid w:val="003A4AA3"/>
    <w:rsid w:val="003A65ED"/>
    <w:rsid w:val="003A77C4"/>
    <w:rsid w:val="003B0648"/>
    <w:rsid w:val="003B2DAA"/>
    <w:rsid w:val="003B36FA"/>
    <w:rsid w:val="003B492B"/>
    <w:rsid w:val="003B5554"/>
    <w:rsid w:val="003B5902"/>
    <w:rsid w:val="003B5E4E"/>
    <w:rsid w:val="003B6711"/>
    <w:rsid w:val="003B7D4B"/>
    <w:rsid w:val="003B7F4E"/>
    <w:rsid w:val="003C0FCA"/>
    <w:rsid w:val="003C23AF"/>
    <w:rsid w:val="003C34BD"/>
    <w:rsid w:val="003C3C98"/>
    <w:rsid w:val="003C4B9E"/>
    <w:rsid w:val="003C52C9"/>
    <w:rsid w:val="003C6A18"/>
    <w:rsid w:val="003C7C25"/>
    <w:rsid w:val="003D460D"/>
    <w:rsid w:val="003D4BDF"/>
    <w:rsid w:val="003D627C"/>
    <w:rsid w:val="003D6B9C"/>
    <w:rsid w:val="003D6CCA"/>
    <w:rsid w:val="003D7052"/>
    <w:rsid w:val="003E0FD8"/>
    <w:rsid w:val="003E2353"/>
    <w:rsid w:val="003E309A"/>
    <w:rsid w:val="003E4359"/>
    <w:rsid w:val="003E7307"/>
    <w:rsid w:val="003E76E9"/>
    <w:rsid w:val="003E7985"/>
    <w:rsid w:val="003F1434"/>
    <w:rsid w:val="003F176E"/>
    <w:rsid w:val="003F37A5"/>
    <w:rsid w:val="003F5389"/>
    <w:rsid w:val="00401AE9"/>
    <w:rsid w:val="00402A02"/>
    <w:rsid w:val="00402D60"/>
    <w:rsid w:val="004036B6"/>
    <w:rsid w:val="00403A80"/>
    <w:rsid w:val="0040604D"/>
    <w:rsid w:val="00406560"/>
    <w:rsid w:val="004066B9"/>
    <w:rsid w:val="004115FF"/>
    <w:rsid w:val="004127AC"/>
    <w:rsid w:val="00412B2C"/>
    <w:rsid w:val="00416408"/>
    <w:rsid w:val="004174D0"/>
    <w:rsid w:val="00422366"/>
    <w:rsid w:val="004225B8"/>
    <w:rsid w:val="00423C2C"/>
    <w:rsid w:val="00424695"/>
    <w:rsid w:val="004249E7"/>
    <w:rsid w:val="00425C97"/>
    <w:rsid w:val="00426411"/>
    <w:rsid w:val="00427114"/>
    <w:rsid w:val="00430772"/>
    <w:rsid w:val="00431FDC"/>
    <w:rsid w:val="00432104"/>
    <w:rsid w:val="0043404E"/>
    <w:rsid w:val="00436A29"/>
    <w:rsid w:val="0043770A"/>
    <w:rsid w:val="00437C92"/>
    <w:rsid w:val="00440C15"/>
    <w:rsid w:val="00441676"/>
    <w:rsid w:val="00442C44"/>
    <w:rsid w:val="004438F6"/>
    <w:rsid w:val="00443C8F"/>
    <w:rsid w:val="00444F57"/>
    <w:rsid w:val="00450530"/>
    <w:rsid w:val="00453058"/>
    <w:rsid w:val="00455269"/>
    <w:rsid w:val="00455BBB"/>
    <w:rsid w:val="00456C57"/>
    <w:rsid w:val="00464465"/>
    <w:rsid w:val="00465663"/>
    <w:rsid w:val="004679FE"/>
    <w:rsid w:val="00471A02"/>
    <w:rsid w:val="00471D03"/>
    <w:rsid w:val="0047207F"/>
    <w:rsid w:val="00472557"/>
    <w:rsid w:val="004748D6"/>
    <w:rsid w:val="00474E51"/>
    <w:rsid w:val="00477625"/>
    <w:rsid w:val="0048110A"/>
    <w:rsid w:val="00481635"/>
    <w:rsid w:val="00481671"/>
    <w:rsid w:val="0048225A"/>
    <w:rsid w:val="004842A4"/>
    <w:rsid w:val="00484814"/>
    <w:rsid w:val="00485FC0"/>
    <w:rsid w:val="004877AD"/>
    <w:rsid w:val="00491360"/>
    <w:rsid w:val="00492D45"/>
    <w:rsid w:val="00493BAC"/>
    <w:rsid w:val="0049459E"/>
    <w:rsid w:val="00495988"/>
    <w:rsid w:val="004959F9"/>
    <w:rsid w:val="004971FB"/>
    <w:rsid w:val="004A0067"/>
    <w:rsid w:val="004A0AFD"/>
    <w:rsid w:val="004A1949"/>
    <w:rsid w:val="004A1C3C"/>
    <w:rsid w:val="004A2C03"/>
    <w:rsid w:val="004A3251"/>
    <w:rsid w:val="004A4943"/>
    <w:rsid w:val="004A7225"/>
    <w:rsid w:val="004B0991"/>
    <w:rsid w:val="004B179E"/>
    <w:rsid w:val="004B4452"/>
    <w:rsid w:val="004B4EEB"/>
    <w:rsid w:val="004B52C5"/>
    <w:rsid w:val="004C0310"/>
    <w:rsid w:val="004C03B1"/>
    <w:rsid w:val="004C03B6"/>
    <w:rsid w:val="004C067F"/>
    <w:rsid w:val="004C0945"/>
    <w:rsid w:val="004C12AE"/>
    <w:rsid w:val="004C2CB2"/>
    <w:rsid w:val="004C3A64"/>
    <w:rsid w:val="004C3B19"/>
    <w:rsid w:val="004C4793"/>
    <w:rsid w:val="004C4F3B"/>
    <w:rsid w:val="004C6B4F"/>
    <w:rsid w:val="004C6E56"/>
    <w:rsid w:val="004C7903"/>
    <w:rsid w:val="004C7F74"/>
    <w:rsid w:val="004D0658"/>
    <w:rsid w:val="004D0CA9"/>
    <w:rsid w:val="004D16B9"/>
    <w:rsid w:val="004D33CA"/>
    <w:rsid w:val="004D3581"/>
    <w:rsid w:val="004D3A78"/>
    <w:rsid w:val="004D3A98"/>
    <w:rsid w:val="004D4A7D"/>
    <w:rsid w:val="004E0009"/>
    <w:rsid w:val="004E0828"/>
    <w:rsid w:val="004E25C9"/>
    <w:rsid w:val="004E3FE3"/>
    <w:rsid w:val="004E6B4F"/>
    <w:rsid w:val="004E78DB"/>
    <w:rsid w:val="004E7F70"/>
    <w:rsid w:val="004F058B"/>
    <w:rsid w:val="004F1F32"/>
    <w:rsid w:val="004F1FAB"/>
    <w:rsid w:val="004F431A"/>
    <w:rsid w:val="004F50F4"/>
    <w:rsid w:val="004F638B"/>
    <w:rsid w:val="004F6C3F"/>
    <w:rsid w:val="004F7535"/>
    <w:rsid w:val="004F79D1"/>
    <w:rsid w:val="00500809"/>
    <w:rsid w:val="0050144D"/>
    <w:rsid w:val="0050358E"/>
    <w:rsid w:val="005048E9"/>
    <w:rsid w:val="005065EE"/>
    <w:rsid w:val="005068A3"/>
    <w:rsid w:val="00506C3F"/>
    <w:rsid w:val="00507349"/>
    <w:rsid w:val="00507470"/>
    <w:rsid w:val="0051041F"/>
    <w:rsid w:val="0051314B"/>
    <w:rsid w:val="00514EBB"/>
    <w:rsid w:val="0051512B"/>
    <w:rsid w:val="005153DA"/>
    <w:rsid w:val="00515597"/>
    <w:rsid w:val="00516D1A"/>
    <w:rsid w:val="00520A83"/>
    <w:rsid w:val="005222CE"/>
    <w:rsid w:val="005243AD"/>
    <w:rsid w:val="005244BB"/>
    <w:rsid w:val="005266EF"/>
    <w:rsid w:val="00526AF7"/>
    <w:rsid w:val="005277AA"/>
    <w:rsid w:val="005304E1"/>
    <w:rsid w:val="00530802"/>
    <w:rsid w:val="005315D2"/>
    <w:rsid w:val="005332F1"/>
    <w:rsid w:val="00534A69"/>
    <w:rsid w:val="00537CF7"/>
    <w:rsid w:val="00540C96"/>
    <w:rsid w:val="00542112"/>
    <w:rsid w:val="00544476"/>
    <w:rsid w:val="00544A62"/>
    <w:rsid w:val="00545558"/>
    <w:rsid w:val="0054702C"/>
    <w:rsid w:val="00551909"/>
    <w:rsid w:val="00551FB4"/>
    <w:rsid w:val="005537CE"/>
    <w:rsid w:val="00553EAE"/>
    <w:rsid w:val="00554F20"/>
    <w:rsid w:val="00556E35"/>
    <w:rsid w:val="005608A0"/>
    <w:rsid w:val="00560CC4"/>
    <w:rsid w:val="00561902"/>
    <w:rsid w:val="00561E62"/>
    <w:rsid w:val="00562455"/>
    <w:rsid w:val="00562468"/>
    <w:rsid w:val="0056474F"/>
    <w:rsid w:val="00564FAC"/>
    <w:rsid w:val="00570C54"/>
    <w:rsid w:val="00571315"/>
    <w:rsid w:val="00572E18"/>
    <w:rsid w:val="00575061"/>
    <w:rsid w:val="0057741E"/>
    <w:rsid w:val="005815BE"/>
    <w:rsid w:val="0058293E"/>
    <w:rsid w:val="005830CB"/>
    <w:rsid w:val="00584E64"/>
    <w:rsid w:val="00590747"/>
    <w:rsid w:val="005914BC"/>
    <w:rsid w:val="0059182F"/>
    <w:rsid w:val="00592110"/>
    <w:rsid w:val="00592B97"/>
    <w:rsid w:val="00594112"/>
    <w:rsid w:val="00595525"/>
    <w:rsid w:val="005966B1"/>
    <w:rsid w:val="00597669"/>
    <w:rsid w:val="005A3FC3"/>
    <w:rsid w:val="005A4733"/>
    <w:rsid w:val="005A7661"/>
    <w:rsid w:val="005A771B"/>
    <w:rsid w:val="005A7EC0"/>
    <w:rsid w:val="005B0C3C"/>
    <w:rsid w:val="005B11DA"/>
    <w:rsid w:val="005B3B47"/>
    <w:rsid w:val="005B3B62"/>
    <w:rsid w:val="005B45A3"/>
    <w:rsid w:val="005B47BD"/>
    <w:rsid w:val="005B58D2"/>
    <w:rsid w:val="005B6948"/>
    <w:rsid w:val="005B6F53"/>
    <w:rsid w:val="005C2204"/>
    <w:rsid w:val="005C409E"/>
    <w:rsid w:val="005C5936"/>
    <w:rsid w:val="005D10E3"/>
    <w:rsid w:val="005D18D4"/>
    <w:rsid w:val="005D1C45"/>
    <w:rsid w:val="005D249C"/>
    <w:rsid w:val="005D292A"/>
    <w:rsid w:val="005D32F6"/>
    <w:rsid w:val="005D330A"/>
    <w:rsid w:val="005D3867"/>
    <w:rsid w:val="005D5D43"/>
    <w:rsid w:val="005D6BA8"/>
    <w:rsid w:val="005D7857"/>
    <w:rsid w:val="005D7879"/>
    <w:rsid w:val="005E0149"/>
    <w:rsid w:val="005E075E"/>
    <w:rsid w:val="005E3727"/>
    <w:rsid w:val="005E4BDA"/>
    <w:rsid w:val="005E6140"/>
    <w:rsid w:val="005E6B42"/>
    <w:rsid w:val="005E7F28"/>
    <w:rsid w:val="005F002F"/>
    <w:rsid w:val="005F2433"/>
    <w:rsid w:val="005F3A4B"/>
    <w:rsid w:val="005F4027"/>
    <w:rsid w:val="005F4234"/>
    <w:rsid w:val="005F63A9"/>
    <w:rsid w:val="006007F2"/>
    <w:rsid w:val="00600B36"/>
    <w:rsid w:val="00600E5A"/>
    <w:rsid w:val="00601D67"/>
    <w:rsid w:val="00603A99"/>
    <w:rsid w:val="00610546"/>
    <w:rsid w:val="00610AA4"/>
    <w:rsid w:val="0061365F"/>
    <w:rsid w:val="00613F86"/>
    <w:rsid w:val="00613FC0"/>
    <w:rsid w:val="0061442A"/>
    <w:rsid w:val="006165DA"/>
    <w:rsid w:val="00616BFA"/>
    <w:rsid w:val="00616D44"/>
    <w:rsid w:val="0062073A"/>
    <w:rsid w:val="006242E9"/>
    <w:rsid w:val="0062477C"/>
    <w:rsid w:val="00625032"/>
    <w:rsid w:val="00625143"/>
    <w:rsid w:val="00632E46"/>
    <w:rsid w:val="006354DF"/>
    <w:rsid w:val="006359EA"/>
    <w:rsid w:val="00635A22"/>
    <w:rsid w:val="00635DC7"/>
    <w:rsid w:val="00637E2E"/>
    <w:rsid w:val="00637F1C"/>
    <w:rsid w:val="00640611"/>
    <w:rsid w:val="00640F43"/>
    <w:rsid w:val="00641DBF"/>
    <w:rsid w:val="0064308D"/>
    <w:rsid w:val="006439CE"/>
    <w:rsid w:val="00643C9B"/>
    <w:rsid w:val="006463B5"/>
    <w:rsid w:val="006469D2"/>
    <w:rsid w:val="00646C49"/>
    <w:rsid w:val="006470A0"/>
    <w:rsid w:val="00651007"/>
    <w:rsid w:val="00652D30"/>
    <w:rsid w:val="006537F7"/>
    <w:rsid w:val="00653D4E"/>
    <w:rsid w:val="00655ED9"/>
    <w:rsid w:val="00655F28"/>
    <w:rsid w:val="0065656C"/>
    <w:rsid w:val="00656C18"/>
    <w:rsid w:val="00662B92"/>
    <w:rsid w:val="00663A34"/>
    <w:rsid w:val="006644C7"/>
    <w:rsid w:val="00665B17"/>
    <w:rsid w:val="00667FEE"/>
    <w:rsid w:val="006708BC"/>
    <w:rsid w:val="00671C24"/>
    <w:rsid w:val="00671EF3"/>
    <w:rsid w:val="00672329"/>
    <w:rsid w:val="00672684"/>
    <w:rsid w:val="006761DC"/>
    <w:rsid w:val="00680437"/>
    <w:rsid w:val="00680CBC"/>
    <w:rsid w:val="00681960"/>
    <w:rsid w:val="00683EF0"/>
    <w:rsid w:val="00686B41"/>
    <w:rsid w:val="0069188C"/>
    <w:rsid w:val="00694087"/>
    <w:rsid w:val="006942B2"/>
    <w:rsid w:val="00695799"/>
    <w:rsid w:val="006958CF"/>
    <w:rsid w:val="00695BDE"/>
    <w:rsid w:val="006A01B6"/>
    <w:rsid w:val="006A12B8"/>
    <w:rsid w:val="006A1825"/>
    <w:rsid w:val="006A32C7"/>
    <w:rsid w:val="006A558C"/>
    <w:rsid w:val="006A58E0"/>
    <w:rsid w:val="006B283D"/>
    <w:rsid w:val="006B33B8"/>
    <w:rsid w:val="006B46EF"/>
    <w:rsid w:val="006B5845"/>
    <w:rsid w:val="006B613C"/>
    <w:rsid w:val="006B6618"/>
    <w:rsid w:val="006C09A9"/>
    <w:rsid w:val="006C0E1F"/>
    <w:rsid w:val="006C24B8"/>
    <w:rsid w:val="006C3576"/>
    <w:rsid w:val="006C35E3"/>
    <w:rsid w:val="006C486B"/>
    <w:rsid w:val="006C4D88"/>
    <w:rsid w:val="006C5E41"/>
    <w:rsid w:val="006D00AA"/>
    <w:rsid w:val="006D290D"/>
    <w:rsid w:val="006D4AFE"/>
    <w:rsid w:val="006D56BA"/>
    <w:rsid w:val="006D59CC"/>
    <w:rsid w:val="006D7758"/>
    <w:rsid w:val="006D795C"/>
    <w:rsid w:val="006E1330"/>
    <w:rsid w:val="006E2C26"/>
    <w:rsid w:val="006E3500"/>
    <w:rsid w:val="006F11B5"/>
    <w:rsid w:val="006F131D"/>
    <w:rsid w:val="006F275E"/>
    <w:rsid w:val="006F434B"/>
    <w:rsid w:val="006F6E92"/>
    <w:rsid w:val="006F725A"/>
    <w:rsid w:val="00700BD5"/>
    <w:rsid w:val="00702966"/>
    <w:rsid w:val="00702D78"/>
    <w:rsid w:val="00703413"/>
    <w:rsid w:val="0070579B"/>
    <w:rsid w:val="0070591E"/>
    <w:rsid w:val="00705F68"/>
    <w:rsid w:val="007074DB"/>
    <w:rsid w:val="00712B12"/>
    <w:rsid w:val="00712B67"/>
    <w:rsid w:val="00717B11"/>
    <w:rsid w:val="00720169"/>
    <w:rsid w:val="00722702"/>
    <w:rsid w:val="00723CA3"/>
    <w:rsid w:val="00724BAE"/>
    <w:rsid w:val="0072666C"/>
    <w:rsid w:val="0073004F"/>
    <w:rsid w:val="00730DBF"/>
    <w:rsid w:val="00731C06"/>
    <w:rsid w:val="007354FB"/>
    <w:rsid w:val="007359FE"/>
    <w:rsid w:val="007362B2"/>
    <w:rsid w:val="007368C1"/>
    <w:rsid w:val="00736DCB"/>
    <w:rsid w:val="0074239A"/>
    <w:rsid w:val="00743492"/>
    <w:rsid w:val="0074360F"/>
    <w:rsid w:val="00743F7E"/>
    <w:rsid w:val="007449E8"/>
    <w:rsid w:val="007470C6"/>
    <w:rsid w:val="00750DD3"/>
    <w:rsid w:val="00751DC2"/>
    <w:rsid w:val="00751E46"/>
    <w:rsid w:val="0075293E"/>
    <w:rsid w:val="007558B8"/>
    <w:rsid w:val="00757056"/>
    <w:rsid w:val="0075769C"/>
    <w:rsid w:val="00761DED"/>
    <w:rsid w:val="00762190"/>
    <w:rsid w:val="00764290"/>
    <w:rsid w:val="00764D7E"/>
    <w:rsid w:val="00767868"/>
    <w:rsid w:val="0077052A"/>
    <w:rsid w:val="00772E63"/>
    <w:rsid w:val="0077329F"/>
    <w:rsid w:val="0077591B"/>
    <w:rsid w:val="007764E5"/>
    <w:rsid w:val="0077793E"/>
    <w:rsid w:val="00780731"/>
    <w:rsid w:val="00780D66"/>
    <w:rsid w:val="00781A57"/>
    <w:rsid w:val="007823C2"/>
    <w:rsid w:val="00783775"/>
    <w:rsid w:val="00786055"/>
    <w:rsid w:val="00786634"/>
    <w:rsid w:val="00787538"/>
    <w:rsid w:val="00787967"/>
    <w:rsid w:val="007902ED"/>
    <w:rsid w:val="00791156"/>
    <w:rsid w:val="00791251"/>
    <w:rsid w:val="00792387"/>
    <w:rsid w:val="007926BB"/>
    <w:rsid w:val="00793D38"/>
    <w:rsid w:val="00793D61"/>
    <w:rsid w:val="00793DB9"/>
    <w:rsid w:val="00793F9D"/>
    <w:rsid w:val="007959A4"/>
    <w:rsid w:val="00795C34"/>
    <w:rsid w:val="007974FD"/>
    <w:rsid w:val="007A34AA"/>
    <w:rsid w:val="007A3F5F"/>
    <w:rsid w:val="007A5BD8"/>
    <w:rsid w:val="007A5E1D"/>
    <w:rsid w:val="007A6A70"/>
    <w:rsid w:val="007A72DC"/>
    <w:rsid w:val="007B18A5"/>
    <w:rsid w:val="007B2BBD"/>
    <w:rsid w:val="007B3403"/>
    <w:rsid w:val="007B4269"/>
    <w:rsid w:val="007B5A2D"/>
    <w:rsid w:val="007B76FE"/>
    <w:rsid w:val="007B7F2C"/>
    <w:rsid w:val="007C0BEB"/>
    <w:rsid w:val="007C1380"/>
    <w:rsid w:val="007C29FB"/>
    <w:rsid w:val="007C2CF7"/>
    <w:rsid w:val="007C30BA"/>
    <w:rsid w:val="007C3A15"/>
    <w:rsid w:val="007C43CE"/>
    <w:rsid w:val="007D087E"/>
    <w:rsid w:val="007D3E81"/>
    <w:rsid w:val="007D4A44"/>
    <w:rsid w:val="007D4ACE"/>
    <w:rsid w:val="007D6378"/>
    <w:rsid w:val="007D69E0"/>
    <w:rsid w:val="007E028C"/>
    <w:rsid w:val="007E0394"/>
    <w:rsid w:val="007E1CCC"/>
    <w:rsid w:val="007E2BEF"/>
    <w:rsid w:val="007E4405"/>
    <w:rsid w:val="007E4564"/>
    <w:rsid w:val="007E6E38"/>
    <w:rsid w:val="007E7CD1"/>
    <w:rsid w:val="007F0519"/>
    <w:rsid w:val="007F0565"/>
    <w:rsid w:val="007F0CA1"/>
    <w:rsid w:val="007F0D42"/>
    <w:rsid w:val="007F1786"/>
    <w:rsid w:val="007F1EB7"/>
    <w:rsid w:val="007F2A5B"/>
    <w:rsid w:val="007F3253"/>
    <w:rsid w:val="007F6A1C"/>
    <w:rsid w:val="007F6D97"/>
    <w:rsid w:val="0080118E"/>
    <w:rsid w:val="00801459"/>
    <w:rsid w:val="00801610"/>
    <w:rsid w:val="00801C2E"/>
    <w:rsid w:val="00801E14"/>
    <w:rsid w:val="00801EC5"/>
    <w:rsid w:val="00802010"/>
    <w:rsid w:val="00802152"/>
    <w:rsid w:val="00804914"/>
    <w:rsid w:val="0081105A"/>
    <w:rsid w:val="00813966"/>
    <w:rsid w:val="008159B0"/>
    <w:rsid w:val="00817959"/>
    <w:rsid w:val="00817AF6"/>
    <w:rsid w:val="00822C02"/>
    <w:rsid w:val="00823837"/>
    <w:rsid w:val="0082447C"/>
    <w:rsid w:val="00824565"/>
    <w:rsid w:val="008263F9"/>
    <w:rsid w:val="0082643B"/>
    <w:rsid w:val="00830F16"/>
    <w:rsid w:val="00831D3E"/>
    <w:rsid w:val="008326BA"/>
    <w:rsid w:val="008334B3"/>
    <w:rsid w:val="0083376D"/>
    <w:rsid w:val="00835E1D"/>
    <w:rsid w:val="00837942"/>
    <w:rsid w:val="00840052"/>
    <w:rsid w:val="0084065D"/>
    <w:rsid w:val="008428D3"/>
    <w:rsid w:val="00843890"/>
    <w:rsid w:val="00844416"/>
    <w:rsid w:val="008450E8"/>
    <w:rsid w:val="00845767"/>
    <w:rsid w:val="008460B2"/>
    <w:rsid w:val="00846CE5"/>
    <w:rsid w:val="00847710"/>
    <w:rsid w:val="00847872"/>
    <w:rsid w:val="00852469"/>
    <w:rsid w:val="00853590"/>
    <w:rsid w:val="0085529D"/>
    <w:rsid w:val="008553D2"/>
    <w:rsid w:val="0085617B"/>
    <w:rsid w:val="008579F1"/>
    <w:rsid w:val="00860E58"/>
    <w:rsid w:val="00861C38"/>
    <w:rsid w:val="00862642"/>
    <w:rsid w:val="00862BED"/>
    <w:rsid w:val="00865AC1"/>
    <w:rsid w:val="00870EC4"/>
    <w:rsid w:val="0087243A"/>
    <w:rsid w:val="00873BBE"/>
    <w:rsid w:val="00875E14"/>
    <w:rsid w:val="00880B55"/>
    <w:rsid w:val="00882AB3"/>
    <w:rsid w:val="00884612"/>
    <w:rsid w:val="008846C2"/>
    <w:rsid w:val="00885125"/>
    <w:rsid w:val="0088754E"/>
    <w:rsid w:val="00887ECC"/>
    <w:rsid w:val="008901AF"/>
    <w:rsid w:val="00893902"/>
    <w:rsid w:val="00893BB6"/>
    <w:rsid w:val="0089454F"/>
    <w:rsid w:val="0089516E"/>
    <w:rsid w:val="008964F2"/>
    <w:rsid w:val="008A0F6D"/>
    <w:rsid w:val="008A1696"/>
    <w:rsid w:val="008A1DB9"/>
    <w:rsid w:val="008A1F2A"/>
    <w:rsid w:val="008A20A5"/>
    <w:rsid w:val="008A3649"/>
    <w:rsid w:val="008A41BF"/>
    <w:rsid w:val="008A5226"/>
    <w:rsid w:val="008A5726"/>
    <w:rsid w:val="008A5A8E"/>
    <w:rsid w:val="008A6AD4"/>
    <w:rsid w:val="008A6BEE"/>
    <w:rsid w:val="008A7751"/>
    <w:rsid w:val="008A7BBD"/>
    <w:rsid w:val="008A7FB9"/>
    <w:rsid w:val="008B0347"/>
    <w:rsid w:val="008B07C7"/>
    <w:rsid w:val="008B0FFF"/>
    <w:rsid w:val="008B101A"/>
    <w:rsid w:val="008B16E3"/>
    <w:rsid w:val="008B208E"/>
    <w:rsid w:val="008B32E0"/>
    <w:rsid w:val="008B6F84"/>
    <w:rsid w:val="008C12CB"/>
    <w:rsid w:val="008C41A5"/>
    <w:rsid w:val="008C47DC"/>
    <w:rsid w:val="008C4BF9"/>
    <w:rsid w:val="008C4D4B"/>
    <w:rsid w:val="008C6044"/>
    <w:rsid w:val="008C6B6B"/>
    <w:rsid w:val="008C6E36"/>
    <w:rsid w:val="008C71F3"/>
    <w:rsid w:val="008C7508"/>
    <w:rsid w:val="008C7C43"/>
    <w:rsid w:val="008D2CB3"/>
    <w:rsid w:val="008D3C0F"/>
    <w:rsid w:val="008D3FA9"/>
    <w:rsid w:val="008D6ECE"/>
    <w:rsid w:val="008D6ECF"/>
    <w:rsid w:val="008E0656"/>
    <w:rsid w:val="008E12C2"/>
    <w:rsid w:val="008E16F4"/>
    <w:rsid w:val="008E1E6A"/>
    <w:rsid w:val="008E36FC"/>
    <w:rsid w:val="008E6FE1"/>
    <w:rsid w:val="008E7D4F"/>
    <w:rsid w:val="008F1100"/>
    <w:rsid w:val="008F2DBC"/>
    <w:rsid w:val="008F4183"/>
    <w:rsid w:val="008F4190"/>
    <w:rsid w:val="008F48A4"/>
    <w:rsid w:val="008F6DDA"/>
    <w:rsid w:val="008F713F"/>
    <w:rsid w:val="008F7C06"/>
    <w:rsid w:val="009005D0"/>
    <w:rsid w:val="00902B35"/>
    <w:rsid w:val="00905BEA"/>
    <w:rsid w:val="00906FD0"/>
    <w:rsid w:val="00907DC6"/>
    <w:rsid w:val="00912545"/>
    <w:rsid w:val="00915FB9"/>
    <w:rsid w:val="00916037"/>
    <w:rsid w:val="0092203C"/>
    <w:rsid w:val="00922D9F"/>
    <w:rsid w:val="00922DB3"/>
    <w:rsid w:val="0092526B"/>
    <w:rsid w:val="00926380"/>
    <w:rsid w:val="00930C1A"/>
    <w:rsid w:val="00935A4D"/>
    <w:rsid w:val="00936735"/>
    <w:rsid w:val="00937FD6"/>
    <w:rsid w:val="00941A66"/>
    <w:rsid w:val="009432DC"/>
    <w:rsid w:val="009439F8"/>
    <w:rsid w:val="00945629"/>
    <w:rsid w:val="00946AE8"/>
    <w:rsid w:val="00950DEE"/>
    <w:rsid w:val="009521AF"/>
    <w:rsid w:val="00956D8A"/>
    <w:rsid w:val="009577E2"/>
    <w:rsid w:val="00960024"/>
    <w:rsid w:val="00961603"/>
    <w:rsid w:val="00961851"/>
    <w:rsid w:val="0096225C"/>
    <w:rsid w:val="00962983"/>
    <w:rsid w:val="00964B81"/>
    <w:rsid w:val="00966998"/>
    <w:rsid w:val="00966CE3"/>
    <w:rsid w:val="00967CA7"/>
    <w:rsid w:val="00967FEB"/>
    <w:rsid w:val="0097107C"/>
    <w:rsid w:val="00973AB9"/>
    <w:rsid w:val="00973C6E"/>
    <w:rsid w:val="00977E20"/>
    <w:rsid w:val="00977F19"/>
    <w:rsid w:val="0098084D"/>
    <w:rsid w:val="00983A15"/>
    <w:rsid w:val="00983C01"/>
    <w:rsid w:val="009856F7"/>
    <w:rsid w:val="009900A6"/>
    <w:rsid w:val="0099038D"/>
    <w:rsid w:val="00990A14"/>
    <w:rsid w:val="00990C79"/>
    <w:rsid w:val="009917F0"/>
    <w:rsid w:val="009920BE"/>
    <w:rsid w:val="009930C8"/>
    <w:rsid w:val="00994617"/>
    <w:rsid w:val="009946CF"/>
    <w:rsid w:val="009A007E"/>
    <w:rsid w:val="009A07BC"/>
    <w:rsid w:val="009A1AF1"/>
    <w:rsid w:val="009A1C01"/>
    <w:rsid w:val="009A3AE8"/>
    <w:rsid w:val="009A4A22"/>
    <w:rsid w:val="009A5620"/>
    <w:rsid w:val="009A643C"/>
    <w:rsid w:val="009B0276"/>
    <w:rsid w:val="009B0D78"/>
    <w:rsid w:val="009B256E"/>
    <w:rsid w:val="009B4603"/>
    <w:rsid w:val="009B647A"/>
    <w:rsid w:val="009C14D7"/>
    <w:rsid w:val="009C2BBC"/>
    <w:rsid w:val="009C3C83"/>
    <w:rsid w:val="009C3DA4"/>
    <w:rsid w:val="009C4047"/>
    <w:rsid w:val="009C4CB0"/>
    <w:rsid w:val="009C7466"/>
    <w:rsid w:val="009D04B7"/>
    <w:rsid w:val="009D10DD"/>
    <w:rsid w:val="009D1906"/>
    <w:rsid w:val="009D1C94"/>
    <w:rsid w:val="009D253B"/>
    <w:rsid w:val="009D3308"/>
    <w:rsid w:val="009D35DD"/>
    <w:rsid w:val="009D3E9D"/>
    <w:rsid w:val="009D4C95"/>
    <w:rsid w:val="009D5165"/>
    <w:rsid w:val="009E264D"/>
    <w:rsid w:val="009E26F4"/>
    <w:rsid w:val="009E3431"/>
    <w:rsid w:val="009E4088"/>
    <w:rsid w:val="009E4CBF"/>
    <w:rsid w:val="009E5639"/>
    <w:rsid w:val="009E6B2D"/>
    <w:rsid w:val="009E6B53"/>
    <w:rsid w:val="009E7588"/>
    <w:rsid w:val="009F2B9C"/>
    <w:rsid w:val="009F42A4"/>
    <w:rsid w:val="009F664D"/>
    <w:rsid w:val="00A00D6D"/>
    <w:rsid w:val="00A01B66"/>
    <w:rsid w:val="00A033A9"/>
    <w:rsid w:val="00A03731"/>
    <w:rsid w:val="00A03A3B"/>
    <w:rsid w:val="00A05CF9"/>
    <w:rsid w:val="00A06CBD"/>
    <w:rsid w:val="00A11325"/>
    <w:rsid w:val="00A11331"/>
    <w:rsid w:val="00A12578"/>
    <w:rsid w:val="00A13BBC"/>
    <w:rsid w:val="00A16192"/>
    <w:rsid w:val="00A16318"/>
    <w:rsid w:val="00A17196"/>
    <w:rsid w:val="00A17921"/>
    <w:rsid w:val="00A17C2E"/>
    <w:rsid w:val="00A20405"/>
    <w:rsid w:val="00A21A4D"/>
    <w:rsid w:val="00A21DEE"/>
    <w:rsid w:val="00A22BE4"/>
    <w:rsid w:val="00A22F7B"/>
    <w:rsid w:val="00A23EAA"/>
    <w:rsid w:val="00A24714"/>
    <w:rsid w:val="00A25E2F"/>
    <w:rsid w:val="00A27A0B"/>
    <w:rsid w:val="00A27E98"/>
    <w:rsid w:val="00A30795"/>
    <w:rsid w:val="00A312A7"/>
    <w:rsid w:val="00A3183A"/>
    <w:rsid w:val="00A3211A"/>
    <w:rsid w:val="00A366AF"/>
    <w:rsid w:val="00A3703F"/>
    <w:rsid w:val="00A3708B"/>
    <w:rsid w:val="00A40027"/>
    <w:rsid w:val="00A4098D"/>
    <w:rsid w:val="00A40F7F"/>
    <w:rsid w:val="00A42D88"/>
    <w:rsid w:val="00A439AE"/>
    <w:rsid w:val="00A45170"/>
    <w:rsid w:val="00A45DCF"/>
    <w:rsid w:val="00A46599"/>
    <w:rsid w:val="00A47F08"/>
    <w:rsid w:val="00A51CE6"/>
    <w:rsid w:val="00A52505"/>
    <w:rsid w:val="00A535BD"/>
    <w:rsid w:val="00A53755"/>
    <w:rsid w:val="00A54D15"/>
    <w:rsid w:val="00A60B0D"/>
    <w:rsid w:val="00A6186C"/>
    <w:rsid w:val="00A66974"/>
    <w:rsid w:val="00A700F3"/>
    <w:rsid w:val="00A706E3"/>
    <w:rsid w:val="00A70F42"/>
    <w:rsid w:val="00A72BB4"/>
    <w:rsid w:val="00A737F5"/>
    <w:rsid w:val="00A757C6"/>
    <w:rsid w:val="00A76161"/>
    <w:rsid w:val="00A81EF1"/>
    <w:rsid w:val="00A84934"/>
    <w:rsid w:val="00A91963"/>
    <w:rsid w:val="00A9260A"/>
    <w:rsid w:val="00A932E9"/>
    <w:rsid w:val="00A9335B"/>
    <w:rsid w:val="00A93C6E"/>
    <w:rsid w:val="00A9464B"/>
    <w:rsid w:val="00A95302"/>
    <w:rsid w:val="00A953A0"/>
    <w:rsid w:val="00A95884"/>
    <w:rsid w:val="00A97BAB"/>
    <w:rsid w:val="00A97BC2"/>
    <w:rsid w:val="00AA1AD8"/>
    <w:rsid w:val="00AA1E7A"/>
    <w:rsid w:val="00AA2CAF"/>
    <w:rsid w:val="00AA3E58"/>
    <w:rsid w:val="00AA444D"/>
    <w:rsid w:val="00AA5B2D"/>
    <w:rsid w:val="00AA6CDC"/>
    <w:rsid w:val="00AB0201"/>
    <w:rsid w:val="00AB066B"/>
    <w:rsid w:val="00AB1662"/>
    <w:rsid w:val="00AB1E22"/>
    <w:rsid w:val="00AB1E35"/>
    <w:rsid w:val="00AB2703"/>
    <w:rsid w:val="00AB511C"/>
    <w:rsid w:val="00AB628F"/>
    <w:rsid w:val="00AC12B2"/>
    <w:rsid w:val="00AC13F6"/>
    <w:rsid w:val="00AC2E34"/>
    <w:rsid w:val="00AC510A"/>
    <w:rsid w:val="00AD60DD"/>
    <w:rsid w:val="00AD794C"/>
    <w:rsid w:val="00AE1363"/>
    <w:rsid w:val="00AE1BBE"/>
    <w:rsid w:val="00AE2407"/>
    <w:rsid w:val="00AE2CE9"/>
    <w:rsid w:val="00AE3BA4"/>
    <w:rsid w:val="00AE561A"/>
    <w:rsid w:val="00AE58F7"/>
    <w:rsid w:val="00AE6C16"/>
    <w:rsid w:val="00AE7884"/>
    <w:rsid w:val="00AF0669"/>
    <w:rsid w:val="00AF1DEA"/>
    <w:rsid w:val="00AF2034"/>
    <w:rsid w:val="00AF43F5"/>
    <w:rsid w:val="00AF4E42"/>
    <w:rsid w:val="00AF5AA6"/>
    <w:rsid w:val="00AF626D"/>
    <w:rsid w:val="00B0076D"/>
    <w:rsid w:val="00B00D6E"/>
    <w:rsid w:val="00B01241"/>
    <w:rsid w:val="00B01BCD"/>
    <w:rsid w:val="00B01EC8"/>
    <w:rsid w:val="00B02200"/>
    <w:rsid w:val="00B0397B"/>
    <w:rsid w:val="00B05165"/>
    <w:rsid w:val="00B05DAC"/>
    <w:rsid w:val="00B07939"/>
    <w:rsid w:val="00B07B6E"/>
    <w:rsid w:val="00B10978"/>
    <w:rsid w:val="00B115F0"/>
    <w:rsid w:val="00B124AC"/>
    <w:rsid w:val="00B14B42"/>
    <w:rsid w:val="00B17C39"/>
    <w:rsid w:val="00B223E1"/>
    <w:rsid w:val="00B2254C"/>
    <w:rsid w:val="00B233D2"/>
    <w:rsid w:val="00B234F3"/>
    <w:rsid w:val="00B2358D"/>
    <w:rsid w:val="00B23E9F"/>
    <w:rsid w:val="00B24C18"/>
    <w:rsid w:val="00B25CEB"/>
    <w:rsid w:val="00B279B8"/>
    <w:rsid w:val="00B27E9A"/>
    <w:rsid w:val="00B31EB3"/>
    <w:rsid w:val="00B33747"/>
    <w:rsid w:val="00B33A4F"/>
    <w:rsid w:val="00B33B82"/>
    <w:rsid w:val="00B347C5"/>
    <w:rsid w:val="00B350B3"/>
    <w:rsid w:val="00B35A16"/>
    <w:rsid w:val="00B3660C"/>
    <w:rsid w:val="00B36A38"/>
    <w:rsid w:val="00B37127"/>
    <w:rsid w:val="00B37656"/>
    <w:rsid w:val="00B37CA0"/>
    <w:rsid w:val="00B411A1"/>
    <w:rsid w:val="00B42738"/>
    <w:rsid w:val="00B4290D"/>
    <w:rsid w:val="00B43FC8"/>
    <w:rsid w:val="00B4436E"/>
    <w:rsid w:val="00B45099"/>
    <w:rsid w:val="00B50469"/>
    <w:rsid w:val="00B50B0E"/>
    <w:rsid w:val="00B51971"/>
    <w:rsid w:val="00B51AA7"/>
    <w:rsid w:val="00B5260F"/>
    <w:rsid w:val="00B52AB9"/>
    <w:rsid w:val="00B55713"/>
    <w:rsid w:val="00B55B83"/>
    <w:rsid w:val="00B56743"/>
    <w:rsid w:val="00B61B93"/>
    <w:rsid w:val="00B64167"/>
    <w:rsid w:val="00B70974"/>
    <w:rsid w:val="00B71474"/>
    <w:rsid w:val="00B71EAA"/>
    <w:rsid w:val="00B728E1"/>
    <w:rsid w:val="00B7515F"/>
    <w:rsid w:val="00B75F11"/>
    <w:rsid w:val="00B7763F"/>
    <w:rsid w:val="00B77949"/>
    <w:rsid w:val="00B77BC1"/>
    <w:rsid w:val="00B813EE"/>
    <w:rsid w:val="00B822B1"/>
    <w:rsid w:val="00B82C5D"/>
    <w:rsid w:val="00B83BB0"/>
    <w:rsid w:val="00B83EE6"/>
    <w:rsid w:val="00B85053"/>
    <w:rsid w:val="00B855EA"/>
    <w:rsid w:val="00B86C63"/>
    <w:rsid w:val="00B8775C"/>
    <w:rsid w:val="00B92060"/>
    <w:rsid w:val="00B92324"/>
    <w:rsid w:val="00B93E33"/>
    <w:rsid w:val="00B953B6"/>
    <w:rsid w:val="00B95C64"/>
    <w:rsid w:val="00BA3539"/>
    <w:rsid w:val="00BA5304"/>
    <w:rsid w:val="00BA6AA4"/>
    <w:rsid w:val="00BA6FE7"/>
    <w:rsid w:val="00BA7966"/>
    <w:rsid w:val="00BB08E6"/>
    <w:rsid w:val="00BB1384"/>
    <w:rsid w:val="00BB2204"/>
    <w:rsid w:val="00BB3A95"/>
    <w:rsid w:val="00BB4D3B"/>
    <w:rsid w:val="00BB5F04"/>
    <w:rsid w:val="00BB7DB5"/>
    <w:rsid w:val="00BC11DB"/>
    <w:rsid w:val="00BC32E3"/>
    <w:rsid w:val="00BC41F5"/>
    <w:rsid w:val="00BC572F"/>
    <w:rsid w:val="00BC59C1"/>
    <w:rsid w:val="00BC649D"/>
    <w:rsid w:val="00BC6518"/>
    <w:rsid w:val="00BD05D3"/>
    <w:rsid w:val="00BD3651"/>
    <w:rsid w:val="00BD441A"/>
    <w:rsid w:val="00BD5CAC"/>
    <w:rsid w:val="00BE033D"/>
    <w:rsid w:val="00BE09DA"/>
    <w:rsid w:val="00BE5F65"/>
    <w:rsid w:val="00BE635E"/>
    <w:rsid w:val="00BE65A2"/>
    <w:rsid w:val="00BE677C"/>
    <w:rsid w:val="00BE7A53"/>
    <w:rsid w:val="00BF09B5"/>
    <w:rsid w:val="00BF1A09"/>
    <w:rsid w:val="00BF29E1"/>
    <w:rsid w:val="00BF3B1F"/>
    <w:rsid w:val="00BF4504"/>
    <w:rsid w:val="00BF691C"/>
    <w:rsid w:val="00C01AFA"/>
    <w:rsid w:val="00C026C1"/>
    <w:rsid w:val="00C03983"/>
    <w:rsid w:val="00C0411C"/>
    <w:rsid w:val="00C055B4"/>
    <w:rsid w:val="00C07276"/>
    <w:rsid w:val="00C116F4"/>
    <w:rsid w:val="00C132A8"/>
    <w:rsid w:val="00C1399E"/>
    <w:rsid w:val="00C14D19"/>
    <w:rsid w:val="00C1591A"/>
    <w:rsid w:val="00C16DC7"/>
    <w:rsid w:val="00C1764E"/>
    <w:rsid w:val="00C20ADC"/>
    <w:rsid w:val="00C21AFF"/>
    <w:rsid w:val="00C22F45"/>
    <w:rsid w:val="00C2356E"/>
    <w:rsid w:val="00C2453D"/>
    <w:rsid w:val="00C26AA5"/>
    <w:rsid w:val="00C26C1D"/>
    <w:rsid w:val="00C30EB1"/>
    <w:rsid w:val="00C31512"/>
    <w:rsid w:val="00C334A1"/>
    <w:rsid w:val="00C348B0"/>
    <w:rsid w:val="00C4170C"/>
    <w:rsid w:val="00C417BC"/>
    <w:rsid w:val="00C41C70"/>
    <w:rsid w:val="00C4202F"/>
    <w:rsid w:val="00C456DD"/>
    <w:rsid w:val="00C458EC"/>
    <w:rsid w:val="00C477BA"/>
    <w:rsid w:val="00C513BC"/>
    <w:rsid w:val="00C51920"/>
    <w:rsid w:val="00C51990"/>
    <w:rsid w:val="00C51AA5"/>
    <w:rsid w:val="00C5394C"/>
    <w:rsid w:val="00C549F7"/>
    <w:rsid w:val="00C55699"/>
    <w:rsid w:val="00C56B32"/>
    <w:rsid w:val="00C6053E"/>
    <w:rsid w:val="00C61187"/>
    <w:rsid w:val="00C61205"/>
    <w:rsid w:val="00C61DE2"/>
    <w:rsid w:val="00C62E8E"/>
    <w:rsid w:val="00C636F2"/>
    <w:rsid w:val="00C64817"/>
    <w:rsid w:val="00C649CE"/>
    <w:rsid w:val="00C65E28"/>
    <w:rsid w:val="00C70407"/>
    <w:rsid w:val="00C70C66"/>
    <w:rsid w:val="00C72A00"/>
    <w:rsid w:val="00C72B89"/>
    <w:rsid w:val="00C7334C"/>
    <w:rsid w:val="00C7615B"/>
    <w:rsid w:val="00C77C4F"/>
    <w:rsid w:val="00C80083"/>
    <w:rsid w:val="00C80551"/>
    <w:rsid w:val="00C81489"/>
    <w:rsid w:val="00C81943"/>
    <w:rsid w:val="00C84355"/>
    <w:rsid w:val="00C84518"/>
    <w:rsid w:val="00C849CB"/>
    <w:rsid w:val="00C854E6"/>
    <w:rsid w:val="00C85FA6"/>
    <w:rsid w:val="00C9131D"/>
    <w:rsid w:val="00C94E5E"/>
    <w:rsid w:val="00C96B02"/>
    <w:rsid w:val="00C97C38"/>
    <w:rsid w:val="00CA2D26"/>
    <w:rsid w:val="00CA44A9"/>
    <w:rsid w:val="00CA4D07"/>
    <w:rsid w:val="00CA5D5D"/>
    <w:rsid w:val="00CA60F9"/>
    <w:rsid w:val="00CB0212"/>
    <w:rsid w:val="00CB25B4"/>
    <w:rsid w:val="00CB3679"/>
    <w:rsid w:val="00CB4AB0"/>
    <w:rsid w:val="00CB797C"/>
    <w:rsid w:val="00CC03D0"/>
    <w:rsid w:val="00CC3135"/>
    <w:rsid w:val="00CC3BA0"/>
    <w:rsid w:val="00CC5980"/>
    <w:rsid w:val="00CC5FFD"/>
    <w:rsid w:val="00CD076C"/>
    <w:rsid w:val="00CD0CF5"/>
    <w:rsid w:val="00CD2B51"/>
    <w:rsid w:val="00CD37EB"/>
    <w:rsid w:val="00CD4073"/>
    <w:rsid w:val="00CD413A"/>
    <w:rsid w:val="00CE0E41"/>
    <w:rsid w:val="00CE3BDB"/>
    <w:rsid w:val="00CE40EB"/>
    <w:rsid w:val="00CE4189"/>
    <w:rsid w:val="00CE49E3"/>
    <w:rsid w:val="00CE4DEA"/>
    <w:rsid w:val="00CE52FD"/>
    <w:rsid w:val="00CE68EA"/>
    <w:rsid w:val="00CE7DF5"/>
    <w:rsid w:val="00CF094F"/>
    <w:rsid w:val="00CF19C6"/>
    <w:rsid w:val="00CF216E"/>
    <w:rsid w:val="00CF443C"/>
    <w:rsid w:val="00CF528E"/>
    <w:rsid w:val="00CF6568"/>
    <w:rsid w:val="00CF7642"/>
    <w:rsid w:val="00D002EA"/>
    <w:rsid w:val="00D02322"/>
    <w:rsid w:val="00D02937"/>
    <w:rsid w:val="00D02C60"/>
    <w:rsid w:val="00D02FE4"/>
    <w:rsid w:val="00D03E18"/>
    <w:rsid w:val="00D0423F"/>
    <w:rsid w:val="00D05041"/>
    <w:rsid w:val="00D05BD6"/>
    <w:rsid w:val="00D05D2E"/>
    <w:rsid w:val="00D068D5"/>
    <w:rsid w:val="00D079A1"/>
    <w:rsid w:val="00D079F5"/>
    <w:rsid w:val="00D113F7"/>
    <w:rsid w:val="00D128A6"/>
    <w:rsid w:val="00D13590"/>
    <w:rsid w:val="00D146D7"/>
    <w:rsid w:val="00D14910"/>
    <w:rsid w:val="00D209D6"/>
    <w:rsid w:val="00D21B02"/>
    <w:rsid w:val="00D22724"/>
    <w:rsid w:val="00D257D9"/>
    <w:rsid w:val="00D25E91"/>
    <w:rsid w:val="00D26049"/>
    <w:rsid w:val="00D26909"/>
    <w:rsid w:val="00D27CBC"/>
    <w:rsid w:val="00D34EAD"/>
    <w:rsid w:val="00D37424"/>
    <w:rsid w:val="00D37783"/>
    <w:rsid w:val="00D40577"/>
    <w:rsid w:val="00D43A69"/>
    <w:rsid w:val="00D45CFC"/>
    <w:rsid w:val="00D468AB"/>
    <w:rsid w:val="00D46CA6"/>
    <w:rsid w:val="00D47309"/>
    <w:rsid w:val="00D47AEC"/>
    <w:rsid w:val="00D51025"/>
    <w:rsid w:val="00D529D2"/>
    <w:rsid w:val="00D5389B"/>
    <w:rsid w:val="00D53EB0"/>
    <w:rsid w:val="00D54ED0"/>
    <w:rsid w:val="00D56C37"/>
    <w:rsid w:val="00D56F3A"/>
    <w:rsid w:val="00D61924"/>
    <w:rsid w:val="00D64FFA"/>
    <w:rsid w:val="00D67340"/>
    <w:rsid w:val="00D67984"/>
    <w:rsid w:val="00D67D15"/>
    <w:rsid w:val="00D67DCA"/>
    <w:rsid w:val="00D704B3"/>
    <w:rsid w:val="00D71AC6"/>
    <w:rsid w:val="00D7280B"/>
    <w:rsid w:val="00D755AA"/>
    <w:rsid w:val="00D7643A"/>
    <w:rsid w:val="00D7725D"/>
    <w:rsid w:val="00D80160"/>
    <w:rsid w:val="00D808DE"/>
    <w:rsid w:val="00D81DAE"/>
    <w:rsid w:val="00D853F5"/>
    <w:rsid w:val="00D86461"/>
    <w:rsid w:val="00D86E4C"/>
    <w:rsid w:val="00D90872"/>
    <w:rsid w:val="00D90F6F"/>
    <w:rsid w:val="00D95E30"/>
    <w:rsid w:val="00D96E38"/>
    <w:rsid w:val="00DA26CB"/>
    <w:rsid w:val="00DA48E0"/>
    <w:rsid w:val="00DA6B2D"/>
    <w:rsid w:val="00DA76E3"/>
    <w:rsid w:val="00DB1BB8"/>
    <w:rsid w:val="00DB1EF3"/>
    <w:rsid w:val="00DB2E02"/>
    <w:rsid w:val="00DB4C95"/>
    <w:rsid w:val="00DB4DAF"/>
    <w:rsid w:val="00DB4DC3"/>
    <w:rsid w:val="00DB522C"/>
    <w:rsid w:val="00DB71B1"/>
    <w:rsid w:val="00DC11B2"/>
    <w:rsid w:val="00DC139C"/>
    <w:rsid w:val="00DC1D2D"/>
    <w:rsid w:val="00DC20BD"/>
    <w:rsid w:val="00DC29A9"/>
    <w:rsid w:val="00DC6350"/>
    <w:rsid w:val="00DC6A02"/>
    <w:rsid w:val="00DC7D6C"/>
    <w:rsid w:val="00DD0ADF"/>
    <w:rsid w:val="00DD10B0"/>
    <w:rsid w:val="00DD1375"/>
    <w:rsid w:val="00DD1BB6"/>
    <w:rsid w:val="00DD1EF8"/>
    <w:rsid w:val="00DD2DB7"/>
    <w:rsid w:val="00DD32D1"/>
    <w:rsid w:val="00DD3D9F"/>
    <w:rsid w:val="00DD49D2"/>
    <w:rsid w:val="00DD5BDC"/>
    <w:rsid w:val="00DD6325"/>
    <w:rsid w:val="00DD6345"/>
    <w:rsid w:val="00DE08BF"/>
    <w:rsid w:val="00DE0BC0"/>
    <w:rsid w:val="00DE1247"/>
    <w:rsid w:val="00DE1A5D"/>
    <w:rsid w:val="00DE1A6F"/>
    <w:rsid w:val="00DE1F2C"/>
    <w:rsid w:val="00DE321C"/>
    <w:rsid w:val="00DE36A7"/>
    <w:rsid w:val="00DE5859"/>
    <w:rsid w:val="00DE62A6"/>
    <w:rsid w:val="00DE6D40"/>
    <w:rsid w:val="00DF082A"/>
    <w:rsid w:val="00DF1327"/>
    <w:rsid w:val="00DF24D5"/>
    <w:rsid w:val="00DF53E6"/>
    <w:rsid w:val="00DF5B03"/>
    <w:rsid w:val="00DF5D1F"/>
    <w:rsid w:val="00DF73FD"/>
    <w:rsid w:val="00E01701"/>
    <w:rsid w:val="00E02AA7"/>
    <w:rsid w:val="00E074F6"/>
    <w:rsid w:val="00E07613"/>
    <w:rsid w:val="00E078A9"/>
    <w:rsid w:val="00E07AEF"/>
    <w:rsid w:val="00E10115"/>
    <w:rsid w:val="00E111FA"/>
    <w:rsid w:val="00E11EF5"/>
    <w:rsid w:val="00E1261D"/>
    <w:rsid w:val="00E12FF1"/>
    <w:rsid w:val="00E13119"/>
    <w:rsid w:val="00E13FDD"/>
    <w:rsid w:val="00E14053"/>
    <w:rsid w:val="00E147D3"/>
    <w:rsid w:val="00E1492B"/>
    <w:rsid w:val="00E155AB"/>
    <w:rsid w:val="00E17B5E"/>
    <w:rsid w:val="00E216E0"/>
    <w:rsid w:val="00E22838"/>
    <w:rsid w:val="00E23238"/>
    <w:rsid w:val="00E23B0F"/>
    <w:rsid w:val="00E251C6"/>
    <w:rsid w:val="00E259B3"/>
    <w:rsid w:val="00E25F30"/>
    <w:rsid w:val="00E263EA"/>
    <w:rsid w:val="00E27D58"/>
    <w:rsid w:val="00E31C93"/>
    <w:rsid w:val="00E31DB3"/>
    <w:rsid w:val="00E31F2C"/>
    <w:rsid w:val="00E323BC"/>
    <w:rsid w:val="00E33681"/>
    <w:rsid w:val="00E36E2F"/>
    <w:rsid w:val="00E40009"/>
    <w:rsid w:val="00E41F0A"/>
    <w:rsid w:val="00E446EC"/>
    <w:rsid w:val="00E50088"/>
    <w:rsid w:val="00E506E3"/>
    <w:rsid w:val="00E51B5D"/>
    <w:rsid w:val="00E53E59"/>
    <w:rsid w:val="00E54031"/>
    <w:rsid w:val="00E55DE4"/>
    <w:rsid w:val="00E579A7"/>
    <w:rsid w:val="00E60FC1"/>
    <w:rsid w:val="00E61B2A"/>
    <w:rsid w:val="00E62C3D"/>
    <w:rsid w:val="00E64C51"/>
    <w:rsid w:val="00E70FFD"/>
    <w:rsid w:val="00E71CB0"/>
    <w:rsid w:val="00E72306"/>
    <w:rsid w:val="00E7382F"/>
    <w:rsid w:val="00E738F4"/>
    <w:rsid w:val="00E73DE2"/>
    <w:rsid w:val="00E7415F"/>
    <w:rsid w:val="00E74195"/>
    <w:rsid w:val="00E74D19"/>
    <w:rsid w:val="00E77194"/>
    <w:rsid w:val="00E818A6"/>
    <w:rsid w:val="00E82B65"/>
    <w:rsid w:val="00E848C8"/>
    <w:rsid w:val="00E8535E"/>
    <w:rsid w:val="00E85A50"/>
    <w:rsid w:val="00E8715F"/>
    <w:rsid w:val="00E872E3"/>
    <w:rsid w:val="00E9142E"/>
    <w:rsid w:val="00E91651"/>
    <w:rsid w:val="00E93641"/>
    <w:rsid w:val="00E978BD"/>
    <w:rsid w:val="00EA01AC"/>
    <w:rsid w:val="00EA16D9"/>
    <w:rsid w:val="00EA2B25"/>
    <w:rsid w:val="00EA3ACB"/>
    <w:rsid w:val="00EA3AE7"/>
    <w:rsid w:val="00EA3C75"/>
    <w:rsid w:val="00EA4C5B"/>
    <w:rsid w:val="00EA6CA3"/>
    <w:rsid w:val="00EA7912"/>
    <w:rsid w:val="00EB0FA0"/>
    <w:rsid w:val="00EB1D0B"/>
    <w:rsid w:val="00EB3FE0"/>
    <w:rsid w:val="00EB5007"/>
    <w:rsid w:val="00EB5A19"/>
    <w:rsid w:val="00EB5A8C"/>
    <w:rsid w:val="00EB6FD1"/>
    <w:rsid w:val="00EB74E5"/>
    <w:rsid w:val="00EC004C"/>
    <w:rsid w:val="00EC0BA8"/>
    <w:rsid w:val="00EC317F"/>
    <w:rsid w:val="00EC53F7"/>
    <w:rsid w:val="00EC5B61"/>
    <w:rsid w:val="00EC65DE"/>
    <w:rsid w:val="00EC7812"/>
    <w:rsid w:val="00ED1796"/>
    <w:rsid w:val="00ED17A7"/>
    <w:rsid w:val="00ED3A57"/>
    <w:rsid w:val="00ED6567"/>
    <w:rsid w:val="00EE246C"/>
    <w:rsid w:val="00EE4525"/>
    <w:rsid w:val="00EE49BB"/>
    <w:rsid w:val="00EE7DBE"/>
    <w:rsid w:val="00EF01F9"/>
    <w:rsid w:val="00EF2C7A"/>
    <w:rsid w:val="00EF34D4"/>
    <w:rsid w:val="00EF3B32"/>
    <w:rsid w:val="00EF6290"/>
    <w:rsid w:val="00EF6A97"/>
    <w:rsid w:val="00EF6F16"/>
    <w:rsid w:val="00F00883"/>
    <w:rsid w:val="00F00AB1"/>
    <w:rsid w:val="00F02E7A"/>
    <w:rsid w:val="00F0443F"/>
    <w:rsid w:val="00F0611E"/>
    <w:rsid w:val="00F06FDF"/>
    <w:rsid w:val="00F07ABD"/>
    <w:rsid w:val="00F10992"/>
    <w:rsid w:val="00F10EE2"/>
    <w:rsid w:val="00F168E0"/>
    <w:rsid w:val="00F17820"/>
    <w:rsid w:val="00F21CC6"/>
    <w:rsid w:val="00F22FEE"/>
    <w:rsid w:val="00F26C5B"/>
    <w:rsid w:val="00F309FA"/>
    <w:rsid w:val="00F3178C"/>
    <w:rsid w:val="00F31837"/>
    <w:rsid w:val="00F32B97"/>
    <w:rsid w:val="00F32D3F"/>
    <w:rsid w:val="00F32D85"/>
    <w:rsid w:val="00F332F2"/>
    <w:rsid w:val="00F339E4"/>
    <w:rsid w:val="00F33C5A"/>
    <w:rsid w:val="00F34604"/>
    <w:rsid w:val="00F34CDC"/>
    <w:rsid w:val="00F34D51"/>
    <w:rsid w:val="00F35864"/>
    <w:rsid w:val="00F3600D"/>
    <w:rsid w:val="00F37164"/>
    <w:rsid w:val="00F40152"/>
    <w:rsid w:val="00F402B9"/>
    <w:rsid w:val="00F40562"/>
    <w:rsid w:val="00F40DDD"/>
    <w:rsid w:val="00F446F4"/>
    <w:rsid w:val="00F44754"/>
    <w:rsid w:val="00F51E54"/>
    <w:rsid w:val="00F52402"/>
    <w:rsid w:val="00F541C2"/>
    <w:rsid w:val="00F55BFF"/>
    <w:rsid w:val="00F60EBD"/>
    <w:rsid w:val="00F612B9"/>
    <w:rsid w:val="00F619AE"/>
    <w:rsid w:val="00F63871"/>
    <w:rsid w:val="00F63D2E"/>
    <w:rsid w:val="00F641F7"/>
    <w:rsid w:val="00F670A6"/>
    <w:rsid w:val="00F67233"/>
    <w:rsid w:val="00F7446C"/>
    <w:rsid w:val="00F765A7"/>
    <w:rsid w:val="00F76A26"/>
    <w:rsid w:val="00F77C11"/>
    <w:rsid w:val="00F80021"/>
    <w:rsid w:val="00F8034D"/>
    <w:rsid w:val="00F8179F"/>
    <w:rsid w:val="00F823BB"/>
    <w:rsid w:val="00F82821"/>
    <w:rsid w:val="00F83712"/>
    <w:rsid w:val="00F85E35"/>
    <w:rsid w:val="00F930B6"/>
    <w:rsid w:val="00F93F2B"/>
    <w:rsid w:val="00F9633E"/>
    <w:rsid w:val="00F96D23"/>
    <w:rsid w:val="00FA1418"/>
    <w:rsid w:val="00FA2A39"/>
    <w:rsid w:val="00FA3649"/>
    <w:rsid w:val="00FA650E"/>
    <w:rsid w:val="00FA72D9"/>
    <w:rsid w:val="00FB19FD"/>
    <w:rsid w:val="00FB23AA"/>
    <w:rsid w:val="00FB23B6"/>
    <w:rsid w:val="00FB2A54"/>
    <w:rsid w:val="00FB31F6"/>
    <w:rsid w:val="00FB3A2A"/>
    <w:rsid w:val="00FB3C6F"/>
    <w:rsid w:val="00FB793B"/>
    <w:rsid w:val="00FC0AC1"/>
    <w:rsid w:val="00FC1212"/>
    <w:rsid w:val="00FC1FA7"/>
    <w:rsid w:val="00FC491A"/>
    <w:rsid w:val="00FC788F"/>
    <w:rsid w:val="00FC7B0D"/>
    <w:rsid w:val="00FD05AB"/>
    <w:rsid w:val="00FD28F3"/>
    <w:rsid w:val="00FD35D4"/>
    <w:rsid w:val="00FD36EC"/>
    <w:rsid w:val="00FD696E"/>
    <w:rsid w:val="00FD6C74"/>
    <w:rsid w:val="00FD6CAE"/>
    <w:rsid w:val="00FE1797"/>
    <w:rsid w:val="00FE1C81"/>
    <w:rsid w:val="00FE2837"/>
    <w:rsid w:val="00FE4DC9"/>
    <w:rsid w:val="00FE6049"/>
    <w:rsid w:val="00FE7D57"/>
    <w:rsid w:val="00FF20D9"/>
    <w:rsid w:val="00FF25FE"/>
    <w:rsid w:val="00FF3763"/>
    <w:rsid w:val="00FF40D4"/>
    <w:rsid w:val="00FF52A8"/>
    <w:rsid w:val="00FF5710"/>
    <w:rsid w:val="00FF5824"/>
    <w:rsid w:val="00FF7C87"/>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1A5D"/>
    <w:pPr>
      <w:spacing w:before="120" w:after="120"/>
      <w:jc w:val="both"/>
    </w:pPr>
    <w:rPr>
      <w:rFonts w:ascii="Verdana" w:hAnsi="Verdana"/>
      <w:szCs w:val="24"/>
      <w:lang w:val="en-GB" w:eastAsia="en-US"/>
    </w:rPr>
  </w:style>
  <w:style w:type="paragraph" w:styleId="Heading2">
    <w:name w:val="heading 2"/>
    <w:basedOn w:val="Normal"/>
    <w:next w:val="Normal"/>
    <w:link w:val="Heading2Char"/>
    <w:autoRedefine/>
    <w:qFormat/>
    <w:rsid w:val="00D02FE4"/>
    <w:pPr>
      <w:keepNext/>
      <w:spacing w:before="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 Char,Footnote Text Char Char,Footnote,FSR footnote,lábléc,Carattere1,Footnote Text Char1 Char,Footnote Text Char2 Char Char Char,Footnote Text Char1 Char Char Char Char,Footnote Text Char Char Char Char Char Char,fn,f"/>
    <w:basedOn w:val="Normal"/>
    <w:link w:val="FootnoteTextChar"/>
    <w:rsid w:val="00D02FE4"/>
    <w:pPr>
      <w:spacing w:line="180" w:lineRule="exact"/>
      <w:ind w:left="142" w:hanging="142"/>
    </w:pPr>
    <w:rPr>
      <w:sz w:val="16"/>
      <w:szCs w:val="16"/>
    </w:rPr>
  </w:style>
  <w:style w:type="character" w:customStyle="1" w:styleId="FootnoteTextChar">
    <w:name w:val="Footnote Text Char"/>
    <w:aliases w:val="Fußnote Char1, Char Char,Footnote Text Char Char Char,Footnote Char,FSR footnote Char,lábléc Char,Carattere1 Char,Footnote Text Char1 Char Char,Footnote Text Char2 Char Char Char Char,Footnote Text Char1 Char Char Char Char Char"/>
    <w:link w:val="FootnoteText"/>
    <w:rsid w:val="00D02FE4"/>
    <w:rPr>
      <w:rFonts w:ascii="Verdana" w:hAnsi="Verdana"/>
      <w:sz w:val="16"/>
      <w:szCs w:val="16"/>
      <w:lang w:val="en-GB" w:eastAsia="en-US" w:bidi="ar-SA"/>
    </w:rPr>
  </w:style>
  <w:style w:type="character" w:styleId="FootnoteReference">
    <w:name w:val="footnote reference"/>
    <w:rsid w:val="00D02FE4"/>
    <w:rPr>
      <w:rFonts w:ascii="Arial" w:hAnsi="Arial"/>
      <w:dstrike w:val="0"/>
      <w:kern w:val="0"/>
      <w:position w:val="4"/>
      <w:sz w:val="12"/>
      <w:szCs w:val="12"/>
      <w:vertAlign w:val="baseline"/>
    </w:rPr>
  </w:style>
  <w:style w:type="character" w:customStyle="1" w:styleId="Heading2Char">
    <w:name w:val="Heading 2 Char"/>
    <w:link w:val="Heading2"/>
    <w:rsid w:val="00D02FE4"/>
    <w:rPr>
      <w:rFonts w:ascii="Verdana" w:hAnsi="Verdana"/>
      <w:b/>
      <w:sz w:val="24"/>
      <w:szCs w:val="24"/>
      <w:lang w:val="en-GB" w:eastAsia="en-US" w:bidi="ar-SA"/>
    </w:rPr>
  </w:style>
  <w:style w:type="paragraph" w:customStyle="1" w:styleId="Instructionsberschrift2">
    <w:name w:val="Instructions Überschrift 2"/>
    <w:basedOn w:val="Heading2"/>
    <w:rsid w:val="00D02FE4"/>
    <w:pPr>
      <w:numPr>
        <w:numId w:val="1"/>
      </w:numPr>
      <w:spacing w:after="240"/>
    </w:pPr>
    <w:rPr>
      <w:rFonts w:cs="Arial"/>
      <w:b w:val="0"/>
      <w:sz w:val="20"/>
      <w:u w:val="single"/>
    </w:rPr>
  </w:style>
  <w:style w:type="paragraph" w:customStyle="1" w:styleId="InstructionsText">
    <w:name w:val="Instructions Text"/>
    <w:basedOn w:val="Normal"/>
    <w:link w:val="InstructionsTextChar"/>
    <w:autoRedefine/>
    <w:rsid w:val="001B5CC0"/>
    <w:pPr>
      <w:spacing w:before="0" w:after="0"/>
      <w:ind w:left="33"/>
    </w:pPr>
    <w:rPr>
      <w:rFonts w:ascii="Times New Roman" w:hAnsi="Times New Roman"/>
      <w:szCs w:val="17"/>
      <w:u w:val="single"/>
      <w:lang w:eastAsia="de-DE"/>
    </w:rPr>
  </w:style>
  <w:style w:type="character" w:customStyle="1" w:styleId="InstructionsTabelleberschrift">
    <w:name w:val="Instructions Tabelle Überschrift"/>
    <w:qFormat/>
    <w:rsid w:val="00D02FE4"/>
    <w:rPr>
      <w:rFonts w:ascii="Verdana" w:hAnsi="Verdana" w:cs="Times New Roman"/>
      <w:b/>
      <w:bCs/>
      <w:sz w:val="20"/>
      <w:u w:val="single"/>
    </w:rPr>
  </w:style>
  <w:style w:type="character" w:customStyle="1" w:styleId="InstructionsTabelleText">
    <w:name w:val="Instructions Tabelle Text"/>
    <w:rsid w:val="00D02FE4"/>
    <w:rPr>
      <w:rFonts w:ascii="Verdana" w:hAnsi="Verdana" w:cs="Times New Roman"/>
      <w:sz w:val="20"/>
    </w:rPr>
  </w:style>
  <w:style w:type="character" w:customStyle="1" w:styleId="FormatvorlageInstructionsTabelleText">
    <w:name w:val="Formatvorlage Instructions Tabelle Text"/>
    <w:qFormat/>
    <w:rsid w:val="00D02FE4"/>
    <w:rPr>
      <w:rFonts w:ascii="Verdana" w:hAnsi="Verdana" w:cs="Times New Roman"/>
      <w:bCs/>
      <w:sz w:val="20"/>
      <w:u w:val="none"/>
    </w:rPr>
  </w:style>
  <w:style w:type="character" w:customStyle="1" w:styleId="InstructionsTextChar">
    <w:name w:val="Instructions Text Char"/>
    <w:link w:val="InstructionsText"/>
    <w:locked/>
    <w:rsid w:val="001B5CC0"/>
    <w:rPr>
      <w:szCs w:val="17"/>
      <w:u w:val="single"/>
      <w:lang w:val="en-GB" w:eastAsia="de-DE" w:bidi="ar-SA"/>
    </w:rPr>
  </w:style>
  <w:style w:type="paragraph" w:customStyle="1" w:styleId="InstructionsText2">
    <w:name w:val="Instructions Text 2"/>
    <w:basedOn w:val="InstructionsText"/>
    <w:qFormat/>
    <w:rsid w:val="00D02FE4"/>
    <w:pPr>
      <w:numPr>
        <w:numId w:val="28"/>
      </w:numPr>
      <w:spacing w:after="240"/>
    </w:pPr>
  </w:style>
  <w:style w:type="paragraph" w:customStyle="1" w:styleId="Paragraph">
    <w:name w:val="Paragraph"/>
    <w:basedOn w:val="Normal"/>
    <w:link w:val="ParagraphChar"/>
    <w:rsid w:val="009D253B"/>
    <w:pPr>
      <w:spacing w:before="0" w:after="240"/>
    </w:pPr>
    <w:rPr>
      <w:rFonts w:ascii="Arial" w:hAnsi="Arial"/>
      <w:sz w:val="22"/>
      <w:szCs w:val="20"/>
    </w:rPr>
  </w:style>
  <w:style w:type="character" w:customStyle="1" w:styleId="ParagraphChar">
    <w:name w:val="Paragraph Char"/>
    <w:link w:val="Paragraph"/>
    <w:rsid w:val="009D253B"/>
    <w:rPr>
      <w:rFonts w:ascii="Arial" w:hAnsi="Arial"/>
      <w:sz w:val="22"/>
      <w:lang w:val="en-GB" w:eastAsia="en-US" w:bidi="ar-SA"/>
    </w:rPr>
  </w:style>
  <w:style w:type="character" w:customStyle="1" w:styleId="FunoteChar">
    <w:name w:val="Fußnote Char"/>
    <w:aliases w:val=" Char Char Char"/>
    <w:semiHidden/>
    <w:rsid w:val="009D253B"/>
    <w:rPr>
      <w:rFonts w:ascii="Arial" w:hAnsi="Arial"/>
      <w:sz w:val="18"/>
      <w:lang w:val="en-GB" w:eastAsia="en-US" w:bidi="ar-SA"/>
    </w:rPr>
  </w:style>
  <w:style w:type="paragraph" w:customStyle="1" w:styleId="Bullets">
    <w:name w:val="Bullets"/>
    <w:basedOn w:val="Normal"/>
    <w:link w:val="BulletsChar"/>
    <w:rsid w:val="009D253B"/>
    <w:pPr>
      <w:tabs>
        <w:tab w:val="num" w:pos="851"/>
      </w:tabs>
      <w:spacing w:before="0"/>
      <w:ind w:left="851" w:hanging="851"/>
    </w:pPr>
    <w:rPr>
      <w:rFonts w:ascii="Arial" w:eastAsia="MS Mincho" w:hAnsi="Arial"/>
      <w:sz w:val="22"/>
      <w:szCs w:val="20"/>
      <w:lang w:eastAsia="ja-JP"/>
    </w:rPr>
  </w:style>
  <w:style w:type="character" w:customStyle="1" w:styleId="BulletsChar">
    <w:name w:val="Bullets Char"/>
    <w:link w:val="Bullets"/>
    <w:locked/>
    <w:rsid w:val="009D253B"/>
    <w:rPr>
      <w:rFonts w:ascii="Arial" w:eastAsia="MS Mincho" w:hAnsi="Arial"/>
      <w:sz w:val="22"/>
      <w:lang w:val="en-GB" w:eastAsia="ja-JP" w:bidi="ar-SA"/>
    </w:rPr>
  </w:style>
  <w:style w:type="paragraph" w:customStyle="1" w:styleId="TableText">
    <w:name w:val="TableText"/>
    <w:basedOn w:val="Normal"/>
    <w:rsid w:val="00DD1BB6"/>
    <w:pPr>
      <w:keepNext/>
      <w:spacing w:before="60" w:after="60"/>
      <w:jc w:val="left"/>
    </w:pPr>
    <w:rPr>
      <w:rFonts w:ascii="Arial" w:hAnsi="Arial"/>
      <w:szCs w:val="20"/>
    </w:rPr>
  </w:style>
  <w:style w:type="paragraph" w:styleId="BalloonText">
    <w:name w:val="Balloon Text"/>
    <w:basedOn w:val="Normal"/>
    <w:semiHidden/>
    <w:rsid w:val="00104F31"/>
    <w:rPr>
      <w:rFonts w:ascii="Tahoma" w:hAnsi="Tahoma" w:cs="Tahoma"/>
      <w:sz w:val="16"/>
      <w:szCs w:val="16"/>
    </w:rPr>
  </w:style>
  <w:style w:type="character" w:styleId="CommentReference">
    <w:name w:val="annotation reference"/>
    <w:rsid w:val="001128AA"/>
    <w:rPr>
      <w:sz w:val="16"/>
      <w:szCs w:val="16"/>
    </w:rPr>
  </w:style>
  <w:style w:type="paragraph" w:styleId="CommentText">
    <w:name w:val="annotation text"/>
    <w:basedOn w:val="Normal"/>
    <w:link w:val="CommentTextChar"/>
    <w:rsid w:val="001128AA"/>
    <w:rPr>
      <w:szCs w:val="20"/>
    </w:rPr>
  </w:style>
  <w:style w:type="character" w:customStyle="1" w:styleId="CommentTextChar">
    <w:name w:val="Comment Text Char"/>
    <w:link w:val="CommentText"/>
    <w:rsid w:val="001128AA"/>
    <w:rPr>
      <w:rFonts w:ascii="Verdana" w:hAnsi="Verdana"/>
      <w:lang w:val="en-GB" w:eastAsia="en-US"/>
    </w:rPr>
  </w:style>
  <w:style w:type="paragraph" w:styleId="CommentSubject">
    <w:name w:val="annotation subject"/>
    <w:basedOn w:val="CommentText"/>
    <w:next w:val="CommentText"/>
    <w:link w:val="CommentSubjectChar"/>
    <w:rsid w:val="001128AA"/>
    <w:rPr>
      <w:b/>
      <w:bCs/>
    </w:rPr>
  </w:style>
  <w:style w:type="character" w:customStyle="1" w:styleId="CommentSubjectChar">
    <w:name w:val="Comment Subject Char"/>
    <w:link w:val="CommentSubject"/>
    <w:rsid w:val="001128AA"/>
    <w:rPr>
      <w:rFonts w:ascii="Verdana" w:hAnsi="Verdana"/>
      <w:b/>
      <w:bCs/>
      <w:lang w:val="en-GB" w:eastAsia="en-US"/>
    </w:rPr>
  </w:style>
  <w:style w:type="paragraph" w:styleId="PlainText">
    <w:name w:val="Plain Text"/>
    <w:basedOn w:val="Normal"/>
    <w:semiHidden/>
    <w:rsid w:val="00392C32"/>
    <w:pPr>
      <w:spacing w:before="0" w:after="0"/>
      <w:jc w:val="left"/>
    </w:pPr>
    <w:rPr>
      <w:rFonts w:ascii="Consolas" w:hAnsi="Consolas"/>
      <w:sz w:val="21"/>
      <w:szCs w:val="21"/>
    </w:rPr>
  </w:style>
  <w:style w:type="paragraph" w:styleId="Footer">
    <w:name w:val="footer"/>
    <w:basedOn w:val="Normal"/>
    <w:rsid w:val="00392C32"/>
    <w:pPr>
      <w:tabs>
        <w:tab w:val="center" w:pos="4536"/>
        <w:tab w:val="right" w:pos="9072"/>
      </w:tabs>
      <w:spacing w:before="0" w:after="0"/>
      <w:jc w:val="left"/>
    </w:pPr>
    <w:rPr>
      <w:rFonts w:ascii="Times New Roman" w:hAnsi="Times New Roman"/>
      <w:sz w:val="24"/>
      <w:lang w:val="de-AT" w:eastAsia="de-AT"/>
    </w:rPr>
  </w:style>
  <w:style w:type="paragraph" w:customStyle="1" w:styleId="Numberedheadinglevel1">
    <w:name w:val="Numbered heading level 1"/>
    <w:basedOn w:val="Normal"/>
    <w:next w:val="Normal"/>
    <w:qFormat/>
    <w:rsid w:val="00BF691C"/>
    <w:pPr>
      <w:numPr>
        <w:numId w:val="32"/>
      </w:numPr>
      <w:tabs>
        <w:tab w:val="left" w:pos="0"/>
      </w:tabs>
      <w:spacing w:before="360" w:after="360"/>
    </w:pPr>
    <w:rPr>
      <w:rFonts w:ascii="Arial" w:hAnsi="Arial"/>
      <w:color w:val="4F81BD" w:themeColor="accent1"/>
      <w:sz w:val="28"/>
      <w:szCs w:val="28"/>
    </w:rPr>
  </w:style>
  <w:style w:type="paragraph" w:customStyle="1" w:styleId="Numberedheadinglevel2">
    <w:name w:val="Numbered heading level 2"/>
    <w:basedOn w:val="Normal"/>
    <w:next w:val="Normal"/>
    <w:qFormat/>
    <w:rsid w:val="00BF691C"/>
    <w:pPr>
      <w:numPr>
        <w:ilvl w:val="1"/>
        <w:numId w:val="32"/>
      </w:numPr>
      <w:tabs>
        <w:tab w:val="left" w:pos="567"/>
      </w:tabs>
      <w:spacing w:before="360" w:after="240"/>
    </w:pPr>
    <w:rPr>
      <w:rFonts w:ascii="Arial" w:hAnsi="Arial"/>
      <w:color w:val="4F81BD" w:themeColor="accent1"/>
      <w:sz w:val="24"/>
    </w:rPr>
  </w:style>
  <w:style w:type="paragraph" w:customStyle="1" w:styleId="Numberedheadinglevel3">
    <w:name w:val="Numbered heading level 3"/>
    <w:basedOn w:val="Normal"/>
    <w:next w:val="Normal"/>
    <w:qFormat/>
    <w:rsid w:val="00BF691C"/>
    <w:pPr>
      <w:numPr>
        <w:ilvl w:val="2"/>
        <w:numId w:val="32"/>
      </w:numPr>
      <w:tabs>
        <w:tab w:val="left" w:pos="567"/>
      </w:tabs>
      <w:spacing w:before="240"/>
    </w:pPr>
    <w:rPr>
      <w:rFonts w:ascii="Arial" w:hAnsi="Arial"/>
      <w:color w:val="4F81BD" w:themeColor="accent1"/>
      <w:szCs w:val="20"/>
    </w:rPr>
  </w:style>
  <w:style w:type="character" w:customStyle="1" w:styleId="DeltaViewInsertion">
    <w:name w:val="DeltaView Insertion"/>
    <w:rsid w:val="00723CA3"/>
    <w:rPr>
      <w:color w:val="0000FF"/>
      <w:spacing w:val="0"/>
      <w:u w:val="double"/>
    </w:rPr>
  </w:style>
  <w:style w:type="character" w:customStyle="1" w:styleId="DeltaViewDeletion">
    <w:name w:val="DeltaView Deletion"/>
    <w:rsid w:val="00723CA3"/>
    <w:rPr>
      <w:strike/>
      <w:color w:val="FF0000"/>
      <w:spacing w:val="0"/>
    </w:rPr>
  </w:style>
  <w:style w:type="paragraph" w:customStyle="1" w:styleId="Point1">
    <w:name w:val="Point 1"/>
    <w:basedOn w:val="Normal"/>
    <w:link w:val="Point1Char"/>
    <w:rsid w:val="00751DC2"/>
    <w:pPr>
      <w:ind w:left="1417" w:hanging="567"/>
    </w:pPr>
    <w:rPr>
      <w:rFonts w:ascii="Times New Roman" w:hAnsi="Times New Roman"/>
      <w:sz w:val="24"/>
      <w:lang w:eastAsia="de-DE"/>
    </w:rPr>
  </w:style>
  <w:style w:type="paragraph" w:customStyle="1" w:styleId="Point0number">
    <w:name w:val="Point 0 (number)"/>
    <w:basedOn w:val="Normal"/>
    <w:rsid w:val="00751DC2"/>
    <w:pPr>
      <w:tabs>
        <w:tab w:val="num" w:pos="360"/>
      </w:tabs>
      <w:ind w:left="850" w:hanging="850"/>
    </w:pPr>
    <w:rPr>
      <w:rFonts w:ascii="Times New Roman" w:hAnsi="Times New Roman"/>
      <w:sz w:val="24"/>
    </w:rPr>
  </w:style>
  <w:style w:type="character" w:customStyle="1" w:styleId="Point1Char">
    <w:name w:val="Point 1 Char"/>
    <w:link w:val="Point1"/>
    <w:locked/>
    <w:rsid w:val="00751DC2"/>
    <w:rPr>
      <w:sz w:val="24"/>
      <w:szCs w:val="24"/>
      <w:lang w:val="en-GB" w:eastAsia="de-DE"/>
    </w:rPr>
  </w:style>
  <w:style w:type="paragraph" w:styleId="Revision">
    <w:name w:val="Revision"/>
    <w:hidden/>
    <w:uiPriority w:val="99"/>
    <w:semiHidden/>
    <w:rsid w:val="0089454F"/>
    <w:rPr>
      <w:rFonts w:ascii="Verdana" w:hAnsi="Verdana"/>
      <w:szCs w:val="24"/>
      <w:lang w:val="en-GB" w:eastAsia="en-US"/>
    </w:rPr>
  </w:style>
  <w:style w:type="paragraph" w:styleId="ListParagraph">
    <w:name w:val="List Paragraph"/>
    <w:basedOn w:val="Normal"/>
    <w:uiPriority w:val="34"/>
    <w:qFormat/>
    <w:rsid w:val="007E6E38"/>
    <w:pPr>
      <w:ind w:left="720"/>
      <w:contextualSpacing/>
    </w:pPr>
  </w:style>
  <w:style w:type="paragraph" w:customStyle="1" w:styleId="DocTitle">
    <w:name w:val="Doc Title"/>
    <w:basedOn w:val="Normal"/>
    <w:qFormat/>
    <w:rsid w:val="00CB3679"/>
    <w:pPr>
      <w:spacing w:before="3280" w:after="480"/>
      <w:jc w:val="left"/>
    </w:pPr>
    <w:rPr>
      <w:rFonts w:ascii="Arial" w:hAnsi="Arial"/>
      <w:color w:val="4F81BD" w:themeColor="accent1"/>
      <w:sz w:val="40"/>
      <w:szCs w:val="40"/>
    </w:rPr>
  </w:style>
  <w:style w:type="paragraph" w:customStyle="1" w:styleId="SubTitle">
    <w:name w:val="Sub Title"/>
    <w:basedOn w:val="Heading2"/>
    <w:qFormat/>
    <w:rsid w:val="00CB3679"/>
    <w:pPr>
      <w:keepNext w:val="0"/>
      <w:spacing w:before="120" w:after="0"/>
      <w:contextualSpacing/>
      <w:jc w:val="left"/>
    </w:pPr>
    <w:rPr>
      <w:rFonts w:ascii="Arial" w:hAnsi="Arial"/>
      <w:b w:val="0"/>
      <w:color w:val="4F81BD" w:themeColor="accent1"/>
      <w:szCs w:val="20"/>
    </w:rPr>
  </w:style>
  <w:style w:type="paragraph" w:customStyle="1" w:styleId="Numberedparagraphs">
    <w:name w:val="Numbered paragraphs"/>
    <w:basedOn w:val="Normal"/>
    <w:qFormat/>
    <w:rsid w:val="00CB3679"/>
    <w:pPr>
      <w:numPr>
        <w:numId w:val="41"/>
      </w:numPr>
      <w:tabs>
        <w:tab w:val="left" w:pos="284"/>
      </w:tabs>
      <w:spacing w:before="0" w:after="300" w:line="300" w:lineRule="exact"/>
      <w:ind w:left="284" w:hanging="284"/>
    </w:pPr>
    <w:rPr>
      <w:rFonts w:ascii="Arial" w:hAnsi="Arial"/>
      <w:color w:val="000000"/>
      <w:szCs w:val="20"/>
    </w:rPr>
  </w:style>
  <w:style w:type="paragraph" w:styleId="Header">
    <w:name w:val="header"/>
    <w:basedOn w:val="Normal"/>
    <w:link w:val="HeaderChar"/>
    <w:rsid w:val="00CB3679"/>
    <w:pPr>
      <w:tabs>
        <w:tab w:val="center" w:pos="4513"/>
        <w:tab w:val="right" w:pos="9026"/>
      </w:tabs>
      <w:spacing w:before="0" w:after="0"/>
    </w:pPr>
  </w:style>
  <w:style w:type="character" w:customStyle="1" w:styleId="HeaderChar">
    <w:name w:val="Header Char"/>
    <w:basedOn w:val="DefaultParagraphFont"/>
    <w:link w:val="Header"/>
    <w:rsid w:val="00CB3679"/>
    <w:rPr>
      <w:rFonts w:ascii="Verdana" w:hAnsi="Verdana"/>
      <w:szCs w:val="24"/>
      <w:lang w:val="en-GB" w:eastAsia="en-US"/>
    </w:rPr>
  </w:style>
  <w:style w:type="paragraph" w:customStyle="1" w:styleId="CM15">
    <w:name w:val="CM1+5"/>
    <w:basedOn w:val="Normal"/>
    <w:next w:val="Normal"/>
    <w:uiPriority w:val="99"/>
    <w:rsid w:val="00EA3AE7"/>
    <w:pPr>
      <w:autoSpaceDE w:val="0"/>
      <w:autoSpaceDN w:val="0"/>
      <w:adjustRightInd w:val="0"/>
      <w:spacing w:before="0" w:after="0"/>
      <w:jc w:val="left"/>
    </w:pPr>
    <w:rPr>
      <w:rFonts w:ascii="EUAlbertina" w:hAnsi="EUAlbertina"/>
      <w:sz w:val="24"/>
      <w:lang w:val="en-IE" w:eastAsia="fr-FR"/>
    </w:rPr>
  </w:style>
  <w:style w:type="paragraph" w:customStyle="1" w:styleId="CM35">
    <w:name w:val="CM3+5"/>
    <w:basedOn w:val="Normal"/>
    <w:next w:val="Normal"/>
    <w:uiPriority w:val="99"/>
    <w:rsid w:val="00EA3AE7"/>
    <w:pPr>
      <w:autoSpaceDE w:val="0"/>
      <w:autoSpaceDN w:val="0"/>
      <w:adjustRightInd w:val="0"/>
      <w:spacing w:before="0" w:after="0"/>
      <w:jc w:val="left"/>
    </w:pPr>
    <w:rPr>
      <w:rFonts w:ascii="EUAlbertina" w:hAnsi="EUAlbertina"/>
      <w:sz w:val="24"/>
      <w:lang w:val="en-IE"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1A5D"/>
    <w:pPr>
      <w:spacing w:before="120" w:after="120"/>
      <w:jc w:val="both"/>
    </w:pPr>
    <w:rPr>
      <w:rFonts w:ascii="Verdana" w:hAnsi="Verdana"/>
      <w:szCs w:val="24"/>
      <w:lang w:val="en-GB" w:eastAsia="en-US"/>
    </w:rPr>
  </w:style>
  <w:style w:type="paragraph" w:styleId="Heading2">
    <w:name w:val="heading 2"/>
    <w:basedOn w:val="Normal"/>
    <w:next w:val="Normal"/>
    <w:link w:val="Heading2Char"/>
    <w:autoRedefine/>
    <w:qFormat/>
    <w:rsid w:val="00D02FE4"/>
    <w:pPr>
      <w:keepNext/>
      <w:spacing w:before="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 Char,Footnote Text Char Char,Footnote,FSR footnote,lábléc,Carattere1,Footnote Text Char1 Char,Footnote Text Char2 Char Char Char,Footnote Text Char1 Char Char Char Char,Footnote Text Char Char Char Char Char Char,fn,f"/>
    <w:basedOn w:val="Normal"/>
    <w:link w:val="FootnoteTextChar"/>
    <w:rsid w:val="00D02FE4"/>
    <w:pPr>
      <w:spacing w:line="180" w:lineRule="exact"/>
      <w:ind w:left="142" w:hanging="142"/>
    </w:pPr>
    <w:rPr>
      <w:sz w:val="16"/>
      <w:szCs w:val="16"/>
    </w:rPr>
  </w:style>
  <w:style w:type="character" w:customStyle="1" w:styleId="FootnoteTextChar">
    <w:name w:val="Footnote Text Char"/>
    <w:aliases w:val="Fußnote Char1, Char Char,Footnote Text Char Char Char,Footnote Char,FSR footnote Char,lábléc Char,Carattere1 Char,Footnote Text Char1 Char Char,Footnote Text Char2 Char Char Char Char,Footnote Text Char1 Char Char Char Char Char"/>
    <w:link w:val="FootnoteText"/>
    <w:rsid w:val="00D02FE4"/>
    <w:rPr>
      <w:rFonts w:ascii="Verdana" w:hAnsi="Verdana"/>
      <w:sz w:val="16"/>
      <w:szCs w:val="16"/>
      <w:lang w:val="en-GB" w:eastAsia="en-US" w:bidi="ar-SA"/>
    </w:rPr>
  </w:style>
  <w:style w:type="character" w:styleId="FootnoteReference">
    <w:name w:val="footnote reference"/>
    <w:rsid w:val="00D02FE4"/>
    <w:rPr>
      <w:rFonts w:ascii="Arial" w:hAnsi="Arial"/>
      <w:dstrike w:val="0"/>
      <w:kern w:val="0"/>
      <w:position w:val="4"/>
      <w:sz w:val="12"/>
      <w:szCs w:val="12"/>
      <w:vertAlign w:val="baseline"/>
    </w:rPr>
  </w:style>
  <w:style w:type="character" w:customStyle="1" w:styleId="Heading2Char">
    <w:name w:val="Heading 2 Char"/>
    <w:link w:val="Heading2"/>
    <w:rsid w:val="00D02FE4"/>
    <w:rPr>
      <w:rFonts w:ascii="Verdana" w:hAnsi="Verdana"/>
      <w:b/>
      <w:sz w:val="24"/>
      <w:szCs w:val="24"/>
      <w:lang w:val="en-GB" w:eastAsia="en-US" w:bidi="ar-SA"/>
    </w:rPr>
  </w:style>
  <w:style w:type="paragraph" w:customStyle="1" w:styleId="Instructionsberschrift2">
    <w:name w:val="Instructions Überschrift 2"/>
    <w:basedOn w:val="Heading2"/>
    <w:rsid w:val="00D02FE4"/>
    <w:pPr>
      <w:numPr>
        <w:numId w:val="1"/>
      </w:numPr>
      <w:spacing w:after="240"/>
    </w:pPr>
    <w:rPr>
      <w:rFonts w:cs="Arial"/>
      <w:b w:val="0"/>
      <w:sz w:val="20"/>
      <w:u w:val="single"/>
    </w:rPr>
  </w:style>
  <w:style w:type="paragraph" w:customStyle="1" w:styleId="InstructionsText">
    <w:name w:val="Instructions Text"/>
    <w:basedOn w:val="Normal"/>
    <w:link w:val="InstructionsTextChar"/>
    <w:autoRedefine/>
    <w:rsid w:val="001B5CC0"/>
    <w:pPr>
      <w:spacing w:before="0" w:after="0"/>
      <w:ind w:left="33"/>
    </w:pPr>
    <w:rPr>
      <w:rFonts w:ascii="Times New Roman" w:hAnsi="Times New Roman"/>
      <w:szCs w:val="17"/>
      <w:u w:val="single"/>
      <w:lang w:eastAsia="de-DE"/>
    </w:rPr>
  </w:style>
  <w:style w:type="character" w:customStyle="1" w:styleId="InstructionsTabelleberschrift">
    <w:name w:val="Instructions Tabelle Überschrift"/>
    <w:qFormat/>
    <w:rsid w:val="00D02FE4"/>
    <w:rPr>
      <w:rFonts w:ascii="Verdana" w:hAnsi="Verdana" w:cs="Times New Roman"/>
      <w:b/>
      <w:bCs/>
      <w:sz w:val="20"/>
      <w:u w:val="single"/>
    </w:rPr>
  </w:style>
  <w:style w:type="character" w:customStyle="1" w:styleId="InstructionsTabelleText">
    <w:name w:val="Instructions Tabelle Text"/>
    <w:rsid w:val="00D02FE4"/>
    <w:rPr>
      <w:rFonts w:ascii="Verdana" w:hAnsi="Verdana" w:cs="Times New Roman"/>
      <w:sz w:val="20"/>
    </w:rPr>
  </w:style>
  <w:style w:type="character" w:customStyle="1" w:styleId="FormatvorlageInstructionsTabelleText">
    <w:name w:val="Formatvorlage Instructions Tabelle Text"/>
    <w:qFormat/>
    <w:rsid w:val="00D02FE4"/>
    <w:rPr>
      <w:rFonts w:ascii="Verdana" w:hAnsi="Verdana" w:cs="Times New Roman"/>
      <w:bCs/>
      <w:sz w:val="20"/>
      <w:u w:val="none"/>
    </w:rPr>
  </w:style>
  <w:style w:type="character" w:customStyle="1" w:styleId="InstructionsTextChar">
    <w:name w:val="Instructions Text Char"/>
    <w:link w:val="InstructionsText"/>
    <w:locked/>
    <w:rsid w:val="001B5CC0"/>
    <w:rPr>
      <w:szCs w:val="17"/>
      <w:u w:val="single"/>
      <w:lang w:val="en-GB" w:eastAsia="de-DE" w:bidi="ar-SA"/>
    </w:rPr>
  </w:style>
  <w:style w:type="paragraph" w:customStyle="1" w:styleId="InstructionsText2">
    <w:name w:val="Instructions Text 2"/>
    <w:basedOn w:val="InstructionsText"/>
    <w:qFormat/>
    <w:rsid w:val="00D02FE4"/>
    <w:pPr>
      <w:numPr>
        <w:numId w:val="28"/>
      </w:numPr>
      <w:spacing w:after="240"/>
    </w:pPr>
  </w:style>
  <w:style w:type="paragraph" w:customStyle="1" w:styleId="Paragraph">
    <w:name w:val="Paragraph"/>
    <w:basedOn w:val="Normal"/>
    <w:link w:val="ParagraphChar"/>
    <w:rsid w:val="009D253B"/>
    <w:pPr>
      <w:spacing w:before="0" w:after="240"/>
    </w:pPr>
    <w:rPr>
      <w:rFonts w:ascii="Arial" w:hAnsi="Arial"/>
      <w:sz w:val="22"/>
      <w:szCs w:val="20"/>
    </w:rPr>
  </w:style>
  <w:style w:type="character" w:customStyle="1" w:styleId="ParagraphChar">
    <w:name w:val="Paragraph Char"/>
    <w:link w:val="Paragraph"/>
    <w:rsid w:val="009D253B"/>
    <w:rPr>
      <w:rFonts w:ascii="Arial" w:hAnsi="Arial"/>
      <w:sz w:val="22"/>
      <w:lang w:val="en-GB" w:eastAsia="en-US" w:bidi="ar-SA"/>
    </w:rPr>
  </w:style>
  <w:style w:type="character" w:customStyle="1" w:styleId="FunoteChar">
    <w:name w:val="Fußnote Char"/>
    <w:aliases w:val=" Char Char Char"/>
    <w:semiHidden/>
    <w:rsid w:val="009D253B"/>
    <w:rPr>
      <w:rFonts w:ascii="Arial" w:hAnsi="Arial"/>
      <w:sz w:val="18"/>
      <w:lang w:val="en-GB" w:eastAsia="en-US" w:bidi="ar-SA"/>
    </w:rPr>
  </w:style>
  <w:style w:type="paragraph" w:customStyle="1" w:styleId="Bullets">
    <w:name w:val="Bullets"/>
    <w:basedOn w:val="Normal"/>
    <w:link w:val="BulletsChar"/>
    <w:rsid w:val="009D253B"/>
    <w:pPr>
      <w:tabs>
        <w:tab w:val="num" w:pos="851"/>
      </w:tabs>
      <w:spacing w:before="0"/>
      <w:ind w:left="851" w:hanging="851"/>
    </w:pPr>
    <w:rPr>
      <w:rFonts w:ascii="Arial" w:eastAsia="MS Mincho" w:hAnsi="Arial"/>
      <w:sz w:val="22"/>
      <w:szCs w:val="20"/>
      <w:lang w:eastAsia="ja-JP"/>
    </w:rPr>
  </w:style>
  <w:style w:type="character" w:customStyle="1" w:styleId="BulletsChar">
    <w:name w:val="Bullets Char"/>
    <w:link w:val="Bullets"/>
    <w:locked/>
    <w:rsid w:val="009D253B"/>
    <w:rPr>
      <w:rFonts w:ascii="Arial" w:eastAsia="MS Mincho" w:hAnsi="Arial"/>
      <w:sz w:val="22"/>
      <w:lang w:val="en-GB" w:eastAsia="ja-JP" w:bidi="ar-SA"/>
    </w:rPr>
  </w:style>
  <w:style w:type="paragraph" w:customStyle="1" w:styleId="TableText">
    <w:name w:val="TableText"/>
    <w:basedOn w:val="Normal"/>
    <w:rsid w:val="00DD1BB6"/>
    <w:pPr>
      <w:keepNext/>
      <w:spacing w:before="60" w:after="60"/>
      <w:jc w:val="left"/>
    </w:pPr>
    <w:rPr>
      <w:rFonts w:ascii="Arial" w:hAnsi="Arial"/>
      <w:szCs w:val="20"/>
    </w:rPr>
  </w:style>
  <w:style w:type="paragraph" w:styleId="BalloonText">
    <w:name w:val="Balloon Text"/>
    <w:basedOn w:val="Normal"/>
    <w:semiHidden/>
    <w:rsid w:val="00104F31"/>
    <w:rPr>
      <w:rFonts w:ascii="Tahoma" w:hAnsi="Tahoma" w:cs="Tahoma"/>
      <w:sz w:val="16"/>
      <w:szCs w:val="16"/>
    </w:rPr>
  </w:style>
  <w:style w:type="character" w:styleId="CommentReference">
    <w:name w:val="annotation reference"/>
    <w:rsid w:val="001128AA"/>
    <w:rPr>
      <w:sz w:val="16"/>
      <w:szCs w:val="16"/>
    </w:rPr>
  </w:style>
  <w:style w:type="paragraph" w:styleId="CommentText">
    <w:name w:val="annotation text"/>
    <w:basedOn w:val="Normal"/>
    <w:link w:val="CommentTextChar"/>
    <w:rsid w:val="001128AA"/>
    <w:rPr>
      <w:szCs w:val="20"/>
    </w:rPr>
  </w:style>
  <w:style w:type="character" w:customStyle="1" w:styleId="CommentTextChar">
    <w:name w:val="Comment Text Char"/>
    <w:link w:val="CommentText"/>
    <w:rsid w:val="001128AA"/>
    <w:rPr>
      <w:rFonts w:ascii="Verdana" w:hAnsi="Verdana"/>
      <w:lang w:val="en-GB" w:eastAsia="en-US"/>
    </w:rPr>
  </w:style>
  <w:style w:type="paragraph" w:styleId="CommentSubject">
    <w:name w:val="annotation subject"/>
    <w:basedOn w:val="CommentText"/>
    <w:next w:val="CommentText"/>
    <w:link w:val="CommentSubjectChar"/>
    <w:rsid w:val="001128AA"/>
    <w:rPr>
      <w:b/>
      <w:bCs/>
    </w:rPr>
  </w:style>
  <w:style w:type="character" w:customStyle="1" w:styleId="CommentSubjectChar">
    <w:name w:val="Comment Subject Char"/>
    <w:link w:val="CommentSubject"/>
    <w:rsid w:val="001128AA"/>
    <w:rPr>
      <w:rFonts w:ascii="Verdana" w:hAnsi="Verdana"/>
      <w:b/>
      <w:bCs/>
      <w:lang w:val="en-GB" w:eastAsia="en-US"/>
    </w:rPr>
  </w:style>
  <w:style w:type="paragraph" w:styleId="PlainText">
    <w:name w:val="Plain Text"/>
    <w:basedOn w:val="Normal"/>
    <w:semiHidden/>
    <w:rsid w:val="00392C32"/>
    <w:pPr>
      <w:spacing w:before="0" w:after="0"/>
      <w:jc w:val="left"/>
    </w:pPr>
    <w:rPr>
      <w:rFonts w:ascii="Consolas" w:hAnsi="Consolas"/>
      <w:sz w:val="21"/>
      <w:szCs w:val="21"/>
    </w:rPr>
  </w:style>
  <w:style w:type="paragraph" w:styleId="Footer">
    <w:name w:val="footer"/>
    <w:basedOn w:val="Normal"/>
    <w:rsid w:val="00392C32"/>
    <w:pPr>
      <w:tabs>
        <w:tab w:val="center" w:pos="4536"/>
        <w:tab w:val="right" w:pos="9072"/>
      </w:tabs>
      <w:spacing w:before="0" w:after="0"/>
      <w:jc w:val="left"/>
    </w:pPr>
    <w:rPr>
      <w:rFonts w:ascii="Times New Roman" w:hAnsi="Times New Roman"/>
      <w:sz w:val="24"/>
      <w:lang w:val="de-AT" w:eastAsia="de-AT"/>
    </w:rPr>
  </w:style>
  <w:style w:type="paragraph" w:customStyle="1" w:styleId="Numberedheadinglevel1">
    <w:name w:val="Numbered heading level 1"/>
    <w:basedOn w:val="Normal"/>
    <w:next w:val="Normal"/>
    <w:qFormat/>
    <w:rsid w:val="00BF691C"/>
    <w:pPr>
      <w:numPr>
        <w:numId w:val="32"/>
      </w:numPr>
      <w:tabs>
        <w:tab w:val="left" w:pos="0"/>
      </w:tabs>
      <w:spacing w:before="360" w:after="360"/>
    </w:pPr>
    <w:rPr>
      <w:rFonts w:ascii="Arial" w:hAnsi="Arial"/>
      <w:color w:val="4F81BD" w:themeColor="accent1"/>
      <w:sz w:val="28"/>
      <w:szCs w:val="28"/>
    </w:rPr>
  </w:style>
  <w:style w:type="paragraph" w:customStyle="1" w:styleId="Numberedheadinglevel2">
    <w:name w:val="Numbered heading level 2"/>
    <w:basedOn w:val="Normal"/>
    <w:next w:val="Normal"/>
    <w:qFormat/>
    <w:rsid w:val="00BF691C"/>
    <w:pPr>
      <w:numPr>
        <w:ilvl w:val="1"/>
        <w:numId w:val="32"/>
      </w:numPr>
      <w:tabs>
        <w:tab w:val="left" w:pos="567"/>
      </w:tabs>
      <w:spacing w:before="360" w:after="240"/>
    </w:pPr>
    <w:rPr>
      <w:rFonts w:ascii="Arial" w:hAnsi="Arial"/>
      <w:color w:val="4F81BD" w:themeColor="accent1"/>
      <w:sz w:val="24"/>
    </w:rPr>
  </w:style>
  <w:style w:type="paragraph" w:customStyle="1" w:styleId="Numberedheadinglevel3">
    <w:name w:val="Numbered heading level 3"/>
    <w:basedOn w:val="Normal"/>
    <w:next w:val="Normal"/>
    <w:qFormat/>
    <w:rsid w:val="00BF691C"/>
    <w:pPr>
      <w:numPr>
        <w:ilvl w:val="2"/>
        <w:numId w:val="32"/>
      </w:numPr>
      <w:tabs>
        <w:tab w:val="left" w:pos="567"/>
      </w:tabs>
      <w:spacing w:before="240"/>
    </w:pPr>
    <w:rPr>
      <w:rFonts w:ascii="Arial" w:hAnsi="Arial"/>
      <w:color w:val="4F81BD" w:themeColor="accent1"/>
      <w:szCs w:val="20"/>
    </w:rPr>
  </w:style>
  <w:style w:type="character" w:customStyle="1" w:styleId="DeltaViewInsertion">
    <w:name w:val="DeltaView Insertion"/>
    <w:rsid w:val="00723CA3"/>
    <w:rPr>
      <w:color w:val="0000FF"/>
      <w:spacing w:val="0"/>
      <w:u w:val="double"/>
    </w:rPr>
  </w:style>
  <w:style w:type="character" w:customStyle="1" w:styleId="DeltaViewDeletion">
    <w:name w:val="DeltaView Deletion"/>
    <w:rsid w:val="00723CA3"/>
    <w:rPr>
      <w:strike/>
      <w:color w:val="FF0000"/>
      <w:spacing w:val="0"/>
    </w:rPr>
  </w:style>
  <w:style w:type="paragraph" w:customStyle="1" w:styleId="Point1">
    <w:name w:val="Point 1"/>
    <w:basedOn w:val="Normal"/>
    <w:link w:val="Point1Char"/>
    <w:rsid w:val="00751DC2"/>
    <w:pPr>
      <w:ind w:left="1417" w:hanging="567"/>
    </w:pPr>
    <w:rPr>
      <w:rFonts w:ascii="Times New Roman" w:hAnsi="Times New Roman"/>
      <w:sz w:val="24"/>
      <w:lang w:eastAsia="de-DE"/>
    </w:rPr>
  </w:style>
  <w:style w:type="paragraph" w:customStyle="1" w:styleId="Point0number">
    <w:name w:val="Point 0 (number)"/>
    <w:basedOn w:val="Normal"/>
    <w:rsid w:val="00751DC2"/>
    <w:pPr>
      <w:tabs>
        <w:tab w:val="num" w:pos="360"/>
      </w:tabs>
      <w:ind w:left="850" w:hanging="850"/>
    </w:pPr>
    <w:rPr>
      <w:rFonts w:ascii="Times New Roman" w:hAnsi="Times New Roman"/>
      <w:sz w:val="24"/>
    </w:rPr>
  </w:style>
  <w:style w:type="character" w:customStyle="1" w:styleId="Point1Char">
    <w:name w:val="Point 1 Char"/>
    <w:link w:val="Point1"/>
    <w:locked/>
    <w:rsid w:val="00751DC2"/>
    <w:rPr>
      <w:sz w:val="24"/>
      <w:szCs w:val="24"/>
      <w:lang w:val="en-GB" w:eastAsia="de-DE"/>
    </w:rPr>
  </w:style>
  <w:style w:type="paragraph" w:styleId="Revision">
    <w:name w:val="Revision"/>
    <w:hidden/>
    <w:uiPriority w:val="99"/>
    <w:semiHidden/>
    <w:rsid w:val="0089454F"/>
    <w:rPr>
      <w:rFonts w:ascii="Verdana" w:hAnsi="Verdana"/>
      <w:szCs w:val="24"/>
      <w:lang w:val="en-GB" w:eastAsia="en-US"/>
    </w:rPr>
  </w:style>
  <w:style w:type="paragraph" w:styleId="ListParagraph">
    <w:name w:val="List Paragraph"/>
    <w:basedOn w:val="Normal"/>
    <w:uiPriority w:val="34"/>
    <w:qFormat/>
    <w:rsid w:val="007E6E38"/>
    <w:pPr>
      <w:ind w:left="720"/>
      <w:contextualSpacing/>
    </w:pPr>
  </w:style>
  <w:style w:type="paragraph" w:customStyle="1" w:styleId="DocTitle">
    <w:name w:val="Doc Title"/>
    <w:basedOn w:val="Normal"/>
    <w:qFormat/>
    <w:rsid w:val="00CB3679"/>
    <w:pPr>
      <w:spacing w:before="3280" w:after="480"/>
      <w:jc w:val="left"/>
    </w:pPr>
    <w:rPr>
      <w:rFonts w:ascii="Arial" w:hAnsi="Arial"/>
      <w:color w:val="4F81BD" w:themeColor="accent1"/>
      <w:sz w:val="40"/>
      <w:szCs w:val="40"/>
    </w:rPr>
  </w:style>
  <w:style w:type="paragraph" w:customStyle="1" w:styleId="SubTitle">
    <w:name w:val="Sub Title"/>
    <w:basedOn w:val="Heading2"/>
    <w:qFormat/>
    <w:rsid w:val="00CB3679"/>
    <w:pPr>
      <w:keepNext w:val="0"/>
      <w:spacing w:before="120" w:after="0"/>
      <w:contextualSpacing/>
      <w:jc w:val="left"/>
    </w:pPr>
    <w:rPr>
      <w:rFonts w:ascii="Arial" w:hAnsi="Arial"/>
      <w:b w:val="0"/>
      <w:color w:val="4F81BD" w:themeColor="accent1"/>
      <w:szCs w:val="20"/>
    </w:rPr>
  </w:style>
  <w:style w:type="paragraph" w:customStyle="1" w:styleId="Numberedparagraphs">
    <w:name w:val="Numbered paragraphs"/>
    <w:basedOn w:val="Normal"/>
    <w:qFormat/>
    <w:rsid w:val="00CB3679"/>
    <w:pPr>
      <w:numPr>
        <w:numId w:val="41"/>
      </w:numPr>
      <w:tabs>
        <w:tab w:val="left" w:pos="284"/>
      </w:tabs>
      <w:spacing w:before="0" w:after="300" w:line="300" w:lineRule="exact"/>
      <w:ind w:left="284" w:hanging="284"/>
    </w:pPr>
    <w:rPr>
      <w:rFonts w:ascii="Arial" w:hAnsi="Arial"/>
      <w:color w:val="000000"/>
      <w:szCs w:val="20"/>
    </w:rPr>
  </w:style>
  <w:style w:type="paragraph" w:styleId="Header">
    <w:name w:val="header"/>
    <w:basedOn w:val="Normal"/>
    <w:link w:val="HeaderChar"/>
    <w:rsid w:val="00CB3679"/>
    <w:pPr>
      <w:tabs>
        <w:tab w:val="center" w:pos="4513"/>
        <w:tab w:val="right" w:pos="9026"/>
      </w:tabs>
      <w:spacing w:before="0" w:after="0"/>
    </w:pPr>
  </w:style>
  <w:style w:type="character" w:customStyle="1" w:styleId="HeaderChar">
    <w:name w:val="Header Char"/>
    <w:basedOn w:val="DefaultParagraphFont"/>
    <w:link w:val="Header"/>
    <w:rsid w:val="00CB3679"/>
    <w:rPr>
      <w:rFonts w:ascii="Verdana" w:hAnsi="Verdana"/>
      <w:szCs w:val="24"/>
      <w:lang w:val="en-GB" w:eastAsia="en-US"/>
    </w:rPr>
  </w:style>
  <w:style w:type="paragraph" w:customStyle="1" w:styleId="CM15">
    <w:name w:val="CM1+5"/>
    <w:basedOn w:val="Normal"/>
    <w:next w:val="Normal"/>
    <w:uiPriority w:val="99"/>
    <w:rsid w:val="00EA3AE7"/>
    <w:pPr>
      <w:autoSpaceDE w:val="0"/>
      <w:autoSpaceDN w:val="0"/>
      <w:adjustRightInd w:val="0"/>
      <w:spacing w:before="0" w:after="0"/>
      <w:jc w:val="left"/>
    </w:pPr>
    <w:rPr>
      <w:rFonts w:ascii="EUAlbertina" w:hAnsi="EUAlbertina"/>
      <w:sz w:val="24"/>
      <w:lang w:val="en-IE" w:eastAsia="fr-FR"/>
    </w:rPr>
  </w:style>
  <w:style w:type="paragraph" w:customStyle="1" w:styleId="CM35">
    <w:name w:val="CM3+5"/>
    <w:basedOn w:val="Normal"/>
    <w:next w:val="Normal"/>
    <w:uiPriority w:val="99"/>
    <w:rsid w:val="00EA3AE7"/>
    <w:pPr>
      <w:autoSpaceDE w:val="0"/>
      <w:autoSpaceDN w:val="0"/>
      <w:adjustRightInd w:val="0"/>
      <w:spacing w:before="0" w:after="0"/>
      <w:jc w:val="left"/>
    </w:pPr>
    <w:rPr>
      <w:rFonts w:ascii="EUAlbertina" w:hAnsi="EUAlbertina"/>
      <w:sz w:val="24"/>
      <w:lang w:val="en-I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5910">
      <w:bodyDiv w:val="1"/>
      <w:marLeft w:val="0"/>
      <w:marRight w:val="0"/>
      <w:marTop w:val="0"/>
      <w:marBottom w:val="0"/>
      <w:divBdr>
        <w:top w:val="none" w:sz="0" w:space="0" w:color="auto"/>
        <w:left w:val="none" w:sz="0" w:space="0" w:color="auto"/>
        <w:bottom w:val="none" w:sz="0" w:space="0" w:color="auto"/>
        <w:right w:val="none" w:sz="0" w:space="0" w:color="auto"/>
      </w:divBdr>
    </w:div>
    <w:div w:id="108595124">
      <w:bodyDiv w:val="1"/>
      <w:marLeft w:val="0"/>
      <w:marRight w:val="0"/>
      <w:marTop w:val="0"/>
      <w:marBottom w:val="0"/>
      <w:divBdr>
        <w:top w:val="none" w:sz="0" w:space="0" w:color="auto"/>
        <w:left w:val="none" w:sz="0" w:space="0" w:color="auto"/>
        <w:bottom w:val="none" w:sz="0" w:space="0" w:color="auto"/>
        <w:right w:val="none" w:sz="0" w:space="0" w:color="auto"/>
      </w:divBdr>
    </w:div>
    <w:div w:id="513229451">
      <w:bodyDiv w:val="1"/>
      <w:marLeft w:val="0"/>
      <w:marRight w:val="0"/>
      <w:marTop w:val="0"/>
      <w:marBottom w:val="0"/>
      <w:divBdr>
        <w:top w:val="none" w:sz="0" w:space="0" w:color="auto"/>
        <w:left w:val="none" w:sz="0" w:space="0" w:color="auto"/>
        <w:bottom w:val="none" w:sz="0" w:space="0" w:color="auto"/>
        <w:right w:val="none" w:sz="0" w:space="0" w:color="auto"/>
      </w:divBdr>
    </w:div>
    <w:div w:id="655383701">
      <w:bodyDiv w:val="1"/>
      <w:marLeft w:val="0"/>
      <w:marRight w:val="0"/>
      <w:marTop w:val="0"/>
      <w:marBottom w:val="0"/>
      <w:divBdr>
        <w:top w:val="none" w:sz="0" w:space="0" w:color="auto"/>
        <w:left w:val="none" w:sz="0" w:space="0" w:color="auto"/>
        <w:bottom w:val="none" w:sz="0" w:space="0" w:color="auto"/>
        <w:right w:val="none" w:sz="0" w:space="0" w:color="auto"/>
      </w:divBdr>
    </w:div>
    <w:div w:id="680666033">
      <w:bodyDiv w:val="1"/>
      <w:marLeft w:val="0"/>
      <w:marRight w:val="0"/>
      <w:marTop w:val="0"/>
      <w:marBottom w:val="0"/>
      <w:divBdr>
        <w:top w:val="none" w:sz="0" w:space="0" w:color="auto"/>
        <w:left w:val="none" w:sz="0" w:space="0" w:color="auto"/>
        <w:bottom w:val="none" w:sz="0" w:space="0" w:color="auto"/>
        <w:right w:val="none" w:sz="0" w:space="0" w:color="auto"/>
      </w:divBdr>
    </w:div>
    <w:div w:id="836917998">
      <w:bodyDiv w:val="1"/>
      <w:marLeft w:val="0"/>
      <w:marRight w:val="0"/>
      <w:marTop w:val="0"/>
      <w:marBottom w:val="0"/>
      <w:divBdr>
        <w:top w:val="none" w:sz="0" w:space="0" w:color="auto"/>
        <w:left w:val="none" w:sz="0" w:space="0" w:color="auto"/>
        <w:bottom w:val="none" w:sz="0" w:space="0" w:color="auto"/>
        <w:right w:val="none" w:sz="0" w:space="0" w:color="auto"/>
      </w:divBdr>
    </w:div>
    <w:div w:id="850027614">
      <w:bodyDiv w:val="1"/>
      <w:marLeft w:val="0"/>
      <w:marRight w:val="0"/>
      <w:marTop w:val="0"/>
      <w:marBottom w:val="0"/>
      <w:divBdr>
        <w:top w:val="none" w:sz="0" w:space="0" w:color="auto"/>
        <w:left w:val="none" w:sz="0" w:space="0" w:color="auto"/>
        <w:bottom w:val="none" w:sz="0" w:space="0" w:color="auto"/>
        <w:right w:val="none" w:sz="0" w:space="0" w:color="auto"/>
      </w:divBdr>
    </w:div>
    <w:div w:id="1090393875">
      <w:bodyDiv w:val="1"/>
      <w:marLeft w:val="0"/>
      <w:marRight w:val="0"/>
      <w:marTop w:val="0"/>
      <w:marBottom w:val="0"/>
      <w:divBdr>
        <w:top w:val="none" w:sz="0" w:space="0" w:color="auto"/>
        <w:left w:val="none" w:sz="0" w:space="0" w:color="auto"/>
        <w:bottom w:val="none" w:sz="0" w:space="0" w:color="auto"/>
        <w:right w:val="none" w:sz="0" w:space="0" w:color="auto"/>
      </w:divBdr>
    </w:div>
    <w:div w:id="1532644019">
      <w:bodyDiv w:val="1"/>
      <w:marLeft w:val="0"/>
      <w:marRight w:val="0"/>
      <w:marTop w:val="0"/>
      <w:marBottom w:val="0"/>
      <w:divBdr>
        <w:top w:val="none" w:sz="0" w:space="0" w:color="auto"/>
        <w:left w:val="none" w:sz="0" w:space="0" w:color="auto"/>
        <w:bottom w:val="none" w:sz="0" w:space="0" w:color="auto"/>
        <w:right w:val="none" w:sz="0" w:space="0" w:color="auto"/>
      </w:divBdr>
    </w:div>
    <w:div w:id="1533498576">
      <w:bodyDiv w:val="1"/>
      <w:marLeft w:val="0"/>
      <w:marRight w:val="0"/>
      <w:marTop w:val="0"/>
      <w:marBottom w:val="0"/>
      <w:divBdr>
        <w:top w:val="none" w:sz="0" w:space="0" w:color="auto"/>
        <w:left w:val="none" w:sz="0" w:space="0" w:color="auto"/>
        <w:bottom w:val="none" w:sz="0" w:space="0" w:color="auto"/>
        <w:right w:val="none" w:sz="0" w:space="0" w:color="auto"/>
      </w:divBdr>
    </w:div>
    <w:div w:id="1676225399">
      <w:bodyDiv w:val="1"/>
      <w:marLeft w:val="0"/>
      <w:marRight w:val="0"/>
      <w:marTop w:val="0"/>
      <w:marBottom w:val="0"/>
      <w:divBdr>
        <w:top w:val="none" w:sz="0" w:space="0" w:color="auto"/>
        <w:left w:val="none" w:sz="0" w:space="0" w:color="auto"/>
        <w:bottom w:val="none" w:sz="0" w:space="0" w:color="auto"/>
        <w:right w:val="none" w:sz="0" w:space="0" w:color="auto"/>
      </w:divBdr>
    </w:div>
    <w:div w:id="1778333230">
      <w:bodyDiv w:val="1"/>
      <w:marLeft w:val="0"/>
      <w:marRight w:val="0"/>
      <w:marTop w:val="0"/>
      <w:marBottom w:val="0"/>
      <w:divBdr>
        <w:top w:val="none" w:sz="0" w:space="0" w:color="auto"/>
        <w:left w:val="none" w:sz="0" w:space="0" w:color="auto"/>
        <w:bottom w:val="none" w:sz="0" w:space="0" w:color="auto"/>
        <w:right w:val="none" w:sz="0" w:space="0" w:color="auto"/>
      </w:divBdr>
    </w:div>
    <w:div w:id="192009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888A5-E1A1-4112-9863-1CC16ED01E4F}">
  <ds:schemaRefs>
    <ds:schemaRef ds:uri="http://schemas.openxmlformats.org/officeDocument/2006/bibliography"/>
  </ds:schemaRefs>
</ds:datastoreItem>
</file>

<file path=customXml/itemProps2.xml><?xml version="1.0" encoding="utf-8"?>
<ds:datastoreItem xmlns:ds="http://schemas.openxmlformats.org/officeDocument/2006/customXml" ds:itemID="{AAF75A88-0F6E-4D30-BD1D-08F84624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7173</Words>
  <Characters>40888</Characters>
  <Application>Microsoft Office Word</Application>
  <DocSecurity>0</DocSecurity>
  <Lines>340</Lines>
  <Paragraphs>95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PART II: TEMPLATE RELATED INSTRUCTIONS</vt:lpstr>
      <vt:lpstr>PART II: TEMPLATE RELATED INSTRUCTIONS</vt:lpstr>
    </vt:vector>
  </TitlesOfParts>
  <Company>Financial Services Authority</Company>
  <LinksUpToDate>false</LinksUpToDate>
  <CharactersWithSpaces>47966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TEMPLATE RELATED INSTRUCTIONS</dc:title>
  <dc:creator>mabdelli</dc:creator>
  <cp:lastModifiedBy>malba</cp:lastModifiedBy>
  <cp:revision>3</cp:revision>
  <cp:lastPrinted>2013-10-30T14:32:00Z</cp:lastPrinted>
  <dcterms:created xsi:type="dcterms:W3CDTF">2014-07-10T14:13:00Z</dcterms:created>
  <dcterms:modified xsi:type="dcterms:W3CDTF">2014-07-18T09:55:00Z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gFAAXJDLFUo5N7unGP9kUBbqvhLQIJscQnjJY4xD+dGpziffwBYUZ621pbLrBPs/WcwN0tcAGQtHvCFM_x000d_
3T/x091d1AWUwMNDdE/Av0CQqYk2Hg/F4Nh6coUUsSD+Tsg4a5ZJenvs72R3+1eLh12dR8xbcXWv_x000d_
K5+xf2hCyazLXhs9NmyqwQNZRDQ2BALi6j02xnsO2ZBYnEuDLhVHmhIl+CEZ9Mda6DOmAr5HhIA0_x000d_
YnlSqt8jOWdj4Tyg8</vt:lpwstr>
  </property>
  <property fmtid="{D5CDD505-2E9C-101B-9397-08002B2CF9AE}" pid="3" name="MAIL_MSG_ID2">
    <vt:lpwstr>WJ8XpAoQxKdbXxCn1bR9Z6fxKZW95BRMdMhhT7m/8Ejv14Oa89m9ZgLkNVM_x000d_
Ussb5/SdsbiPhKK0JA2MqwXAHnFG/VSBfRjOzA==</vt:lpwstr>
  </property>
  <property fmtid="{D5CDD505-2E9C-101B-9397-08002B2CF9AE}" pid="4" name="RESPONSE_SENDER_NAME">
    <vt:lpwstr>sAAA4E8dREqJqIqQ8043TmSfpK2Y3z+Vu+xReiKSeWwV8v0=</vt:lpwstr>
  </property>
  <property fmtid="{D5CDD505-2E9C-101B-9397-08002B2CF9AE}" pid="5" name="EMAIL_OWNER_ADDRESS">
    <vt:lpwstr>4AAAyjQjm0EOGgLdpxEAuTOStZAPJflHB1hBCjK4hju38YpqEB5SAx5tcA==</vt:lpwstr>
  </property>
  <property fmtid="{D5CDD505-2E9C-101B-9397-08002B2CF9AE}" pid="6" name="_NewReviewCycle">
    <vt:lpwstr/>
  </property>
</Properties>
</file>