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D97176"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D97176" w:rsidR="005B3658" w:rsidTr="000E200C" w14:paraId="3170F2D8" w14:textId="77777777">
            <w:tc>
              <w:tcPr>
                <w:tcW w:w="3969" w:type="dxa"/>
                <w:tcBorders>
                  <w:bottom w:val="single" w:color="A6A6A6" w:themeColor="background1" w:themeShade="A6" w:sz="4" w:space="0"/>
                </w:tcBorders>
                <w:shd w:val="clear" w:color="auto" w:fill="auto"/>
              </w:tcPr>
              <w:p w:rsidRPr="00D97176" w:rsidR="005B3658" w:rsidP="005B3658" w:rsidRDefault="005B3658" w14:paraId="6AAE07DF" w14:textId="2C0BC0C2">
                <w:r w:rsidRPr="00D97176">
                  <w:t>EBA/GL/2020/14</w:t>
                </w:r>
                <w:r w:rsidRPr="000E200C" w:rsidR="000E200C">
                  <w:t xml:space="preserve"> (geconsolideerde versie)</w:t>
                </w:r>
              </w:p>
            </w:tc>
          </w:tr>
          <w:tr w:rsidRPr="00D97176" w:rsidR="005B3658" w:rsidTr="000E200C"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D97176" w:rsidR="005B3658" w:rsidP="005B3658" w:rsidRDefault="005B3658" w14:paraId="55211379" w14:textId="73FFF2EB">
                <w:r w:rsidRPr="00D97176">
                  <w:rPr>
                    <w:color w:val="000000"/>
                  </w:rPr>
                  <w:t>4 november 2020</w:t>
                </w:r>
              </w:p>
            </w:tc>
          </w:tr>
        </w:tbl>
        <w:p w:rsidRPr="00D97176"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D97176"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FE711D" w:rsidP="00FE711D" w:rsidRDefault="00FE711D" w14:paraId="5EA29471"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D97176" w:rsidR="00B43E07" w:rsidP="00721D07" w:rsidRDefault="00A81586" w14:paraId="6E80AD78" w14:textId="1CA22651">
                <w:pPr>
                  <w:pStyle w:val="Contenttitle"/>
                </w:pPr>
                <w:r w:rsidRPr="00D97176">
                  <w:t xml:space="preserve">Richtsnoeren </w:t>
                </w:r>
              </w:p>
            </w:tc>
          </w:tr>
          <w:tr w:rsidRPr="00D97176" w:rsidR="00B43E07" w:rsidTr="00993B1E" w14:paraId="15A7E3AC" w14:textId="77777777">
            <w:tc>
              <w:tcPr>
                <w:tcW w:w="8781" w:type="dxa"/>
                <w:tcMar>
                  <w:left w:w="0" w:type="dxa"/>
                  <w:right w:w="0" w:type="dxa"/>
                </w:tcMar>
                <w:vAlign w:val="top"/>
              </w:tcPr>
              <w:p w:rsidRPr="009E34BC" w:rsidR="00B43E07" w:rsidP="00E410F0" w:rsidRDefault="00B43E07" w14:paraId="0720F01B" w14:textId="502EF582">
                <w:pPr>
                  <w:pStyle w:val="Titlelevel4"/>
                  <w:rPr>
                    <w:lang w:val="nl-NL"/>
                  </w:rPr>
                </w:pPr>
                <w:r w:rsidRPr="009E34BC">
                  <w:rPr>
                    <w:rFonts w:asciiTheme="majorHAnsi" w:hAnsiTheme="majorHAnsi"/>
                    <w:bCs/>
                    <w:color w:val="2F5773" w:themeColor="text2"/>
                    <w:sz w:val="52"/>
                    <w:szCs w:val="52"/>
                    <w:lang w:val="nl-NL"/>
                  </w:rPr>
                  <w:t>inzake de specificatie en openbaarmaking van indicatoren voor systeemrelevantie</w:t>
                </w:r>
              </w:p>
            </w:tc>
          </w:tr>
        </w:tbl>
        <w:p w:rsidRPr="000E200C" w:rsidR="00B43E07" w:rsidP="00B43E07" w:rsidRDefault="00B43E07" w14:paraId="41F2A21B" w14:textId="77777777">
          <w:pPr>
            <w:rPr>
              <w:sz w:val="52"/>
              <w:szCs w:val="52"/>
            </w:rPr>
          </w:pPr>
        </w:p>
        <w:p w:rsidRPr="000E200C" w:rsidR="00B43E07" w:rsidP="00B43E07" w:rsidRDefault="00B43E07" w14:paraId="1441AC18" w14:textId="58B129A4">
          <w:pPr>
            <w:rPr>
              <w:sz w:val="52"/>
              <w:szCs w:val="52"/>
            </w:rPr>
          </w:pPr>
        </w:p>
        <w:p w:rsidRPr="000E200C" w:rsidR="000E200C" w:rsidP="00B43E07" w:rsidRDefault="000E200C" w14:paraId="1F976CB8" w14:textId="0F329727">
          <w:pPr>
            <w:rPr>
              <w:sz w:val="52"/>
              <w:szCs w:val="52"/>
            </w:rPr>
          </w:pPr>
        </w:p>
        <w:p w:rsidRPr="000E200C" w:rsidR="000E200C" w:rsidP="00B43E07" w:rsidRDefault="000E200C" w14:paraId="22DD7183" w14:textId="245866DD">
          <w:pPr>
            <w:rPr>
              <w:sz w:val="52"/>
              <w:szCs w:val="52"/>
            </w:rPr>
          </w:pPr>
        </w:p>
        <w:p w:rsidR="000E200C" w:rsidP="00B43E07" w:rsidRDefault="000E200C" w14:paraId="6E6EEF91" w14:textId="30E9923A"/>
        <w:tbl>
          <w:tblPr>
            <w:tblStyle w:val="EBAtable"/>
            <w:tblW w:w="9125" w:type="dxa"/>
            <w:tblLook w:val="04A0" w:firstRow="1" w:lastRow="0" w:firstColumn="1" w:lastColumn="0" w:noHBand="0" w:noVBand="1"/>
          </w:tblPr>
          <w:tblGrid>
            <w:gridCol w:w="824"/>
            <w:gridCol w:w="2190"/>
            <w:gridCol w:w="6111"/>
          </w:tblGrid>
          <w:tr w:rsidRPr="00D13DB3" w:rsidR="000E200C" w:rsidTr="005D18C0" w14:paraId="2DE09562"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0E200C" w:rsidP="005D18C0" w:rsidRDefault="000E200C" w14:paraId="59FFCCF3" w14:textId="77777777">
                <w:pPr>
                  <w:spacing w:before="240" w:after="120" w:line="276" w:lineRule="auto"/>
                  <w:jc w:val="both"/>
                  <w:rPr>
                    <w:rFonts w:eastAsia="MS PGothic" w:cs="Times New Roman"/>
                    <w:lang w:eastAsia="en-GB"/>
                  </w:rPr>
                </w:pPr>
              </w:p>
              <w:p w:rsidRPr="00D13DB3" w:rsidR="000E200C" w:rsidP="005D18C0" w:rsidRDefault="000E200C" w14:paraId="45667EFD" w14:textId="77777777">
                <w:pPr>
                  <w:rPr>
                    <w:rFonts w:eastAsia="MS PGothic" w:cs="Times New Roman"/>
                    <w:lang w:val="en-GB" w:eastAsia="en-GB"/>
                  </w:rPr>
                </w:pPr>
              </w:p>
            </w:tc>
            <w:tc>
              <w:tcPr>
                <w:tcW w:w="6111" w:type="dxa"/>
                <w:tcBorders>
                  <w:top w:val="single" w:color="auto" w:sz="12" w:space="0"/>
                  <w:right w:val="single" w:color="auto" w:sz="12" w:space="0"/>
                </w:tcBorders>
              </w:tcPr>
              <w:p w:rsidRPr="000E200C" w:rsidR="000E200C" w:rsidP="000E200C" w:rsidRDefault="000E200C" w14:paraId="08227B4B" w14:textId="60F50286">
                <w:pPr>
                  <w:rPr>
                    <w:rFonts w:ascii="Calibri" w:hAnsi="Calibri" w:cs="Calibri"/>
                    <w:color w:val="000000"/>
                    <w:szCs w:val="22"/>
                  </w:rPr>
                </w:pPr>
                <w:r>
                  <w:rPr>
                    <w:rFonts w:ascii="Calibri" w:hAnsi="Calibri" w:cs="Calibri"/>
                    <w:color w:val="000000"/>
                    <w:szCs w:val="22"/>
                  </w:rPr>
                  <w:t>Toepassingsdatum</w:t>
                </w:r>
              </w:p>
            </w:tc>
          </w:tr>
          <w:tr w:rsidRPr="00D13DB3" w:rsidR="000E200C" w:rsidTr="005D18C0" w14:paraId="42B0A63B" w14:textId="77777777">
            <w:trPr>
              <w:trHeight w:val="300"/>
            </w:trPr>
            <w:tc>
              <w:tcPr>
                <w:tcW w:w="3014" w:type="dxa"/>
                <w:gridSpan w:val="2"/>
                <w:tcBorders>
                  <w:left w:val="single" w:color="auto" w:sz="12" w:space="0"/>
                </w:tcBorders>
              </w:tcPr>
              <w:p w:rsidRPr="00D13DB3" w:rsidR="000E200C" w:rsidP="005D18C0" w:rsidRDefault="000E200C" w14:paraId="1BCF9FBA"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0E200C" w:rsidP="005D18C0" w:rsidRDefault="000E200C" w14:paraId="072F7538"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0E200C" w:rsidTr="005D18C0" w14:paraId="36765BFF" w14:textId="77777777">
            <w:trPr>
              <w:trHeight w:val="300"/>
            </w:trPr>
            <w:tc>
              <w:tcPr>
                <w:tcW w:w="3014" w:type="dxa"/>
                <w:gridSpan w:val="2"/>
                <w:tcBorders>
                  <w:left w:val="single" w:color="auto" w:sz="12" w:space="0"/>
                </w:tcBorders>
              </w:tcPr>
              <w:p w:rsidRPr="000E200C" w:rsidR="000E200C" w:rsidP="000E200C" w:rsidRDefault="000E200C" w14:paraId="0DE60AD1" w14:textId="0B15839C">
                <w:pPr>
                  <w:rPr>
                    <w:rFonts w:ascii="Calibri" w:hAnsi="Calibri" w:cs="Calibri"/>
                    <w:color w:val="000000"/>
                    <w:szCs w:val="22"/>
                  </w:rPr>
                </w:pPr>
                <w:r>
                  <w:rPr>
                    <w:rFonts w:ascii="Calibri" w:hAnsi="Calibri" w:cs="Calibri"/>
                    <w:color w:val="000000"/>
                    <w:szCs w:val="22"/>
                  </w:rPr>
                  <w:t>Gewijzigd bij:</w:t>
                </w:r>
              </w:p>
            </w:tc>
            <w:tc>
              <w:tcPr>
                <w:tcW w:w="6111" w:type="dxa"/>
                <w:tcBorders>
                  <w:right w:val="single" w:color="auto" w:sz="12" w:space="0"/>
                </w:tcBorders>
              </w:tcPr>
              <w:p w:rsidRPr="00D13DB3" w:rsidR="000E200C" w:rsidP="005D18C0" w:rsidRDefault="000E200C" w14:paraId="4D399E2F" w14:textId="77777777">
                <w:pPr>
                  <w:rPr>
                    <w:rFonts w:eastAsia="MS PGothic" w:cs="Times New Roman"/>
                    <w:lang w:val="en-GB" w:eastAsia="en-GB"/>
                  </w:rPr>
                </w:pPr>
              </w:p>
            </w:tc>
          </w:tr>
          <w:tr w:rsidRPr="00D13DB3" w:rsidR="000E200C" w:rsidTr="005D18C0" w14:paraId="588E4DBD" w14:textId="77777777">
            <w:trPr>
              <w:trHeight w:val="58"/>
            </w:trPr>
            <w:tc>
              <w:tcPr>
                <w:tcW w:w="824" w:type="dxa"/>
                <w:tcBorders>
                  <w:left w:val="single" w:color="auto" w:sz="12" w:space="0"/>
                  <w:bottom w:val="single" w:color="auto" w:sz="12" w:space="0"/>
                </w:tcBorders>
              </w:tcPr>
              <w:p w:rsidRPr="00D13DB3" w:rsidR="000E200C" w:rsidP="005D18C0" w:rsidRDefault="000E200C" w14:paraId="75B42731"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0E200C" w:rsidP="005D18C0" w:rsidRDefault="000E200C" w14:paraId="1B506FAD"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0E200C" w:rsidP="005D18C0" w:rsidRDefault="000E200C" w14:paraId="77D8F079" w14:textId="77777777">
                <w:pPr>
                  <w:rPr>
                    <w:rFonts w:eastAsia="MS PGothic" w:cs="Times New Roman"/>
                    <w:lang w:val="en-GB" w:eastAsia="en-GB"/>
                  </w:rPr>
                </w:pPr>
              </w:p>
            </w:tc>
          </w:tr>
        </w:tbl>
        <w:p w:rsidRPr="00B92FD3" w:rsidR="000E200C" w:rsidP="00B43E07" w:rsidRDefault="000E200C" w14:paraId="0B9B7AFD" w14:textId="77777777"/>
        <w:p w:rsidRPr="00D97176" w:rsidR="00B43E07" w:rsidP="00B43E07" w:rsidRDefault="00B43E07" w14:paraId="3673D6BB" w14:textId="77777777">
          <w:r w:rsidRPr="00D97176">
            <w:br w:type="page"/>
          </w:r>
        </w:p>
      </w:sdtContent>
    </w:sdt>
    <w:p w:rsidRPr="00D97176" w:rsidR="00B43E07" w:rsidP="00511E87" w:rsidRDefault="00B43E07" w14:paraId="72D6F5BF" w14:textId="77777777">
      <w:pPr>
        <w:pStyle w:val="Numberedtilelevel1"/>
        <w:numPr>
          <w:ilvl w:val="0"/>
          <w:numId w:val="12"/>
        </w:numPr>
      </w:pPr>
      <w:r w:rsidRPr="00D97176">
        <w:lastRenderedPageBreak/>
        <w:t>Nalevings- en rapportageverplichtingen</w:t>
      </w:r>
    </w:p>
    <w:p w:rsidRPr="00D97176" w:rsidR="00B43E07" w:rsidP="00B43E07" w:rsidRDefault="00B43E07" w14:paraId="3B9E826E" w14:textId="5EE3EC56">
      <w:pPr>
        <w:pStyle w:val="Titlelevel2"/>
      </w:pPr>
      <w:r w:rsidRPr="00D97176">
        <w:t>Status van deze richtsnoeren</w:t>
      </w:r>
    </w:p>
    <w:p w:rsidRPr="00D97176" w:rsidR="00B43E07" w:rsidP="00511E87" w:rsidRDefault="00B43E07" w14:paraId="4AFE96B1" w14:textId="13B187BE">
      <w:pPr>
        <w:pStyle w:val="body"/>
        <w:numPr>
          <w:ilvl w:val="0"/>
          <w:numId w:val="10"/>
        </w:numPr>
      </w:pPr>
      <w:r w:rsidRPr="00D97176">
        <w:t>Dit document bevat richtsnoeren die zijn uitgebracht op grond van artikel 16 van Verordening (EU) nr. 1093/2010</w:t>
      </w:r>
      <w:r w:rsidRPr="00D97176">
        <w:rPr>
          <w:rStyle w:val="FootnoteReference"/>
          <w:lang w:val="en-GB"/>
        </w:rPr>
        <w:footnoteReference w:id="2"/>
      </w:r>
      <w:r w:rsidRPr="00D97176">
        <w:t>. Overeenkomstig artikel 16, lid 3, van Verordening (EU) nr. 1093/2010 zijn bevoegde autoriteiten en financiële instellingen gehouden zich tot het uiterste in te spannen om aan de richtsnoeren te voldoen.</w:t>
      </w:r>
    </w:p>
    <w:p w:rsidRPr="00D97176" w:rsidR="00B43E07" w:rsidP="00511E87" w:rsidRDefault="00B43E07" w14:paraId="23E7F140" w14:textId="591D7378">
      <w:pPr>
        <w:pStyle w:val="body"/>
        <w:numPr>
          <w:ilvl w:val="0"/>
          <w:numId w:val="10"/>
        </w:numPr>
      </w:pPr>
      <w:r w:rsidRPr="00D97176">
        <w:t>De richtsnoeren beschrijven het standpunt van EBA inzake passende toezichtpraktijken binnen het Europees systeem voor financieel toezicht en de wijze waarop de EU-wetgeving in een bepaald gebied moet worden toegepast. Bevoegde autoriteiten als bedoeld in artikel 4, punt 2, van Verordening (EU) nr. 1093/2010 voor wie richtsnoeren gelden, dienen hieraan te voldoen door deze op passende wijze in hun praktijken te integreren (bijvoorbeeld door hun wettelijk kader of hun toezichtprocessen aan te passen), ook wanneer richtsnoeren primair tot instellingen zijn gericht.</w:t>
      </w:r>
    </w:p>
    <w:p w:rsidRPr="00D97176" w:rsidR="00B43E07" w:rsidP="00B43E07" w:rsidRDefault="00B43E07" w14:paraId="141EDBC6" w14:textId="77777777">
      <w:pPr>
        <w:pStyle w:val="Titlelevel2"/>
      </w:pPr>
      <w:r w:rsidRPr="00D97176">
        <w:t>Rapportageverplichtingen</w:t>
      </w:r>
    </w:p>
    <w:p w:rsidRPr="00D97176" w:rsidR="00B43E07" w:rsidP="00511E87" w:rsidRDefault="00236329" w14:paraId="7EE20541" w14:textId="77B5868E">
      <w:pPr>
        <w:pStyle w:val="body"/>
        <w:numPr>
          <w:ilvl w:val="0"/>
          <w:numId w:val="10"/>
        </w:numPr>
      </w:pPr>
      <w:r w:rsidRPr="00D97176">
        <w:t xml:space="preserve">Overeenkomstig artikel 16, lid 3, van Verordening (EU) nr. 1093/2010 stellen bevoegde autoriteiten EBA vóór </w:t>
      </w:r>
      <w:r w:rsidR="00674817">
        <w:t>16.02.2021</w:t>
      </w:r>
      <w:r w:rsidRPr="00D97176">
        <w:t xml:space="preserve"> ervan in kennis dat zij aan deze richtsnoeren voldoen of voornemens zijn deze op te volgen, of, indien dit niet het geval is, wat de redenen van de niet-naleving zijn. Bevoegde autoriteiten die bij het verstrijken van de termijn niet hebben gereageerd, worden geacht niet te hebben voldaan aan de richtsnoeren. Kennisgevingen worden ingediend door het formulier </w:t>
      </w:r>
      <w:r w:rsidR="00E208EA">
        <w:t xml:space="preserve">met het kenmerk </w:t>
      </w:r>
      <w:r w:rsidRPr="00D97176" w:rsidR="00080CE9">
        <w:t>“EBA/GL/2020/14”</w:t>
      </w:r>
      <w:r w:rsidR="00E208EA">
        <w:t xml:space="preserve">, dat beschikbaar is </w:t>
      </w:r>
      <w:r w:rsidRPr="00D97176">
        <w:t>op de website van EBA</w:t>
      </w:r>
      <w:r w:rsidR="00E208EA">
        <w:t>,</w:t>
      </w:r>
      <w:r w:rsidRPr="00D97176">
        <w:t xml:space="preserve"> te versturen. Kennisgevingen worden ingediend door personen die bevoegd zijn om namens hun bevoegde autoriteiten te melden of zij aan de richtsnoeren voldoen. Elke verandering in de status van naleving moet eveneens aan EBA worden gemeld.</w:t>
      </w:r>
    </w:p>
    <w:p w:rsidRPr="00D97176" w:rsidR="00B43E07" w:rsidP="00511E87" w:rsidRDefault="00B43E07" w14:paraId="3FF09602" w14:textId="563622BD">
      <w:pPr>
        <w:pStyle w:val="body"/>
        <w:numPr>
          <w:ilvl w:val="0"/>
          <w:numId w:val="10"/>
        </w:numPr>
      </w:pPr>
      <w:r w:rsidRPr="00D97176">
        <w:t>Kennisgevingen worden overeenkomstig artikel 16, lid 3, van de EBA-verordening op de website van EBA bekendgemaakt.</w:t>
      </w:r>
    </w:p>
    <w:p w:rsidRPr="00D97176" w:rsidR="00B43E07" w:rsidP="00B43E07" w:rsidRDefault="00B43E07" w14:paraId="0BB7AD43" w14:textId="77777777">
      <w:pPr>
        <w:pStyle w:val="Titlelevel2"/>
      </w:pPr>
      <w:r w:rsidRPr="00D97176">
        <w:br w:type="page"/>
      </w:r>
    </w:p>
    <w:p w:rsidRPr="00D97176" w:rsidR="00B43E07" w:rsidP="00CE3517" w:rsidRDefault="00B43E07" w14:paraId="207E9159" w14:textId="77777777">
      <w:pPr>
        <w:pStyle w:val="Numberedtilelevel1"/>
      </w:pPr>
      <w:r w:rsidRPr="00D97176">
        <w:lastRenderedPageBreak/>
        <w:t>Onderwerp, toepassingsgebied en definities</w:t>
      </w:r>
    </w:p>
    <w:p w:rsidRPr="00D97176" w:rsidR="00B43E07" w:rsidP="00B43E07" w:rsidRDefault="00B43E07" w14:paraId="329ACB0A" w14:textId="77777777">
      <w:pPr>
        <w:pStyle w:val="Titlelevel2"/>
      </w:pPr>
      <w:r w:rsidRPr="00D97176">
        <w:t>Onderwerp</w:t>
      </w:r>
    </w:p>
    <w:p w:rsidRPr="00D97176" w:rsidR="00DE0FE1" w:rsidP="00511E87" w:rsidRDefault="00DE0FE1" w14:paraId="667A5E79" w14:textId="75DF9FF9">
      <w:pPr>
        <w:pStyle w:val="body"/>
        <w:numPr>
          <w:ilvl w:val="0"/>
          <w:numId w:val="10"/>
        </w:numPr>
      </w:pPr>
      <w:r w:rsidRPr="00D97176">
        <w:t>Deze richtsnoeren zijn van toepassing op:</w:t>
      </w:r>
    </w:p>
    <w:p w:rsidRPr="00D97176" w:rsidR="00DE0FE1" w:rsidP="00511E87" w:rsidRDefault="00DE0FE1" w14:paraId="7F872996" w14:textId="017F20C9">
      <w:pPr>
        <w:pStyle w:val="body"/>
        <w:numPr>
          <w:ilvl w:val="1"/>
          <w:numId w:val="13"/>
        </w:numPr>
      </w:pPr>
      <w:r w:rsidRPr="00D97176">
        <w:t>de specificatie van de indicatoren die worden gebruikt voor de aanmerking van mondiaal systeemrelevante instellingen (MSI’s), als bepaald in Verordening (EU) nr. 1222/2014 (“indicatoren”); en</w:t>
      </w:r>
    </w:p>
    <w:p w:rsidRPr="00D97176" w:rsidR="00B43E07" w:rsidP="00511E87" w:rsidRDefault="00DE0FE1" w14:paraId="776C11F3" w14:textId="58E74370">
      <w:pPr>
        <w:pStyle w:val="body"/>
        <w:numPr>
          <w:ilvl w:val="1"/>
          <w:numId w:val="13"/>
        </w:numPr>
      </w:pPr>
      <w:r w:rsidRPr="00D97176">
        <w:t>de rapportage van de onderliggende gegevens (indicatoren, aanvullende gegevens en pro-memorieposten) en de jaarlijkse openbaarmaking van de resulterende indicatorwaarden die worden gebruikt voor de aanmerking van MSI’s.</w:t>
      </w:r>
    </w:p>
    <w:p w:rsidRPr="00D97176" w:rsidR="00B43E07" w:rsidP="00B43E07" w:rsidRDefault="00B43E07" w14:paraId="07F996E2" w14:textId="77777777">
      <w:pPr>
        <w:pStyle w:val="Titlelevel2"/>
      </w:pPr>
      <w:r w:rsidRPr="00D97176">
        <w:t>Toepassingsgebied</w:t>
      </w:r>
    </w:p>
    <w:p w:rsidRPr="00D97176" w:rsidR="00DE0FE1" w:rsidP="00511E87" w:rsidRDefault="00B43E07" w14:paraId="71B629CF" w14:textId="05197A71">
      <w:pPr>
        <w:pStyle w:val="body"/>
        <w:numPr>
          <w:ilvl w:val="0"/>
          <w:numId w:val="10"/>
        </w:numPr>
      </w:pPr>
      <w:r w:rsidRPr="00D97176">
        <w:t>Deze richtsnoeren hebben betrekking op</w:t>
      </w:r>
    </w:p>
    <w:p w:rsidRPr="00D97176" w:rsidR="00DE0FE1" w:rsidP="00511E87" w:rsidRDefault="000F3C24" w14:paraId="73EAD676" w14:textId="3140197F">
      <w:pPr>
        <w:pStyle w:val="body"/>
        <w:numPr>
          <w:ilvl w:val="0"/>
          <w:numId w:val="14"/>
        </w:numPr>
      </w:pPr>
      <w:r w:rsidRPr="00D97176">
        <w:t>groepen die worden geleid door een EU-moederinstelling, een financiële EU-moederholding of een gemengde financiële EU-moederholding; en</w:t>
      </w:r>
    </w:p>
    <w:p w:rsidRPr="00D97176" w:rsidR="00B43E07" w:rsidP="00511E87" w:rsidRDefault="00DE0FE1" w14:paraId="0D1E1C78" w14:textId="031EF3C2">
      <w:pPr>
        <w:pStyle w:val="body"/>
        <w:numPr>
          <w:ilvl w:val="0"/>
          <w:numId w:val="14"/>
        </w:numPr>
      </w:pPr>
      <w:r w:rsidRPr="00D97176">
        <w:t>instellingen die geen dochteronderneming zijn van een EU-moederinstelling, financiële EU-moederholding of gemengde financiële EU-moederholding</w:t>
      </w:r>
    </w:p>
    <w:p w:rsidRPr="00D97176" w:rsidR="00B43E07" w:rsidP="00DE0FE1" w:rsidRDefault="003A2221" w14:paraId="5736DC31" w14:textId="0E43762D">
      <w:pPr>
        <w:pStyle w:val="body"/>
      </w:pPr>
      <w:r w:rsidRPr="00D97176">
        <w:t xml:space="preserve">met </w:t>
      </w:r>
      <w:r w:rsidR="004A1225">
        <w:t xml:space="preserve">een </w:t>
      </w:r>
      <w:r w:rsidRPr="008837B4" w:rsidR="004A1225">
        <w:t>blootstellingsmaatstaf voor de berekening van de hefboomratio</w:t>
      </w:r>
      <w:r w:rsidRPr="004A1225" w:rsidR="004A1225">
        <w:t xml:space="preserve"> </w:t>
      </w:r>
      <w:r w:rsidRPr="00D97176">
        <w:t>van meer dan 200 miljard EUR op respectievelijk geconsolideerde of individuele basis (en met inbegrip van verzekeringsdochterondernemingen), bij toepassing van een adequate wisselkoers met inachtneming van de door de Europese Centrale Bank aan het einde van het boekjaar gepubliceerde referentiewisselkoers en van de internationale normen (“relevante entiteiten”).</w:t>
      </w:r>
    </w:p>
    <w:p w:rsidRPr="00D97176" w:rsidR="00B43E07" w:rsidP="00B43E07" w:rsidRDefault="00B43E07" w14:paraId="6EAA3145" w14:textId="21FE6AE6">
      <w:pPr>
        <w:pStyle w:val="Titlelevel2"/>
      </w:pPr>
      <w:r w:rsidRPr="00D97176">
        <w:t>Adressaten</w:t>
      </w:r>
    </w:p>
    <w:p w:rsidRPr="00D97176" w:rsidR="00B43E07" w:rsidP="00511E87" w:rsidRDefault="00DE0FE1" w14:paraId="12310C5F" w14:textId="5E408D06">
      <w:pPr>
        <w:pStyle w:val="body"/>
        <w:numPr>
          <w:ilvl w:val="0"/>
          <w:numId w:val="10"/>
        </w:numPr>
      </w:pPr>
      <w:r w:rsidRPr="00D97176">
        <w:t>Deze richtsnoeren zijn gericht tot bevoegde autoriteiten als gedefinieerd in artikel 4, punt 2, onder i), van Verordening (EU) nr. 1093/2010 en tot financiële instellingen waarvoor deze richtsnoeren gelden. De in artikel 131, lid 1, van Richtlijn 2013/36/EU bedoelde aangewezen autoriteiten, voor zover deze geen bevoegde autoriteiten zijn, worden aangemoedigd om deze richtsnoeren toe te passen. De bevoegde en de aangewezen autoriteiten worden in deze richtsnoeren “relevante autoriteiten” genoemd.</w:t>
      </w:r>
    </w:p>
    <w:p w:rsidRPr="00D97176" w:rsidR="00DE0FE1" w:rsidP="00511E87" w:rsidRDefault="00DE0FE1" w14:paraId="52A8B3D5" w14:textId="77777777">
      <w:pPr>
        <w:pStyle w:val="ListParagraph"/>
        <w:numPr>
          <w:ilvl w:val="0"/>
          <w:numId w:val="10"/>
        </w:numPr>
      </w:pPr>
      <w:r w:rsidRPr="00D97176">
        <w:br w:type="page"/>
      </w:r>
    </w:p>
    <w:p w:rsidRPr="00D97176" w:rsidR="00B43E07" w:rsidP="00CE3517" w:rsidRDefault="00B43E07" w14:paraId="25D099DB" w14:textId="77777777">
      <w:pPr>
        <w:pStyle w:val="Numberedtilelevel1"/>
      </w:pPr>
      <w:r w:rsidRPr="00D97176">
        <w:lastRenderedPageBreak/>
        <w:t>Tenuitvoerlegging</w:t>
      </w:r>
    </w:p>
    <w:p w:rsidRPr="00D97176" w:rsidR="00B43E07" w:rsidP="00B43E07" w:rsidRDefault="00B43E07" w14:paraId="4EAB2FB0" w14:textId="77777777">
      <w:pPr>
        <w:pStyle w:val="Titlelevel2"/>
      </w:pPr>
      <w:r w:rsidRPr="00D97176">
        <w:t>Datum van toepassing</w:t>
      </w:r>
    </w:p>
    <w:p w:rsidRPr="00D97176" w:rsidR="00B43E07" w:rsidP="00511E87" w:rsidRDefault="00DE0FE1" w14:paraId="18515792" w14:textId="5325FA4F">
      <w:pPr>
        <w:pStyle w:val="body"/>
        <w:numPr>
          <w:ilvl w:val="0"/>
          <w:numId w:val="15"/>
        </w:numPr>
      </w:pPr>
      <w:r w:rsidRPr="00D97176">
        <w:t>Deze richtsnoeren zijn van toepassing vanaf</w:t>
      </w:r>
      <w:r w:rsidR="00674817">
        <w:t xml:space="preserve"> 16.02.2020.</w:t>
      </w:r>
    </w:p>
    <w:p w:rsidRPr="00D97176" w:rsidR="00B43E07" w:rsidP="00B43E07" w:rsidRDefault="00B43E07" w14:paraId="4AB150AF" w14:textId="64BC8239">
      <w:pPr>
        <w:pStyle w:val="Titlelevel2"/>
      </w:pPr>
      <w:r w:rsidRPr="00D97176">
        <w:t>Intrekking</w:t>
      </w:r>
    </w:p>
    <w:p w:rsidRPr="00D97176" w:rsidR="00B43E07" w:rsidP="00A41338" w:rsidRDefault="00BD1538" w14:paraId="0F71334D" w14:textId="4DCAC658">
      <w:r w:rsidRPr="00D97176">
        <w:t>De herziene richtsnoeren voor de nadere specificatie van de indicatoren voor mondiale systeemrelevantie en hun openbaarmaking van 29 februari 2016 (EBA/GL/2016/01) worden hierbij ingetrokken.</w:t>
      </w:r>
    </w:p>
    <w:p w:rsidRPr="00D97176" w:rsidR="00BD1538" w:rsidP="00B43E07" w:rsidRDefault="00BD1538" w14:paraId="30F30A96" w14:textId="77777777">
      <w:pPr>
        <w:pStyle w:val="body"/>
        <w:sectPr w:rsidRPr="00D97176"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D97176" w:rsidR="00B43E07" w:rsidP="00BD1538" w:rsidRDefault="00BD1538" w14:paraId="4D344DEC" w14:textId="3CE1317D">
      <w:pPr>
        <w:pStyle w:val="Numberedtilelevel1"/>
        <w:jc w:val="both"/>
      </w:pPr>
      <w:r w:rsidRPr="00D97176">
        <w:lastRenderedPageBreak/>
        <w:t>Specificatie van de onderliggende gegevens en indicatoren voor de aanmerking van MSI’s</w:t>
      </w:r>
    </w:p>
    <w:p w:rsidR="00FE711D" w:rsidP="00FE711D" w:rsidRDefault="00FE711D" w14:paraId="0C5F41F6" w14:textId="3D72302B">
      <w:pPr>
        <w:pStyle w:val="body"/>
        <w:rPr>
          <w:iCs/>
        </w:rPr>
      </w:pPr>
      <w:r w:rsidRPr="007B541C">
        <w:rPr>
          <w:spacing w:val="-1"/>
          <w:highlight w:val="green"/>
        </w:rPr>
        <w:sym w:font="Wingdings" w:char="F0DA"/>
      </w:r>
      <w:r w:rsidRPr="007B541C">
        <w:rPr>
          <w:spacing w:val="-1"/>
          <w:highlight w:val="green"/>
        </w:rPr>
        <w:t>A1</w:t>
      </w:r>
    </w:p>
    <w:p w:rsidRPr="00301C92" w:rsidR="00B43E07" w:rsidP="00511E87" w:rsidRDefault="00301C92" w14:paraId="50643877" w14:textId="0F0D4D68">
      <w:pPr>
        <w:pStyle w:val="body"/>
        <w:numPr>
          <w:ilvl w:val="0"/>
          <w:numId w:val="15"/>
        </w:numPr>
        <w:rPr>
          <w:iCs/>
        </w:rPr>
      </w:pPr>
      <w:r w:rsidRPr="00301C92">
        <w:rPr>
          <w:iCs/>
        </w:rPr>
        <w:t>Relevante autoriteiten en relevante entiteiten dienen de instructies en specificaties voor de in de bijlage vermelde gegevensposten te volgen die kunnen worden geraadpleegd door op “Reporting instructions” te klikken op de pagina over MSI’s van de EBA-website</w:t>
      </w:r>
      <w:r w:rsidRPr="00301C92">
        <w:rPr>
          <w:rStyle w:val="FootnoteReference"/>
          <w:iCs/>
        </w:rPr>
        <w:footnoteReference w:id="3"/>
      </w:r>
      <w:r w:rsidRPr="00301C92" w:rsidR="00BD1538">
        <w:rPr>
          <w:iCs/>
        </w:rPr>
        <w:t>.</w:t>
      </w:r>
    </w:p>
    <w:p w:rsidR="00B43E07" w:rsidP="00511E87" w:rsidRDefault="00851D13" w14:paraId="2FD6FE4E" w14:textId="23640159">
      <w:pPr>
        <w:pStyle w:val="body"/>
        <w:numPr>
          <w:ilvl w:val="0"/>
          <w:numId w:val="15"/>
        </w:numPr>
        <w:rPr>
          <w:iCs/>
        </w:rPr>
      </w:pPr>
      <w:r w:rsidRPr="00851D13">
        <w:rPr>
          <w:iCs/>
        </w:rPr>
        <w:t>De relevante autoriteiten dienen de aanvullende gegevens (afdelingen 15 en 16 van de bijlage bij deze richtsnoeren) te gebruiken om hun degelijke oordeelsvorming in het toezicht te onderbouwen in overeenstemming met artikel 131, lid 10, van Richtlijn 2013/36/EU, en de pro-memorieposten (afdelingen 17 tot en met 22 van de bijlage) om de gegevenskwaliteit te verbeteren en toekomstige verbeteringen in de identificatiemethode te helpen ontwikkelen. De pro-memorieposten dienen in voorkomend geval te worden aangevuld met gedetailleerde opmerkingen van de relevante entiteiten over de kwaliteit en beschikbaarheid van gegevens</w:t>
      </w:r>
      <w:r w:rsidRPr="00851D13" w:rsidR="003A2221">
        <w:rPr>
          <w:iCs/>
        </w:rPr>
        <w:t>.</w:t>
      </w:r>
    </w:p>
    <w:p w:rsidRPr="00851D13" w:rsidR="00851D13" w:rsidP="00511E87" w:rsidRDefault="00851D13" w14:paraId="4E947F3C" w14:textId="549727AF">
      <w:pPr>
        <w:pStyle w:val="body"/>
        <w:numPr>
          <w:ilvl w:val="0"/>
          <w:numId w:val="16"/>
        </w:numPr>
        <w:rPr>
          <w:iCs/>
        </w:rPr>
      </w:pPr>
      <w:r w:rsidRPr="00851D13">
        <w:rPr>
          <w:iCs/>
        </w:rPr>
        <w:t>Overeenkomstig artikel 131, lid 2 bis, van Richtlijn 2013/36/EU, dat een aanvullende methodiek vereist om te bepalen welke instellingen MSI’s zijn, waarbij grensoverschrijdende activiteiten binnen het gemeenschappelijk afwikkelingsmechanisme (GAM) buiten beschouwing worden gelaten, en in overeenstemming met de internationale overeenkomst van het Bazels Comité van 31 mei 2022, waarin de bij de ontwikkeling van de Europese bankenunie geboekte vooruitgang wordt erkend, moeten gegevensposten die relevant zijn voor de berekening van aangepaste rechtsgebiedoverschrijdende GAM-indicatoren voor instellingen met hoofdkantoor in de lidstaten die deelnemen aan het GAM worden beschouwd als onderdeel van de indicatoren voor rechtsgebiedoverschrijdende activiteiten – en derhalve overeenkomstig punt 12 openbaar worden gemaakt – en niet als aanvullende of pro-memorieposten voor de methodiek voor het aanwijzen van MSI’s en het onderbrengen ervan in een subcategorie</w:t>
      </w:r>
      <w:r>
        <w:rPr>
          <w:iCs/>
        </w:rPr>
        <w:t>.</w:t>
      </w:r>
    </w:p>
    <w:p w:rsidRPr="00D97176" w:rsidR="00BD1538" w:rsidP="00BD1538" w:rsidRDefault="00BD1538" w14:paraId="6A6FBBAE" w14:textId="77777777">
      <w:pPr>
        <w:pStyle w:val="body"/>
        <w:rPr>
          <w:highlight w:val="yellow"/>
        </w:rPr>
      </w:pPr>
    </w:p>
    <w:p w:rsidRPr="00D97176" w:rsidR="00BD1538" w:rsidP="00505C64" w:rsidRDefault="00BD1538" w14:paraId="2DFFA9BA" w14:textId="77777777">
      <w:pPr>
        <w:pStyle w:val="Titlelevel2"/>
        <w:sectPr w:rsidRPr="00D97176" w:rsidR="00BD1538" w:rsidSect="000F33D3">
          <w:pgSz w:w="11900" w:h="16840"/>
          <w:pgMar w:top="2268" w:right="1418" w:bottom="1134" w:left="1701" w:header="709" w:footer="709" w:gutter="0"/>
          <w:cols w:space="708"/>
          <w:docGrid w:linePitch="299"/>
        </w:sectPr>
      </w:pPr>
    </w:p>
    <w:p w:rsidRPr="00D97176" w:rsidR="00B43E07" w:rsidP="00BD1538" w:rsidRDefault="00BD1538" w14:paraId="6CDBC73A" w14:textId="63126AA5">
      <w:pPr>
        <w:pStyle w:val="Numberedtilelevel1"/>
        <w:jc w:val="both"/>
      </w:pPr>
      <w:r w:rsidRPr="00D97176">
        <w:lastRenderedPageBreak/>
        <w:t>Voorschriften betreffende rapportage en openbaarmaking door relevant instellingen</w:t>
      </w:r>
    </w:p>
    <w:p w:rsidRPr="00851D13" w:rsidR="0007574B" w:rsidP="00511E87" w:rsidRDefault="00851D13" w14:paraId="107B3895" w14:textId="72701427">
      <w:pPr>
        <w:pStyle w:val="body"/>
        <w:numPr>
          <w:ilvl w:val="0"/>
          <w:numId w:val="15"/>
        </w:numPr>
        <w:rPr>
          <w:iCs/>
        </w:rPr>
      </w:pPr>
      <w:r w:rsidRPr="00851D13">
        <w:rPr>
          <w:iCs/>
        </w:rPr>
        <w:t>De relevante autoriteiten dienen te waarborgen dat zij op 31 december van elk jaar alle in de bijlage bij deze richtsnoeren genoemde gegevensposten verzamelen bij de relevante entiteiten die voldoen aan de criteria van punt 6 van deze richtsnoeren</w:t>
      </w:r>
      <w:r w:rsidRPr="00851D13" w:rsidR="003A2221">
        <w:rPr>
          <w:iCs/>
        </w:rPr>
        <w:t>.</w:t>
      </w:r>
    </w:p>
    <w:p w:rsidR="0007574B" w:rsidP="00511E87" w:rsidRDefault="00851D13" w14:paraId="623657F6" w14:textId="5EED2012">
      <w:pPr>
        <w:pStyle w:val="body"/>
        <w:numPr>
          <w:ilvl w:val="0"/>
          <w:numId w:val="15"/>
        </w:numPr>
        <w:rPr>
          <w:iCs/>
        </w:rPr>
      </w:pPr>
      <w:r w:rsidRPr="00851D13">
        <w:rPr>
          <w:iCs/>
        </w:rPr>
        <w:t>De relevante autoriteiten dienen ervoor te zorgen dat de relevante entiteiten jaarlijks op hun website de indicatorwaarden openbaar maken die worden genoemd in de afdelingen 1 tot en met 14 van de bijlage bij deze richtsnoeren. Indien de aanvullende identificatiemethode voor het GAM moet worden gebruikt, moet die informatie bovendien vergezeld gaan van de posten e), f) en g) van afdeling 21, evenals alle andere posten van afdeling 21 met betrekking tot rechtsgebiedoverschrijdende GAM-activiteiten die relevant kunnen worden geacht voor de berekening van die methode door de relevante autoriteit</w:t>
      </w:r>
      <w:r w:rsidRPr="00851D13" w:rsidR="003A2221">
        <w:rPr>
          <w:iCs/>
        </w:rPr>
        <w:t>.</w:t>
      </w:r>
    </w:p>
    <w:p w:rsidRPr="00851D13" w:rsidR="00FE711D" w:rsidP="00FE711D" w:rsidRDefault="00FE711D" w14:paraId="49F44734" w14:textId="4E9EE08E">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511E87" w:rsidRDefault="0007574B" w14:paraId="59D95C2C" w14:textId="48B4629E">
      <w:pPr>
        <w:pStyle w:val="body"/>
        <w:numPr>
          <w:ilvl w:val="0"/>
          <w:numId w:val="15"/>
        </w:numPr>
      </w:pPr>
      <w:r w:rsidRPr="00D97176">
        <w:t>Wanneer relevante entiteiten de in punten 11 en 12 bedoelde informatie rapporteren en openbaar maken, maken zij gebruik van het elektronische sjabloon en volgen zij de jaarlijkse instructies die voor dit doel zijn gepubliceerd website van EBA.</w:t>
      </w:r>
    </w:p>
    <w:p w:rsidRPr="00D97176" w:rsidR="00FE711D" w:rsidP="00FE711D" w:rsidRDefault="00FE711D" w14:paraId="4B382CED" w14:textId="45205EA8">
      <w:pPr>
        <w:pStyle w:val="body"/>
      </w:pPr>
      <w:r w:rsidRPr="007B541C">
        <w:rPr>
          <w:spacing w:val="-1"/>
          <w:highlight w:val="green"/>
        </w:rPr>
        <w:sym w:font="Wingdings" w:char="F0DA"/>
      </w:r>
      <w:r w:rsidRPr="007B541C">
        <w:rPr>
          <w:spacing w:val="-1"/>
          <w:highlight w:val="green"/>
        </w:rPr>
        <w:t>A1</w:t>
      </w:r>
    </w:p>
    <w:p w:rsidR="006C6D8E" w:rsidP="00511E87" w:rsidRDefault="00851D13" w14:paraId="5F511C1E" w14:textId="69C0183D">
      <w:pPr>
        <w:pStyle w:val="body"/>
        <w:numPr>
          <w:ilvl w:val="0"/>
          <w:numId w:val="15"/>
        </w:numPr>
        <w:rPr>
          <w:iCs/>
        </w:rPr>
      </w:pPr>
      <w:r w:rsidRPr="00851D13">
        <w:rPr>
          <w:iCs/>
        </w:rPr>
        <w:t>De relevante entiteiten dienen de in punt 11 bedoelde informatie aan de relevante autoriteiten over te leggen en de in punt 12 bedoelde informatie openbaar te maken op jaarlijkse basis, uiterlijk vier maanden na afloop van elk boekjaar, vanaf de tweede opeenvolgende einddatum van een boekjaar waarop de in punt 6 van deze richtsnoeren vastgestelde drempel wordt overschreden. Daarbij identificeren de relevante entiteiten zich door gebruik te maken van hun identificatienummer van juridische entiteiten (LEI)</w:t>
      </w:r>
      <w:r w:rsidRPr="00851D13" w:rsidR="0007574B">
        <w:rPr>
          <w:iCs/>
        </w:rPr>
        <w:t>.</w:t>
      </w:r>
    </w:p>
    <w:p w:rsidRPr="00851D13" w:rsidR="00FE711D" w:rsidP="00FE711D" w:rsidRDefault="00FE711D" w14:paraId="096EC058" w14:textId="5565321B">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D97176" w:rsidR="0007574B" w:rsidP="00511E87" w:rsidRDefault="003A2221" w14:paraId="02B1DBBB" w14:textId="35B7F7D9">
      <w:pPr>
        <w:pStyle w:val="body"/>
        <w:numPr>
          <w:ilvl w:val="0"/>
          <w:numId w:val="15"/>
        </w:numPr>
      </w:pPr>
      <w:r w:rsidRPr="00D97176">
        <w:t>De relevante autoriteiten mogen relevante entiteiten waarvan het einde van het boekjaar niet op 31 december valt, toestaan indicatorwaarden te rapporteren en openbaar te maken op basis van hun positie rond 31 december. In ieder geval wordt de informatie niet later dan 31 juli openbaar gemaakt.</w:t>
      </w:r>
    </w:p>
    <w:p w:rsidRPr="00D97176" w:rsidR="00B43E07" w:rsidP="00511E87" w:rsidRDefault="003A2221" w14:paraId="0BE8B0EA" w14:textId="3AD888C3">
      <w:pPr>
        <w:pStyle w:val="body"/>
        <w:numPr>
          <w:ilvl w:val="0"/>
          <w:numId w:val="15"/>
        </w:numPr>
      </w:pPr>
      <w:r w:rsidRPr="00D97176">
        <w:t>De relevante autoriteiten zien erop toe dat de gerapporteerde en openbaar gemaakte gegevens dezelfde zijn als die welke bij het Bazels Comité voor bankentoezicht zijn ingediend, indien van toepassing.</w:t>
      </w:r>
    </w:p>
    <w:p w:rsidRPr="00D97176" w:rsidR="006C6D8E" w:rsidP="006C6D8E" w:rsidRDefault="006C6D8E" w14:paraId="304AED26" w14:textId="0684F911">
      <w:pPr>
        <w:pStyle w:val="body"/>
      </w:pPr>
    </w:p>
    <w:p w:rsidRPr="00D97176" w:rsidR="006C6D8E" w:rsidP="006C6D8E" w:rsidRDefault="006C6D8E" w14:paraId="3653C3DD" w14:textId="77777777">
      <w:pPr>
        <w:pStyle w:val="body"/>
        <w:sectPr w:rsidRPr="00D97176" w:rsidR="006C6D8E" w:rsidSect="000F33D3">
          <w:pgSz w:w="11900" w:h="16840"/>
          <w:pgMar w:top="2268" w:right="1418" w:bottom="1134" w:left="1701" w:header="709" w:footer="709" w:gutter="0"/>
          <w:cols w:space="708"/>
          <w:docGrid w:linePitch="299"/>
        </w:sectPr>
      </w:pPr>
    </w:p>
    <w:p w:rsidRPr="00D97176" w:rsidR="00B43E07" w:rsidP="006C6D8E" w:rsidRDefault="006C6D8E" w14:paraId="78D7CAE2" w14:textId="0D9CA5B9">
      <w:pPr>
        <w:pStyle w:val="Numberedtilelevel1"/>
        <w:jc w:val="both"/>
      </w:pPr>
      <w:r w:rsidRPr="00D97176">
        <w:lastRenderedPageBreak/>
        <w:t>Informatie voor EBA</w:t>
      </w:r>
    </w:p>
    <w:p w:rsidRPr="00D97176" w:rsidR="006C6D8E" w:rsidP="00511E87" w:rsidRDefault="003A2221" w14:paraId="0966C959" w14:textId="52E7A3EF">
      <w:pPr>
        <w:pStyle w:val="body"/>
        <w:numPr>
          <w:ilvl w:val="0"/>
          <w:numId w:val="15"/>
        </w:numPr>
      </w:pPr>
      <w:r w:rsidRPr="00D97176">
        <w:t>De relevante autoriteiten dienen EBA alle overeenkomstig deze richtsnoeren vergaarde gegevens, met inbegrip van aanvullende gegevens en pro-memorieposten, te verstrekken zodat deze op de website van EBA kunnen worden gecompileerd. De relevante entiteiten dienen zich te identificeren door gebruik te maken van hun LEI. EBA maakt de aanvullende gegevens en de pro-memorieposten niet openbaar.</w:t>
      </w:r>
    </w:p>
    <w:p w:rsidRPr="00B92FD3" w:rsidR="006C6D8E" w:rsidP="00B43E07" w:rsidRDefault="006C6D8E" w14:paraId="001293F4" w14:textId="77777777">
      <w:pPr>
        <w:pStyle w:val="body"/>
        <w:rPr>
          <w:lang w:eastAsia="en-GB"/>
        </w:rPr>
        <w:sectPr w:rsidRPr="00B92FD3" w:rsidR="006C6D8E" w:rsidSect="000F33D3">
          <w:pgSz w:w="11900" w:h="16840"/>
          <w:pgMar w:top="2268" w:right="1418" w:bottom="1134" w:left="1701" w:header="709" w:footer="709" w:gutter="0"/>
          <w:cols w:space="708"/>
          <w:docGrid w:linePitch="299"/>
        </w:sectPr>
      </w:pPr>
    </w:p>
    <w:p w:rsidRPr="00D97176" w:rsidR="006C6D8E" w:rsidP="006C6D8E" w:rsidRDefault="006C6D8E" w14:paraId="6FBD395E" w14:textId="77777777">
      <w:pPr>
        <w:pStyle w:val="Contenttitle"/>
      </w:pPr>
      <w:r w:rsidRPr="00D97176">
        <w:lastRenderedPageBreak/>
        <w:t>Bijlage</w:t>
      </w:r>
    </w:p>
    <w:tbl>
      <w:tblPr>
        <w:tblStyle w:val="TableGrid1"/>
        <w:tblW w:w="9549" w:type="dxa"/>
        <w:tblLook w:val="04A0" w:firstRow="1" w:lastRow="0" w:firstColumn="1" w:lastColumn="0" w:noHBand="0" w:noVBand="1"/>
      </w:tblPr>
      <w:tblGrid>
        <w:gridCol w:w="6804"/>
        <w:gridCol w:w="2745"/>
      </w:tblGrid>
      <w:tr w:rsidRPr="00A325F7" w:rsidR="00511E87" w:rsidTr="00B85722" w14:paraId="6D22C216" w14:textId="77777777">
        <w:trPr>
          <w:trHeight w:val="420"/>
        </w:trPr>
        <w:tc>
          <w:tcPr>
            <w:tcW w:w="9549" w:type="dxa"/>
            <w:gridSpan w:val="2"/>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FE711D" w:rsidP="00B85722" w:rsidRDefault="00FE711D" w14:paraId="196B1853" w14:textId="3C90EAEA">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A325F7" w:rsidR="00511E87" w:rsidP="00B85722" w:rsidRDefault="00511E87" w14:paraId="2E682A12" w14:textId="725A9DF8">
            <w:pPr>
              <w:keepNext/>
              <w:keepLines/>
              <w:spacing w:before="47"/>
              <w:outlineLvl w:val="5"/>
              <w:rPr>
                <w:rFonts w:ascii="Arial" w:hAnsi="Arial" w:eastAsia="Times New Roman" w:cs="Arial"/>
                <w:b/>
                <w:bCs/>
                <w:sz w:val="24"/>
                <w:szCs w:val="24"/>
              </w:rPr>
            </w:pPr>
            <w:r w:rsidRPr="00A325F7">
              <w:rPr>
                <w:rFonts w:ascii="Arial" w:hAnsi="Arial"/>
                <w:b/>
                <w:i/>
                <w:caps/>
                <w:color w:val="172B39" w:themeColor="accent1" w:themeShade="80"/>
                <w:sz w:val="24"/>
              </w:rPr>
              <w:t> </w:t>
            </w:r>
            <w:r w:rsidRPr="00A325F7">
              <w:rPr>
                <w:rFonts w:asciiTheme="majorHAnsi" w:hAnsiTheme="majorHAnsi"/>
                <w:b/>
                <w:i/>
                <w:caps/>
              </w:rPr>
              <w:t>Algemene bankgegevens</w:t>
            </w:r>
            <w:r w:rsidRPr="00A325F7">
              <w:rPr>
                <w:rFonts w:ascii="Arial" w:hAnsi="Arial"/>
                <w:i/>
                <w:caps/>
                <w:color w:val="172B39" w:themeColor="accent1" w:themeShade="80"/>
                <w:sz w:val="20"/>
              </w:rPr>
              <w:t> </w:t>
            </w:r>
            <w:r w:rsidRPr="00A325F7">
              <w:rPr>
                <w:rFonts w:ascii="Arial" w:hAnsi="Arial"/>
                <w:sz w:val="20"/>
              </w:rPr>
              <w:t> </w:t>
            </w:r>
          </w:p>
        </w:tc>
      </w:tr>
      <w:tr w:rsidRPr="00A325F7" w:rsidR="00511E87" w:rsidTr="00B85722" w14:paraId="322C69FC" w14:textId="77777777">
        <w:trPr>
          <w:trHeight w:val="300"/>
        </w:trPr>
        <w:tc>
          <w:tcPr>
            <w:tcW w:w="6804" w:type="dxa"/>
            <w:tcBorders>
              <w:top w:val="nil"/>
              <w:left w:val="nil"/>
              <w:bottom w:val="single" w:color="auto" w:sz="4" w:space="0"/>
              <w:right w:val="nil"/>
            </w:tcBorders>
            <w:noWrap/>
          </w:tcPr>
          <w:p w:rsidRPr="00A325F7" w:rsidR="00511E87" w:rsidP="00B85722" w:rsidRDefault="00511E87" w14:paraId="697CC61E"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A325F7" w:rsidR="00511E87" w:rsidP="00B85722" w:rsidRDefault="00511E87" w14:paraId="72C95E1D" w14:textId="77777777">
            <w:pPr>
              <w:jc w:val="center"/>
              <w:rPr>
                <w:rFonts w:ascii="Arial" w:hAnsi="Arial" w:eastAsia="Times New Roman" w:cs="Arial"/>
                <w:b/>
                <w:bCs/>
                <w:sz w:val="20"/>
                <w:szCs w:val="20"/>
                <w:lang w:eastAsia="en-GB"/>
              </w:rPr>
            </w:pPr>
          </w:p>
        </w:tc>
      </w:tr>
      <w:tr w:rsidRPr="00A325F7" w:rsidR="00511E87" w:rsidTr="00B85722" w14:paraId="30D0690F" w14:textId="77777777">
        <w:trPr>
          <w:trHeight w:val="300"/>
        </w:trPr>
        <w:tc>
          <w:tcPr>
            <w:tcW w:w="6804" w:type="dxa"/>
            <w:tcBorders>
              <w:top w:val="single" w:color="auto" w:sz="4" w:space="0"/>
              <w:left w:val="nil"/>
              <w:bottom w:val="single" w:color="auto" w:sz="4" w:space="0"/>
              <w:right w:val="nil"/>
            </w:tcBorders>
            <w:noWrap/>
            <w:hideMark/>
          </w:tcPr>
          <w:p w:rsidRPr="00A325F7" w:rsidR="00511E87" w:rsidP="00B85722" w:rsidRDefault="00511E87" w14:paraId="6CEAAE4D" w14:textId="77777777">
            <w:pPr>
              <w:rPr>
                <w:rFonts w:ascii="Arial" w:hAnsi="Arial" w:eastAsia="Times New Roman" w:cs="Arial"/>
                <w:b/>
                <w:bCs/>
                <w:sz w:val="20"/>
                <w:szCs w:val="20"/>
              </w:rPr>
            </w:pPr>
            <w:r w:rsidRPr="00A325F7">
              <w:rPr>
                <w:rFonts w:ascii="Arial" w:hAnsi="Arial"/>
                <w:b/>
                <w:sz w:val="20"/>
              </w:rPr>
              <w:t>Afdeling 1 – Algemene informatie</w:t>
            </w:r>
          </w:p>
        </w:tc>
        <w:tc>
          <w:tcPr>
            <w:tcW w:w="2745" w:type="dxa"/>
            <w:tcBorders>
              <w:top w:val="single" w:color="auto" w:sz="4" w:space="0"/>
              <w:left w:val="nil"/>
              <w:right w:val="nil"/>
            </w:tcBorders>
            <w:noWrap/>
            <w:hideMark/>
          </w:tcPr>
          <w:p w:rsidRPr="00A325F7" w:rsidR="00511E87" w:rsidP="00B85722" w:rsidRDefault="00511E87" w14:paraId="022DC44D" w14:textId="77777777">
            <w:pPr>
              <w:jc w:val="center"/>
              <w:rPr>
                <w:rFonts w:ascii="Arial" w:hAnsi="Arial" w:eastAsia="Times New Roman" w:cs="Arial"/>
                <w:b/>
                <w:bCs/>
                <w:sz w:val="20"/>
                <w:szCs w:val="20"/>
              </w:rPr>
            </w:pPr>
            <w:r w:rsidRPr="00A325F7">
              <w:rPr>
                <w:rFonts w:ascii="Arial" w:hAnsi="Arial"/>
                <w:b/>
                <w:sz w:val="20"/>
              </w:rPr>
              <w:t>Antwoord</w:t>
            </w:r>
          </w:p>
        </w:tc>
      </w:tr>
      <w:tr w:rsidRPr="00A325F7" w:rsidR="00511E87" w:rsidTr="00B85722" w14:paraId="323E4A6B"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A325F7" w:rsidR="00511E87" w:rsidP="00B85722" w:rsidRDefault="00511E87" w14:paraId="465B28F0" w14:textId="77777777">
            <w:pPr>
              <w:ind w:firstLine="200" w:firstLineChars="100"/>
              <w:rPr>
                <w:rFonts w:ascii="Arial" w:hAnsi="Arial" w:eastAsia="Times New Roman" w:cs="Arial"/>
                <w:sz w:val="20"/>
                <w:szCs w:val="20"/>
              </w:rPr>
            </w:pPr>
            <w:r w:rsidRPr="00A325F7">
              <w:rPr>
                <w:rFonts w:ascii="Arial" w:hAnsi="Arial"/>
                <w:sz w:val="20"/>
              </w:rPr>
              <w:t>a. Algemene informatie die is verstrekt door de relevante toezichthoudende autoriteit:</w:t>
            </w:r>
          </w:p>
        </w:tc>
      </w:tr>
      <w:tr w:rsidRPr="00A325F7" w:rsidR="00511E87" w:rsidTr="00B85722" w14:paraId="38965933" w14:textId="77777777">
        <w:trPr>
          <w:trHeight w:val="300"/>
        </w:trPr>
        <w:tc>
          <w:tcPr>
            <w:tcW w:w="6804" w:type="dxa"/>
            <w:tcBorders>
              <w:left w:val="nil"/>
              <w:right w:val="nil"/>
            </w:tcBorders>
            <w:noWrap/>
            <w:hideMark/>
          </w:tcPr>
          <w:p w:rsidRPr="00A325F7" w:rsidR="00511E87" w:rsidP="00B85722" w:rsidRDefault="00511E87" w14:paraId="1AB9AC70"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Code van het land</w:t>
            </w:r>
          </w:p>
        </w:tc>
        <w:tc>
          <w:tcPr>
            <w:tcW w:w="2745" w:type="dxa"/>
            <w:tcBorders>
              <w:left w:val="nil"/>
              <w:bottom w:val="single" w:color="auto" w:sz="4" w:space="0"/>
              <w:right w:val="nil"/>
            </w:tcBorders>
            <w:noWrap/>
            <w:hideMark/>
          </w:tcPr>
          <w:p w:rsidRPr="00A325F7" w:rsidR="00511E87" w:rsidP="00B85722" w:rsidRDefault="00511E87" w14:paraId="6018F5B0"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50140BE2" w14:textId="77777777">
        <w:trPr>
          <w:trHeight w:val="300"/>
        </w:trPr>
        <w:tc>
          <w:tcPr>
            <w:tcW w:w="6804" w:type="dxa"/>
            <w:tcBorders>
              <w:left w:val="nil"/>
              <w:right w:val="nil"/>
            </w:tcBorders>
            <w:noWrap/>
            <w:hideMark/>
          </w:tcPr>
          <w:p w:rsidRPr="00A325F7" w:rsidR="00511E87" w:rsidP="00B85722" w:rsidRDefault="00511E87" w14:paraId="7AE8C175"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Naam van de bank</w:t>
            </w:r>
          </w:p>
        </w:tc>
        <w:tc>
          <w:tcPr>
            <w:tcW w:w="2745" w:type="dxa"/>
            <w:tcBorders>
              <w:left w:val="nil"/>
              <w:bottom w:val="single" w:color="auto" w:sz="4" w:space="0"/>
              <w:right w:val="nil"/>
            </w:tcBorders>
            <w:hideMark/>
          </w:tcPr>
          <w:p w:rsidRPr="00A325F7" w:rsidR="00511E87" w:rsidP="00B85722" w:rsidRDefault="00511E87" w14:paraId="4E528DBB"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15D88498" w14:textId="77777777">
        <w:trPr>
          <w:trHeight w:val="300"/>
        </w:trPr>
        <w:tc>
          <w:tcPr>
            <w:tcW w:w="6804" w:type="dxa"/>
            <w:tcBorders>
              <w:left w:val="nil"/>
              <w:right w:val="nil"/>
            </w:tcBorders>
            <w:noWrap/>
            <w:hideMark/>
          </w:tcPr>
          <w:p w:rsidRPr="00A325F7" w:rsidR="00511E87" w:rsidP="00B85722" w:rsidRDefault="00511E87" w14:paraId="2C18CBD9"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Rapportagedatum (jjjj-mm-dd)</w:t>
            </w:r>
          </w:p>
        </w:tc>
        <w:tc>
          <w:tcPr>
            <w:tcW w:w="2745" w:type="dxa"/>
            <w:tcBorders>
              <w:left w:val="nil"/>
              <w:bottom w:val="single" w:color="auto" w:sz="4" w:space="0"/>
              <w:right w:val="nil"/>
            </w:tcBorders>
            <w:noWrap/>
            <w:hideMark/>
          </w:tcPr>
          <w:p w:rsidRPr="00A325F7" w:rsidR="00511E87" w:rsidP="00B85722" w:rsidRDefault="00511E87" w14:paraId="4E510924" w14:textId="77777777">
            <w:pPr>
              <w:jc w:val="center"/>
              <w:rPr>
                <w:rFonts w:ascii="Arial" w:hAnsi="Arial" w:eastAsia="Times New Roman" w:cs="Arial"/>
                <w:sz w:val="20"/>
                <w:szCs w:val="20"/>
                <w:lang w:eastAsia="en-GB"/>
              </w:rPr>
            </w:pPr>
          </w:p>
        </w:tc>
      </w:tr>
      <w:tr w:rsidRPr="00A325F7" w:rsidR="00511E87" w:rsidTr="00B85722" w14:paraId="46D73904" w14:textId="77777777">
        <w:trPr>
          <w:trHeight w:val="300"/>
        </w:trPr>
        <w:tc>
          <w:tcPr>
            <w:tcW w:w="6804" w:type="dxa"/>
            <w:tcBorders>
              <w:left w:val="nil"/>
              <w:right w:val="nil"/>
            </w:tcBorders>
            <w:noWrap/>
            <w:hideMark/>
          </w:tcPr>
          <w:p w:rsidRPr="00A325F7" w:rsidR="00511E87" w:rsidP="00B85722" w:rsidRDefault="00511E87" w14:paraId="2E637EE1" w14:textId="77777777">
            <w:pPr>
              <w:ind w:firstLine="400" w:firstLineChars="200"/>
              <w:rPr>
                <w:rFonts w:ascii="Arial" w:hAnsi="Arial" w:eastAsia="Times New Roman" w:cs="Arial"/>
                <w:sz w:val="20"/>
                <w:szCs w:val="20"/>
              </w:rPr>
            </w:pPr>
            <w:r w:rsidRPr="00A325F7">
              <w:rPr>
                <w:rFonts w:ascii="Arial" w:hAnsi="Arial"/>
                <w:sz w:val="20"/>
                <w:lang w:eastAsia="en-GB"/>
              </w:rPr>
              <w:t xml:space="preserve">(4) </w:t>
            </w:r>
            <w:r w:rsidRPr="00A325F7">
              <w:rPr>
                <w:rFonts w:ascii="Arial" w:hAnsi="Arial"/>
                <w:sz w:val="20"/>
              </w:rPr>
              <w:t>Rapportagevaluta</w:t>
            </w:r>
          </w:p>
        </w:tc>
        <w:tc>
          <w:tcPr>
            <w:tcW w:w="2745" w:type="dxa"/>
            <w:tcBorders>
              <w:left w:val="nil"/>
              <w:bottom w:val="single" w:color="auto" w:sz="4" w:space="0"/>
              <w:right w:val="nil"/>
            </w:tcBorders>
            <w:noWrap/>
            <w:hideMark/>
          </w:tcPr>
          <w:p w:rsidRPr="00A325F7" w:rsidR="00511E87" w:rsidP="00B85722" w:rsidRDefault="00511E87" w14:paraId="3A075867" w14:textId="77777777">
            <w:pPr>
              <w:jc w:val="center"/>
              <w:rPr>
                <w:rFonts w:ascii="Arial" w:hAnsi="Arial" w:eastAsia="Times New Roman" w:cs="Arial"/>
                <w:sz w:val="20"/>
                <w:szCs w:val="20"/>
                <w:lang w:eastAsia="en-GB"/>
              </w:rPr>
            </w:pPr>
          </w:p>
        </w:tc>
      </w:tr>
      <w:tr w:rsidRPr="00A325F7" w:rsidR="00511E87" w:rsidTr="00B85722" w14:paraId="59F89B95" w14:textId="77777777">
        <w:trPr>
          <w:trHeight w:val="300"/>
        </w:trPr>
        <w:tc>
          <w:tcPr>
            <w:tcW w:w="6804" w:type="dxa"/>
            <w:tcBorders>
              <w:left w:val="nil"/>
              <w:right w:val="nil"/>
            </w:tcBorders>
            <w:noWrap/>
            <w:hideMark/>
          </w:tcPr>
          <w:p w:rsidRPr="00A325F7" w:rsidR="00511E87" w:rsidP="00B85722" w:rsidRDefault="00511E87" w14:paraId="49B320E0" w14:textId="77777777">
            <w:pPr>
              <w:ind w:firstLine="400" w:firstLineChars="200"/>
              <w:rPr>
                <w:rFonts w:ascii="Arial" w:hAnsi="Arial" w:eastAsia="Times New Roman" w:cs="Arial"/>
                <w:sz w:val="20"/>
                <w:szCs w:val="20"/>
              </w:rPr>
            </w:pPr>
            <w:r w:rsidRPr="00A325F7">
              <w:rPr>
                <w:rFonts w:ascii="Arial" w:hAnsi="Arial"/>
                <w:sz w:val="20"/>
                <w:lang w:eastAsia="en-GB"/>
              </w:rPr>
              <w:t xml:space="preserve">(5) </w:t>
            </w:r>
            <w:r w:rsidRPr="00A325F7">
              <w:rPr>
                <w:rFonts w:ascii="Arial" w:hAnsi="Arial"/>
                <w:sz w:val="20"/>
              </w:rPr>
              <w:t>Eurowisselkoers</w:t>
            </w:r>
          </w:p>
        </w:tc>
        <w:tc>
          <w:tcPr>
            <w:tcW w:w="2745" w:type="dxa"/>
            <w:tcBorders>
              <w:left w:val="nil"/>
              <w:bottom w:val="single" w:color="auto" w:sz="4" w:space="0"/>
              <w:right w:val="nil"/>
            </w:tcBorders>
            <w:noWrap/>
            <w:hideMark/>
          </w:tcPr>
          <w:p w:rsidRPr="00A325F7" w:rsidR="00511E87" w:rsidP="00B85722" w:rsidRDefault="00511E87" w14:paraId="780103B8" w14:textId="77777777">
            <w:pPr>
              <w:rPr>
                <w:rFonts w:ascii="Arial" w:hAnsi="Arial" w:eastAsia="Times New Roman" w:cs="Arial"/>
                <w:sz w:val="20"/>
                <w:szCs w:val="20"/>
              </w:rPr>
            </w:pPr>
            <w:r w:rsidRPr="00A325F7">
              <w:rPr>
                <w:rFonts w:ascii="Arial" w:hAnsi="Arial"/>
                <w:sz w:val="20"/>
              </w:rPr>
              <w:t> </w:t>
            </w:r>
          </w:p>
        </w:tc>
      </w:tr>
      <w:tr w:rsidRPr="00A325F7" w:rsidR="00511E87" w:rsidTr="00B85722" w14:paraId="74CA4A7B" w14:textId="77777777">
        <w:trPr>
          <w:trHeight w:val="300"/>
        </w:trPr>
        <w:tc>
          <w:tcPr>
            <w:tcW w:w="6804" w:type="dxa"/>
            <w:tcBorders>
              <w:left w:val="nil"/>
              <w:right w:val="nil"/>
            </w:tcBorders>
            <w:noWrap/>
            <w:hideMark/>
          </w:tcPr>
          <w:p w:rsidRPr="00A325F7" w:rsidR="00511E87" w:rsidP="00B85722" w:rsidRDefault="00511E87" w14:paraId="31759924" w14:textId="77777777">
            <w:pPr>
              <w:ind w:firstLine="400" w:firstLineChars="200"/>
              <w:rPr>
                <w:rFonts w:ascii="Arial" w:hAnsi="Arial" w:eastAsia="Times New Roman" w:cs="Arial"/>
                <w:sz w:val="20"/>
                <w:szCs w:val="20"/>
              </w:rPr>
            </w:pPr>
            <w:r w:rsidRPr="00A325F7">
              <w:rPr>
                <w:rFonts w:ascii="Arial" w:hAnsi="Arial"/>
                <w:sz w:val="20"/>
                <w:lang w:eastAsia="en-GB"/>
              </w:rPr>
              <w:t xml:space="preserve">(6) </w:t>
            </w:r>
            <w:r w:rsidRPr="00A325F7">
              <w:rPr>
                <w:rFonts w:ascii="Arial" w:hAnsi="Arial"/>
                <w:sz w:val="20"/>
              </w:rPr>
              <w:t>Datum van indiening (jjjj-mm-dd)</w:t>
            </w:r>
          </w:p>
        </w:tc>
        <w:tc>
          <w:tcPr>
            <w:tcW w:w="2745" w:type="dxa"/>
            <w:tcBorders>
              <w:left w:val="nil"/>
              <w:bottom w:val="single" w:color="auto" w:sz="4" w:space="0"/>
              <w:right w:val="nil"/>
            </w:tcBorders>
            <w:noWrap/>
            <w:hideMark/>
          </w:tcPr>
          <w:p w:rsidRPr="00A325F7" w:rsidR="00511E87" w:rsidP="00B85722" w:rsidRDefault="00511E87" w14:paraId="0780D725"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2DA90B6C" w14:textId="77777777">
        <w:trPr>
          <w:trHeight w:val="300"/>
        </w:trPr>
        <w:tc>
          <w:tcPr>
            <w:tcW w:w="6804" w:type="dxa"/>
            <w:tcBorders>
              <w:left w:val="nil"/>
              <w:right w:val="nil"/>
            </w:tcBorders>
            <w:noWrap/>
            <w:hideMark/>
          </w:tcPr>
          <w:p w:rsidRPr="00A325F7" w:rsidR="00511E87" w:rsidP="00B85722" w:rsidRDefault="00511E87" w14:paraId="0F9838B0" w14:textId="77777777">
            <w:pPr>
              <w:ind w:firstLine="200" w:firstLineChars="100"/>
              <w:rPr>
                <w:rFonts w:ascii="Arial" w:hAnsi="Arial" w:eastAsia="Times New Roman" w:cs="Arial"/>
                <w:sz w:val="20"/>
                <w:szCs w:val="20"/>
              </w:rPr>
            </w:pPr>
            <w:r w:rsidRPr="00A325F7">
              <w:rPr>
                <w:rFonts w:ascii="Arial" w:hAnsi="Arial"/>
                <w:sz w:val="20"/>
              </w:rPr>
              <w:t>b. Algemene informatie die door de rapporterende instelling wordt verstrekt:</w:t>
            </w:r>
          </w:p>
        </w:tc>
        <w:tc>
          <w:tcPr>
            <w:tcW w:w="2745" w:type="dxa"/>
            <w:tcBorders>
              <w:left w:val="nil"/>
              <w:bottom w:val="single" w:color="auto" w:sz="4" w:space="0"/>
              <w:right w:val="nil"/>
            </w:tcBorders>
            <w:noWrap/>
            <w:hideMark/>
          </w:tcPr>
          <w:p w:rsidRPr="00A325F7" w:rsidR="00511E87" w:rsidP="00B85722" w:rsidRDefault="00511E87" w14:paraId="5DC36FE8" w14:textId="77777777">
            <w:pPr>
              <w:ind w:firstLine="200" w:firstLineChars="100"/>
              <w:rPr>
                <w:rFonts w:ascii="Arial" w:hAnsi="Arial" w:eastAsia="Times New Roman" w:cs="Arial"/>
                <w:sz w:val="20"/>
                <w:szCs w:val="20"/>
              </w:rPr>
            </w:pPr>
            <w:r w:rsidRPr="00A325F7">
              <w:rPr>
                <w:rFonts w:ascii="Arial" w:hAnsi="Arial"/>
                <w:sz w:val="20"/>
              </w:rPr>
              <w:t> </w:t>
            </w:r>
          </w:p>
        </w:tc>
      </w:tr>
      <w:tr w:rsidRPr="00A325F7" w:rsidR="00511E87" w:rsidTr="00B85722" w14:paraId="6D092060" w14:textId="77777777">
        <w:trPr>
          <w:trHeight w:val="300"/>
        </w:trPr>
        <w:tc>
          <w:tcPr>
            <w:tcW w:w="6804" w:type="dxa"/>
            <w:tcBorders>
              <w:left w:val="nil"/>
              <w:right w:val="nil"/>
            </w:tcBorders>
            <w:noWrap/>
            <w:hideMark/>
          </w:tcPr>
          <w:p w:rsidRPr="00A325F7" w:rsidR="00511E87" w:rsidP="00B85722" w:rsidRDefault="00511E87" w14:paraId="4927F68A"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Rapportage-eenheid</w:t>
            </w:r>
          </w:p>
        </w:tc>
        <w:tc>
          <w:tcPr>
            <w:tcW w:w="2745" w:type="dxa"/>
            <w:tcBorders>
              <w:left w:val="nil"/>
              <w:bottom w:val="single" w:color="auto" w:sz="4" w:space="0"/>
              <w:right w:val="nil"/>
            </w:tcBorders>
            <w:noWrap/>
            <w:hideMark/>
          </w:tcPr>
          <w:p w:rsidRPr="00A325F7" w:rsidR="00511E87" w:rsidP="00B85722" w:rsidRDefault="00511E87" w14:paraId="1D29F0D7"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1FCFFA3B" w14:textId="77777777">
        <w:trPr>
          <w:trHeight w:val="300"/>
        </w:trPr>
        <w:tc>
          <w:tcPr>
            <w:tcW w:w="6804" w:type="dxa"/>
            <w:tcBorders>
              <w:left w:val="nil"/>
              <w:right w:val="nil"/>
            </w:tcBorders>
            <w:noWrap/>
            <w:hideMark/>
          </w:tcPr>
          <w:p w:rsidRPr="00A325F7" w:rsidR="00511E87" w:rsidP="00B85722" w:rsidRDefault="00511E87" w14:paraId="122BEC87"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Standaard voor jaarrekeningen</w:t>
            </w:r>
          </w:p>
        </w:tc>
        <w:tc>
          <w:tcPr>
            <w:tcW w:w="2745" w:type="dxa"/>
            <w:tcBorders>
              <w:left w:val="nil"/>
              <w:bottom w:val="single" w:color="auto" w:sz="4" w:space="0"/>
              <w:right w:val="nil"/>
            </w:tcBorders>
            <w:hideMark/>
          </w:tcPr>
          <w:p w:rsidRPr="00A325F7" w:rsidR="00511E87" w:rsidP="00B85722" w:rsidRDefault="00511E87" w14:paraId="3A1DAF04"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1AFA826C" w14:textId="77777777">
        <w:trPr>
          <w:trHeight w:val="300"/>
        </w:trPr>
        <w:tc>
          <w:tcPr>
            <w:tcW w:w="6804" w:type="dxa"/>
            <w:tcBorders>
              <w:left w:val="nil"/>
              <w:right w:val="nil"/>
            </w:tcBorders>
            <w:noWrap/>
            <w:hideMark/>
          </w:tcPr>
          <w:p w:rsidRPr="00A325F7" w:rsidR="00511E87" w:rsidP="00B85722" w:rsidRDefault="00511E87" w14:paraId="08BF71BE"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Datum van openbaarmaking (jjjj-mm-dd)</w:t>
            </w:r>
          </w:p>
        </w:tc>
        <w:tc>
          <w:tcPr>
            <w:tcW w:w="2745" w:type="dxa"/>
            <w:tcBorders>
              <w:left w:val="nil"/>
              <w:bottom w:val="single" w:color="auto" w:sz="4" w:space="0"/>
              <w:right w:val="nil"/>
            </w:tcBorders>
            <w:noWrap/>
            <w:hideMark/>
          </w:tcPr>
          <w:p w:rsidRPr="00A325F7" w:rsidR="00511E87" w:rsidP="00B85722" w:rsidRDefault="00511E87" w14:paraId="337B445D"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6D2ABCB3" w14:textId="77777777">
        <w:trPr>
          <w:trHeight w:val="300"/>
        </w:trPr>
        <w:tc>
          <w:tcPr>
            <w:tcW w:w="6804" w:type="dxa"/>
            <w:tcBorders>
              <w:left w:val="nil"/>
              <w:right w:val="nil"/>
            </w:tcBorders>
            <w:noWrap/>
            <w:hideMark/>
          </w:tcPr>
          <w:p w:rsidRPr="00A325F7" w:rsidR="00511E87" w:rsidP="00B85722" w:rsidRDefault="00511E87" w14:paraId="176A2C86" w14:textId="77777777">
            <w:pPr>
              <w:ind w:firstLine="400" w:firstLineChars="200"/>
              <w:rPr>
                <w:rFonts w:ascii="Arial" w:hAnsi="Arial" w:eastAsia="Times New Roman" w:cs="Arial"/>
                <w:sz w:val="20"/>
                <w:szCs w:val="20"/>
              </w:rPr>
            </w:pPr>
            <w:r w:rsidRPr="00A325F7">
              <w:rPr>
                <w:rFonts w:ascii="Arial" w:hAnsi="Arial"/>
                <w:sz w:val="20"/>
                <w:lang w:eastAsia="en-GB"/>
              </w:rPr>
              <w:t xml:space="preserve">(4) </w:t>
            </w:r>
            <w:r w:rsidRPr="00A325F7">
              <w:rPr>
                <w:rFonts w:ascii="Arial" w:hAnsi="Arial"/>
                <w:sz w:val="20"/>
              </w:rPr>
              <w:t>Taal van openbaarmaking</w:t>
            </w:r>
          </w:p>
        </w:tc>
        <w:tc>
          <w:tcPr>
            <w:tcW w:w="2745" w:type="dxa"/>
            <w:tcBorders>
              <w:left w:val="nil"/>
              <w:bottom w:val="single" w:color="auto" w:sz="4" w:space="0"/>
              <w:right w:val="nil"/>
            </w:tcBorders>
            <w:hideMark/>
          </w:tcPr>
          <w:p w:rsidRPr="00A325F7" w:rsidR="00511E87" w:rsidP="00B85722" w:rsidRDefault="00511E87" w14:paraId="5F3AC880"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5DAE36A0" w14:textId="77777777">
        <w:trPr>
          <w:trHeight w:val="300"/>
        </w:trPr>
        <w:tc>
          <w:tcPr>
            <w:tcW w:w="6804" w:type="dxa"/>
            <w:tcBorders>
              <w:left w:val="nil"/>
              <w:bottom w:val="single" w:color="auto" w:sz="4" w:space="0"/>
              <w:right w:val="nil"/>
            </w:tcBorders>
            <w:noWrap/>
            <w:hideMark/>
          </w:tcPr>
          <w:p w:rsidRPr="00A325F7" w:rsidR="00511E87" w:rsidP="00B85722" w:rsidRDefault="00511E87" w14:paraId="1B9615F1" w14:textId="77777777">
            <w:pPr>
              <w:ind w:firstLine="400" w:firstLineChars="200"/>
              <w:rPr>
                <w:rFonts w:ascii="Arial" w:hAnsi="Arial" w:eastAsia="Times New Roman" w:cs="Arial"/>
                <w:sz w:val="20"/>
                <w:szCs w:val="20"/>
              </w:rPr>
            </w:pPr>
            <w:r w:rsidRPr="00A325F7">
              <w:rPr>
                <w:rFonts w:ascii="Arial" w:hAnsi="Arial"/>
                <w:sz w:val="20"/>
                <w:lang w:eastAsia="en-GB"/>
              </w:rPr>
              <w:t xml:space="preserve">(5) </w:t>
            </w:r>
            <w:r w:rsidRPr="00A325F7">
              <w:rPr>
                <w:rFonts w:ascii="Arial" w:hAnsi="Arial"/>
                <w:sz w:val="20"/>
              </w:rPr>
              <w:t>Webadres van openbaarmaking</w:t>
            </w:r>
          </w:p>
        </w:tc>
        <w:tc>
          <w:tcPr>
            <w:tcW w:w="2745" w:type="dxa"/>
            <w:tcBorders>
              <w:left w:val="nil"/>
              <w:bottom w:val="single" w:color="auto" w:sz="4" w:space="0"/>
              <w:right w:val="nil"/>
            </w:tcBorders>
            <w:noWrap/>
            <w:hideMark/>
          </w:tcPr>
          <w:p w:rsidRPr="00A325F7" w:rsidR="00511E87" w:rsidP="00B85722" w:rsidRDefault="00511E87" w14:paraId="67D47C37" w14:textId="77777777">
            <w:pPr>
              <w:jc w:val="center"/>
              <w:rPr>
                <w:rFonts w:ascii="Arial" w:hAnsi="Arial" w:eastAsia="Times New Roman" w:cs="Arial"/>
                <w:color w:val="0000FF"/>
                <w:sz w:val="20"/>
                <w:szCs w:val="20"/>
                <w:u w:val="single"/>
                <w:lang w:eastAsia="en-GB"/>
              </w:rPr>
            </w:pPr>
          </w:p>
        </w:tc>
      </w:tr>
      <w:tr w:rsidRPr="00A325F7" w:rsidR="00511E87" w:rsidTr="00B85722" w14:paraId="5078A198" w14:textId="77777777">
        <w:trPr>
          <w:trHeight w:val="300"/>
        </w:trPr>
        <w:tc>
          <w:tcPr>
            <w:tcW w:w="6804" w:type="dxa"/>
            <w:tcBorders>
              <w:left w:val="nil"/>
              <w:bottom w:val="single" w:color="auto" w:sz="4" w:space="0"/>
              <w:right w:val="nil"/>
            </w:tcBorders>
            <w:noWrap/>
            <w:hideMark/>
          </w:tcPr>
          <w:p w:rsidRPr="00A325F7" w:rsidR="00511E87" w:rsidP="00B85722" w:rsidRDefault="00511E87" w14:paraId="7F72807F" w14:textId="77777777">
            <w:pPr>
              <w:ind w:firstLine="400" w:firstLineChars="200"/>
              <w:rPr>
                <w:rFonts w:ascii="Arial" w:hAnsi="Arial" w:eastAsia="Times New Roman" w:cs="Arial"/>
                <w:sz w:val="20"/>
                <w:szCs w:val="20"/>
              </w:rPr>
            </w:pPr>
            <w:r w:rsidRPr="00A325F7">
              <w:rPr>
                <w:rFonts w:ascii="Arial" w:hAnsi="Arial"/>
                <w:sz w:val="20"/>
                <w:lang w:eastAsia="en-GB"/>
              </w:rPr>
              <w:t xml:space="preserve">(6) </w:t>
            </w:r>
            <w:r w:rsidRPr="00A325F7">
              <w:rPr>
                <w:rFonts w:ascii="Arial" w:hAnsi="Arial"/>
                <w:sz w:val="20"/>
              </w:rPr>
              <w:t>LEI-code</w:t>
            </w:r>
          </w:p>
        </w:tc>
        <w:tc>
          <w:tcPr>
            <w:tcW w:w="2745" w:type="dxa"/>
            <w:tcBorders>
              <w:left w:val="nil"/>
              <w:bottom w:val="single" w:color="auto" w:sz="4" w:space="0"/>
              <w:right w:val="nil"/>
            </w:tcBorders>
            <w:hideMark/>
          </w:tcPr>
          <w:p w:rsidRPr="00A325F7" w:rsidR="00511E87" w:rsidP="00B85722" w:rsidRDefault="00511E87" w14:paraId="66B88950" w14:textId="77777777">
            <w:pPr>
              <w:jc w:val="center"/>
              <w:rPr>
                <w:rFonts w:ascii="Arial" w:hAnsi="Arial" w:eastAsia="Times New Roman" w:cs="Arial"/>
                <w:sz w:val="20"/>
                <w:szCs w:val="20"/>
              </w:rPr>
            </w:pPr>
            <w:r w:rsidRPr="00A325F7">
              <w:rPr>
                <w:rFonts w:ascii="Arial" w:hAnsi="Arial"/>
                <w:sz w:val="20"/>
              </w:rPr>
              <w:t> </w:t>
            </w:r>
          </w:p>
        </w:tc>
      </w:tr>
      <w:tr w:rsidRPr="00A325F7" w:rsidR="00511E87" w:rsidTr="00B85722" w14:paraId="70618E85" w14:textId="77777777">
        <w:trPr>
          <w:trHeight w:val="300"/>
        </w:trPr>
        <w:tc>
          <w:tcPr>
            <w:tcW w:w="6804" w:type="dxa"/>
            <w:tcBorders>
              <w:left w:val="nil"/>
              <w:bottom w:val="nil"/>
              <w:right w:val="nil"/>
            </w:tcBorders>
            <w:noWrap/>
          </w:tcPr>
          <w:p w:rsidRPr="00A325F7" w:rsidR="00511E87" w:rsidP="00B85722" w:rsidRDefault="00511E87" w14:paraId="3EDC34C3"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A325F7" w:rsidR="00511E87" w:rsidP="00B85722" w:rsidRDefault="00511E87" w14:paraId="20E0EFF0" w14:textId="77777777">
            <w:pPr>
              <w:jc w:val="center"/>
              <w:rPr>
                <w:rFonts w:ascii="Arial" w:hAnsi="Arial" w:eastAsia="Times New Roman" w:cs="Arial"/>
                <w:sz w:val="20"/>
                <w:szCs w:val="20"/>
                <w:lang w:eastAsia="en-GB"/>
              </w:rPr>
            </w:pPr>
          </w:p>
        </w:tc>
      </w:tr>
      <w:tr w:rsidRPr="00A325F7" w:rsidR="00511E87" w:rsidTr="00B85722" w14:paraId="2374DD6A" w14:textId="77777777">
        <w:trPr>
          <w:trHeight w:val="300"/>
        </w:trPr>
        <w:tc>
          <w:tcPr>
            <w:tcW w:w="6804" w:type="dxa"/>
            <w:tcBorders>
              <w:top w:val="nil"/>
              <w:left w:val="nil"/>
              <w:bottom w:val="nil"/>
              <w:right w:val="nil"/>
            </w:tcBorders>
            <w:noWrap/>
          </w:tcPr>
          <w:p w:rsidRPr="00A325F7" w:rsidR="00511E87" w:rsidP="00B85722" w:rsidRDefault="00511E87" w14:paraId="69A57754" w14:textId="77777777">
            <w:pPr>
              <w:keepNext/>
              <w:keepLines/>
              <w:spacing w:before="47"/>
              <w:outlineLvl w:val="5"/>
              <w:rPr>
                <w:rFonts w:ascii="Arial" w:hAnsi="Arial" w:eastAsia="Times New Roman" w:cs="Arial"/>
                <w:i/>
                <w:iCs/>
                <w:caps/>
                <w:color w:val="172B39" w:themeColor="accent1" w:themeShade="80"/>
                <w:sz w:val="20"/>
                <w:szCs w:val="20"/>
              </w:rPr>
            </w:pPr>
            <w:r w:rsidRPr="00A325F7">
              <w:rPr>
                <w:rFonts w:asciiTheme="majorHAnsi" w:hAnsiTheme="majorHAnsi"/>
                <w:b/>
                <w:i/>
                <w:caps/>
              </w:rPr>
              <w:t>Omvangsindicatoren</w:t>
            </w:r>
          </w:p>
        </w:tc>
        <w:tc>
          <w:tcPr>
            <w:tcW w:w="2745" w:type="dxa"/>
            <w:tcBorders>
              <w:top w:val="nil"/>
              <w:left w:val="nil"/>
              <w:bottom w:val="nil"/>
              <w:right w:val="nil"/>
            </w:tcBorders>
          </w:tcPr>
          <w:p w:rsidRPr="00A325F7" w:rsidR="00511E87" w:rsidP="00B85722" w:rsidRDefault="00511E87" w14:paraId="0BDFCAD4" w14:textId="77777777">
            <w:pPr>
              <w:jc w:val="center"/>
              <w:rPr>
                <w:rFonts w:ascii="Arial" w:hAnsi="Arial" w:eastAsia="Times New Roman" w:cs="Arial"/>
                <w:sz w:val="20"/>
                <w:szCs w:val="20"/>
                <w:lang w:eastAsia="en-GB"/>
              </w:rPr>
            </w:pPr>
          </w:p>
        </w:tc>
      </w:tr>
      <w:tr w:rsidRPr="00A325F7" w:rsidR="00511E87" w:rsidTr="00B85722" w14:paraId="50A227F8" w14:textId="77777777">
        <w:trPr>
          <w:trHeight w:val="300"/>
        </w:trPr>
        <w:tc>
          <w:tcPr>
            <w:tcW w:w="6804" w:type="dxa"/>
            <w:tcBorders>
              <w:top w:val="nil"/>
              <w:left w:val="nil"/>
              <w:bottom w:val="single" w:color="auto" w:sz="4" w:space="0"/>
              <w:right w:val="nil"/>
            </w:tcBorders>
            <w:noWrap/>
          </w:tcPr>
          <w:p w:rsidRPr="00A325F7" w:rsidR="00511E87" w:rsidP="00B85722" w:rsidRDefault="00511E87" w14:paraId="555F0067"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A325F7" w:rsidR="00511E87" w:rsidP="00B85722" w:rsidRDefault="00511E87" w14:paraId="389F418A" w14:textId="77777777">
            <w:pPr>
              <w:jc w:val="center"/>
              <w:rPr>
                <w:rFonts w:ascii="Arial" w:hAnsi="Arial" w:eastAsia="Times New Roman" w:cs="Arial"/>
                <w:sz w:val="20"/>
                <w:szCs w:val="20"/>
                <w:lang w:eastAsia="en-GB"/>
              </w:rPr>
            </w:pPr>
          </w:p>
        </w:tc>
      </w:tr>
      <w:tr w:rsidRPr="00A325F7" w:rsidR="00511E87" w:rsidTr="00B85722" w14:paraId="3F6204A6" w14:textId="77777777">
        <w:trPr>
          <w:trHeight w:val="300"/>
        </w:trPr>
        <w:tc>
          <w:tcPr>
            <w:tcW w:w="6804" w:type="dxa"/>
            <w:tcBorders>
              <w:left w:val="nil"/>
              <w:right w:val="nil"/>
            </w:tcBorders>
            <w:noWrap/>
          </w:tcPr>
          <w:p w:rsidRPr="00A325F7" w:rsidR="00511E87" w:rsidP="00B85722" w:rsidRDefault="00511E87" w14:paraId="77E430F4" w14:textId="77777777">
            <w:pPr>
              <w:rPr>
                <w:rFonts w:ascii="Arial" w:hAnsi="Arial" w:eastAsia="Times New Roman" w:cs="Arial"/>
                <w:sz w:val="20"/>
                <w:szCs w:val="20"/>
              </w:rPr>
            </w:pPr>
            <w:r w:rsidRPr="00A325F7">
              <w:rPr>
                <w:rFonts w:ascii="Arial" w:hAnsi="Arial"/>
                <w:b/>
                <w:sz w:val="20"/>
              </w:rPr>
              <w:t>Afdeling 2 – Totaal blootstellingen</w:t>
            </w:r>
          </w:p>
        </w:tc>
        <w:tc>
          <w:tcPr>
            <w:tcW w:w="2745" w:type="dxa"/>
            <w:tcBorders>
              <w:left w:val="nil"/>
              <w:right w:val="nil"/>
            </w:tcBorders>
            <w:noWrap/>
          </w:tcPr>
          <w:p w:rsidRPr="00A325F7" w:rsidR="00511E87" w:rsidP="00B85722" w:rsidRDefault="00511E87" w14:paraId="0836F502" w14:textId="77777777">
            <w:pPr>
              <w:ind w:firstLine="201" w:firstLineChars="100"/>
              <w:jc w:val="center"/>
              <w:rPr>
                <w:rFonts w:ascii="Arial" w:hAnsi="Arial" w:eastAsia="Times New Roman" w:cs="Arial"/>
                <w:sz w:val="20"/>
                <w:szCs w:val="20"/>
              </w:rPr>
            </w:pPr>
            <w:r w:rsidRPr="00A325F7">
              <w:rPr>
                <w:rFonts w:ascii="Arial" w:hAnsi="Arial"/>
                <w:b/>
                <w:sz w:val="20"/>
              </w:rPr>
              <w:t>Bedrag</w:t>
            </w:r>
          </w:p>
        </w:tc>
      </w:tr>
      <w:tr w:rsidRPr="00A325F7" w:rsidR="00511E87" w:rsidTr="00B85722" w14:paraId="299A4AF2" w14:textId="77777777">
        <w:trPr>
          <w:trHeight w:val="300"/>
        </w:trPr>
        <w:tc>
          <w:tcPr>
            <w:tcW w:w="6804" w:type="dxa"/>
            <w:tcBorders>
              <w:left w:val="nil"/>
              <w:right w:val="nil"/>
            </w:tcBorders>
            <w:noWrap/>
            <w:hideMark/>
          </w:tcPr>
          <w:p w:rsidRPr="00A325F7" w:rsidR="00511E87" w:rsidP="00B85722" w:rsidRDefault="00511E87" w14:paraId="2E59339D" w14:textId="77777777">
            <w:pPr>
              <w:ind w:firstLine="200" w:firstLineChars="100"/>
              <w:rPr>
                <w:rFonts w:ascii="Arial" w:hAnsi="Arial" w:eastAsia="Times New Roman" w:cs="Arial"/>
                <w:sz w:val="20"/>
                <w:szCs w:val="20"/>
              </w:rPr>
            </w:pPr>
            <w:r w:rsidRPr="00A325F7">
              <w:rPr>
                <w:rFonts w:ascii="Arial" w:hAnsi="Arial"/>
                <w:sz w:val="20"/>
              </w:rPr>
              <w:t>a. Derivaten</w:t>
            </w:r>
          </w:p>
        </w:tc>
        <w:tc>
          <w:tcPr>
            <w:tcW w:w="2745" w:type="dxa"/>
            <w:tcBorders>
              <w:left w:val="nil"/>
              <w:right w:val="nil"/>
            </w:tcBorders>
            <w:noWrap/>
            <w:hideMark/>
          </w:tcPr>
          <w:p w:rsidRPr="00A325F7" w:rsidR="00511E87" w:rsidP="00B85722" w:rsidRDefault="00511E87" w14:paraId="2F1DE9AC" w14:textId="77777777">
            <w:pPr>
              <w:ind w:firstLine="200" w:firstLineChars="100"/>
              <w:rPr>
                <w:rFonts w:ascii="Arial" w:hAnsi="Arial" w:eastAsia="Times New Roman" w:cs="Arial"/>
                <w:sz w:val="20"/>
                <w:szCs w:val="20"/>
              </w:rPr>
            </w:pPr>
            <w:r w:rsidRPr="00A325F7">
              <w:rPr>
                <w:rFonts w:ascii="Arial" w:hAnsi="Arial"/>
                <w:sz w:val="20"/>
              </w:rPr>
              <w:t> </w:t>
            </w:r>
          </w:p>
        </w:tc>
      </w:tr>
      <w:tr w:rsidRPr="00A325F7" w:rsidR="00511E87" w:rsidTr="00B85722" w14:paraId="2B1DED6E" w14:textId="77777777">
        <w:trPr>
          <w:trHeight w:val="300"/>
        </w:trPr>
        <w:tc>
          <w:tcPr>
            <w:tcW w:w="6804" w:type="dxa"/>
            <w:tcBorders>
              <w:left w:val="nil"/>
              <w:right w:val="nil"/>
            </w:tcBorders>
            <w:noWrap/>
            <w:hideMark/>
          </w:tcPr>
          <w:p w:rsidRPr="00A325F7" w:rsidR="00511E87" w:rsidP="00B85722" w:rsidRDefault="00511E87" w14:paraId="1F39E921"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Tegenpartijblootstelling van derivatencontracten</w:t>
            </w:r>
          </w:p>
        </w:tc>
        <w:tc>
          <w:tcPr>
            <w:tcW w:w="2745" w:type="dxa"/>
            <w:tcBorders>
              <w:left w:val="nil"/>
              <w:right w:val="nil"/>
            </w:tcBorders>
            <w:noWrap/>
            <w:hideMark/>
          </w:tcPr>
          <w:p w:rsidRPr="00A325F7" w:rsidR="00511E87" w:rsidP="00B85722" w:rsidRDefault="00511E87" w14:paraId="0BB147D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B6A88EF" w14:textId="77777777">
        <w:trPr>
          <w:trHeight w:val="300"/>
        </w:trPr>
        <w:tc>
          <w:tcPr>
            <w:tcW w:w="6804" w:type="dxa"/>
            <w:tcBorders>
              <w:left w:val="nil"/>
              <w:right w:val="nil"/>
            </w:tcBorders>
            <w:noWrap/>
            <w:hideMark/>
          </w:tcPr>
          <w:p w:rsidRPr="00A325F7" w:rsidR="00511E87" w:rsidP="00B85722" w:rsidRDefault="00511E87" w14:paraId="362A6523"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Begrensd notioneel bedrag van kredietderivaten</w:t>
            </w:r>
          </w:p>
        </w:tc>
        <w:tc>
          <w:tcPr>
            <w:tcW w:w="2745" w:type="dxa"/>
            <w:tcBorders>
              <w:left w:val="nil"/>
              <w:right w:val="nil"/>
            </w:tcBorders>
            <w:noWrap/>
            <w:hideMark/>
          </w:tcPr>
          <w:p w:rsidRPr="00A325F7" w:rsidR="00511E87" w:rsidP="00B85722" w:rsidRDefault="00511E87" w14:paraId="1376B0D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CD15DDD" w14:textId="77777777">
        <w:trPr>
          <w:trHeight w:val="300"/>
        </w:trPr>
        <w:tc>
          <w:tcPr>
            <w:tcW w:w="6804" w:type="dxa"/>
            <w:tcBorders>
              <w:left w:val="nil"/>
              <w:right w:val="nil"/>
            </w:tcBorders>
            <w:noWrap/>
            <w:hideMark/>
          </w:tcPr>
          <w:p w:rsidRPr="00A325F7" w:rsidR="00511E87" w:rsidP="00B85722" w:rsidRDefault="00511E87" w14:paraId="51142372"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Potentiële toekomstige blootstelling van derivatencontracten</w:t>
            </w:r>
          </w:p>
        </w:tc>
        <w:tc>
          <w:tcPr>
            <w:tcW w:w="2745" w:type="dxa"/>
            <w:tcBorders>
              <w:left w:val="nil"/>
              <w:right w:val="nil"/>
            </w:tcBorders>
            <w:noWrap/>
            <w:hideMark/>
          </w:tcPr>
          <w:p w:rsidRPr="00A325F7" w:rsidR="00511E87" w:rsidP="00B85722" w:rsidRDefault="00511E87" w14:paraId="0CA0B877"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DAC9F6E" w14:textId="77777777">
        <w:trPr>
          <w:trHeight w:val="300"/>
        </w:trPr>
        <w:tc>
          <w:tcPr>
            <w:tcW w:w="6804" w:type="dxa"/>
            <w:tcBorders>
              <w:left w:val="nil"/>
              <w:right w:val="nil"/>
            </w:tcBorders>
            <w:noWrap/>
            <w:hideMark/>
          </w:tcPr>
          <w:p w:rsidRPr="00A325F7" w:rsidR="00511E87" w:rsidP="00B85722" w:rsidRDefault="00511E87" w14:paraId="570A9657" w14:textId="77777777">
            <w:pPr>
              <w:ind w:firstLine="200" w:firstLineChars="100"/>
              <w:rPr>
                <w:rFonts w:ascii="Arial" w:hAnsi="Arial" w:eastAsia="Times New Roman" w:cs="Arial"/>
                <w:sz w:val="20"/>
                <w:szCs w:val="20"/>
              </w:rPr>
            </w:pPr>
            <w:r w:rsidRPr="00A325F7">
              <w:rPr>
                <w:rFonts w:ascii="Arial" w:hAnsi="Arial"/>
                <w:sz w:val="20"/>
              </w:rPr>
              <w:t>b. Effectenfinancieringstransacties (SFT’s)</w:t>
            </w:r>
          </w:p>
        </w:tc>
        <w:tc>
          <w:tcPr>
            <w:tcW w:w="2745" w:type="dxa"/>
            <w:tcBorders>
              <w:left w:val="nil"/>
              <w:right w:val="nil"/>
            </w:tcBorders>
            <w:noWrap/>
            <w:hideMark/>
          </w:tcPr>
          <w:p w:rsidRPr="00A325F7" w:rsidR="00511E87" w:rsidP="00B85722" w:rsidRDefault="00511E87" w14:paraId="4C366424" w14:textId="77777777">
            <w:pPr>
              <w:ind w:firstLine="200" w:firstLineChars="100"/>
              <w:rPr>
                <w:rFonts w:ascii="Arial" w:hAnsi="Arial" w:eastAsia="Times New Roman" w:cs="Arial"/>
                <w:sz w:val="20"/>
                <w:szCs w:val="20"/>
              </w:rPr>
            </w:pPr>
            <w:r w:rsidRPr="00A325F7">
              <w:rPr>
                <w:rFonts w:ascii="Arial" w:hAnsi="Arial"/>
                <w:sz w:val="20"/>
              </w:rPr>
              <w:t> </w:t>
            </w:r>
          </w:p>
        </w:tc>
      </w:tr>
      <w:tr w:rsidRPr="00A325F7" w:rsidR="00511E87" w:rsidTr="00B85722" w14:paraId="3FCD040D" w14:textId="77777777">
        <w:trPr>
          <w:trHeight w:val="300"/>
        </w:trPr>
        <w:tc>
          <w:tcPr>
            <w:tcW w:w="6804" w:type="dxa"/>
            <w:tcBorders>
              <w:left w:val="nil"/>
              <w:right w:val="nil"/>
            </w:tcBorders>
            <w:noWrap/>
            <w:hideMark/>
          </w:tcPr>
          <w:p w:rsidRPr="00A325F7" w:rsidR="00511E87" w:rsidP="00B85722" w:rsidRDefault="00511E87" w14:paraId="426D1D72"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Gecorrigeerde brutowaarde van SFT’s</w:t>
            </w:r>
          </w:p>
        </w:tc>
        <w:tc>
          <w:tcPr>
            <w:tcW w:w="2745" w:type="dxa"/>
            <w:tcBorders>
              <w:left w:val="nil"/>
              <w:right w:val="nil"/>
            </w:tcBorders>
            <w:noWrap/>
            <w:hideMark/>
          </w:tcPr>
          <w:p w:rsidRPr="00A325F7" w:rsidR="00511E87" w:rsidP="00B85722" w:rsidRDefault="00511E87" w14:paraId="6F0F7A20"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9F314E1" w14:textId="77777777">
        <w:trPr>
          <w:trHeight w:val="300"/>
        </w:trPr>
        <w:tc>
          <w:tcPr>
            <w:tcW w:w="6804" w:type="dxa"/>
            <w:tcBorders>
              <w:left w:val="nil"/>
              <w:right w:val="nil"/>
            </w:tcBorders>
            <w:noWrap/>
            <w:hideMark/>
          </w:tcPr>
          <w:p w:rsidRPr="00A325F7" w:rsidR="00511E87" w:rsidP="00B85722" w:rsidRDefault="00511E87" w14:paraId="37214C40"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Tegenpartijblootstelling van SFT’s</w:t>
            </w:r>
          </w:p>
        </w:tc>
        <w:tc>
          <w:tcPr>
            <w:tcW w:w="2745" w:type="dxa"/>
            <w:tcBorders>
              <w:left w:val="nil"/>
              <w:right w:val="nil"/>
            </w:tcBorders>
            <w:noWrap/>
            <w:hideMark/>
          </w:tcPr>
          <w:p w:rsidRPr="00A325F7" w:rsidR="00511E87" w:rsidP="00B85722" w:rsidRDefault="00511E87" w14:paraId="137711D0"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2BF3FB8" w14:textId="77777777">
        <w:trPr>
          <w:trHeight w:val="300"/>
        </w:trPr>
        <w:tc>
          <w:tcPr>
            <w:tcW w:w="6804" w:type="dxa"/>
            <w:tcBorders>
              <w:left w:val="nil"/>
              <w:right w:val="nil"/>
            </w:tcBorders>
            <w:noWrap/>
            <w:hideMark/>
          </w:tcPr>
          <w:p w:rsidRPr="00A325F7" w:rsidR="00511E87" w:rsidP="00B85722" w:rsidRDefault="00511E87" w14:paraId="5D74DE0B" w14:textId="77777777">
            <w:pPr>
              <w:ind w:firstLine="200" w:firstLineChars="100"/>
              <w:rPr>
                <w:rFonts w:ascii="Arial" w:hAnsi="Arial" w:eastAsia="Times New Roman" w:cs="Arial"/>
                <w:sz w:val="20"/>
                <w:szCs w:val="20"/>
              </w:rPr>
            </w:pPr>
            <w:r w:rsidRPr="00A325F7">
              <w:rPr>
                <w:rFonts w:ascii="Arial" w:hAnsi="Arial"/>
                <w:sz w:val="20"/>
              </w:rPr>
              <w:t>c. Andere activa</w:t>
            </w:r>
          </w:p>
        </w:tc>
        <w:tc>
          <w:tcPr>
            <w:tcW w:w="2745" w:type="dxa"/>
            <w:tcBorders>
              <w:left w:val="nil"/>
              <w:right w:val="nil"/>
            </w:tcBorders>
            <w:noWrap/>
            <w:hideMark/>
          </w:tcPr>
          <w:p w:rsidRPr="00A325F7" w:rsidR="00511E87" w:rsidP="00B85722" w:rsidRDefault="00511E87" w14:paraId="677731D2"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319E772" w14:textId="77777777">
        <w:trPr>
          <w:trHeight w:val="300"/>
        </w:trPr>
        <w:tc>
          <w:tcPr>
            <w:tcW w:w="6804" w:type="dxa"/>
            <w:tcBorders>
              <w:left w:val="nil"/>
              <w:right w:val="nil"/>
            </w:tcBorders>
            <w:noWrap/>
            <w:hideMark/>
          </w:tcPr>
          <w:p w:rsidRPr="00A325F7" w:rsidR="00511E87" w:rsidP="00B85722" w:rsidRDefault="00511E87" w14:paraId="5DFC6E67" w14:textId="77777777">
            <w:pPr>
              <w:ind w:firstLine="200" w:firstLineChars="100"/>
              <w:rPr>
                <w:rFonts w:ascii="Arial" w:hAnsi="Arial" w:eastAsia="Times New Roman" w:cs="Arial"/>
                <w:sz w:val="20"/>
                <w:szCs w:val="20"/>
              </w:rPr>
            </w:pPr>
            <w:r w:rsidRPr="00A325F7">
              <w:rPr>
                <w:rFonts w:ascii="Arial" w:hAnsi="Arial"/>
                <w:sz w:val="20"/>
              </w:rPr>
              <w:t>d. Bruto notioneel bedrag van posten buiten de balanstelling</w:t>
            </w:r>
          </w:p>
        </w:tc>
        <w:tc>
          <w:tcPr>
            <w:tcW w:w="2745" w:type="dxa"/>
            <w:tcBorders>
              <w:left w:val="nil"/>
              <w:right w:val="nil"/>
            </w:tcBorders>
            <w:noWrap/>
            <w:hideMark/>
          </w:tcPr>
          <w:p w:rsidRPr="00A325F7" w:rsidR="00511E87" w:rsidP="00B85722" w:rsidRDefault="00511E87" w14:paraId="38244939" w14:textId="77777777">
            <w:pPr>
              <w:ind w:firstLine="200" w:firstLineChars="100"/>
              <w:rPr>
                <w:rFonts w:ascii="Arial" w:hAnsi="Arial" w:eastAsia="Times New Roman" w:cs="Arial"/>
                <w:sz w:val="20"/>
                <w:szCs w:val="20"/>
              </w:rPr>
            </w:pPr>
            <w:r w:rsidRPr="00A325F7">
              <w:rPr>
                <w:rFonts w:ascii="Arial" w:hAnsi="Arial"/>
                <w:sz w:val="20"/>
              </w:rPr>
              <w:t> </w:t>
            </w:r>
          </w:p>
        </w:tc>
      </w:tr>
      <w:tr w:rsidRPr="00A325F7" w:rsidR="00511E87" w:rsidTr="00B85722" w14:paraId="362F65BC" w14:textId="77777777">
        <w:trPr>
          <w:trHeight w:val="300"/>
        </w:trPr>
        <w:tc>
          <w:tcPr>
            <w:tcW w:w="6804" w:type="dxa"/>
            <w:tcBorders>
              <w:left w:val="nil"/>
              <w:right w:val="nil"/>
            </w:tcBorders>
            <w:noWrap/>
            <w:hideMark/>
          </w:tcPr>
          <w:p w:rsidRPr="00A325F7" w:rsidR="00511E87" w:rsidP="00B85722" w:rsidRDefault="00511E87" w14:paraId="73D0F526"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Posten met een kredietomwisselingsfactor (COF) van 0 %</w:t>
            </w:r>
          </w:p>
        </w:tc>
        <w:tc>
          <w:tcPr>
            <w:tcW w:w="2745" w:type="dxa"/>
            <w:tcBorders>
              <w:left w:val="nil"/>
              <w:right w:val="nil"/>
            </w:tcBorders>
            <w:noWrap/>
            <w:hideMark/>
          </w:tcPr>
          <w:p w:rsidRPr="00A325F7" w:rsidR="00511E87" w:rsidP="00B85722" w:rsidRDefault="00511E87" w14:paraId="3259B2D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9DFE2CB" w14:textId="77777777">
        <w:trPr>
          <w:trHeight w:val="300"/>
        </w:trPr>
        <w:tc>
          <w:tcPr>
            <w:tcW w:w="6804" w:type="dxa"/>
            <w:tcBorders>
              <w:left w:val="nil"/>
              <w:right w:val="nil"/>
            </w:tcBorders>
            <w:noWrap/>
            <w:hideMark/>
          </w:tcPr>
          <w:p w:rsidRPr="00A325F7" w:rsidR="00511E87" w:rsidP="00B85722" w:rsidRDefault="00511E87" w14:paraId="535E9F88"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Posten met een COF van 20 %</w:t>
            </w:r>
          </w:p>
        </w:tc>
        <w:tc>
          <w:tcPr>
            <w:tcW w:w="2745" w:type="dxa"/>
            <w:tcBorders>
              <w:left w:val="nil"/>
              <w:right w:val="nil"/>
            </w:tcBorders>
            <w:noWrap/>
            <w:hideMark/>
          </w:tcPr>
          <w:p w:rsidRPr="00A325F7" w:rsidR="00511E87" w:rsidP="00B85722" w:rsidRDefault="00511E87" w14:paraId="701B141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E0BB4CF" w14:textId="77777777">
        <w:trPr>
          <w:trHeight w:val="300"/>
        </w:trPr>
        <w:tc>
          <w:tcPr>
            <w:tcW w:w="6804" w:type="dxa"/>
            <w:tcBorders>
              <w:left w:val="nil"/>
              <w:right w:val="nil"/>
            </w:tcBorders>
            <w:noWrap/>
            <w:hideMark/>
          </w:tcPr>
          <w:p w:rsidRPr="00A325F7" w:rsidR="00511E87" w:rsidP="00B85722" w:rsidRDefault="00511E87" w14:paraId="7D0C778F"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Posten met een COF van 50 %</w:t>
            </w:r>
          </w:p>
        </w:tc>
        <w:tc>
          <w:tcPr>
            <w:tcW w:w="2745" w:type="dxa"/>
            <w:tcBorders>
              <w:left w:val="nil"/>
              <w:right w:val="nil"/>
            </w:tcBorders>
            <w:noWrap/>
            <w:hideMark/>
          </w:tcPr>
          <w:p w:rsidRPr="00A325F7" w:rsidR="00511E87" w:rsidP="00B85722" w:rsidRDefault="00511E87" w14:paraId="6253A5C7"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C62DD57" w14:textId="77777777">
        <w:trPr>
          <w:trHeight w:val="300"/>
        </w:trPr>
        <w:tc>
          <w:tcPr>
            <w:tcW w:w="6804" w:type="dxa"/>
            <w:tcBorders>
              <w:left w:val="nil"/>
              <w:right w:val="nil"/>
            </w:tcBorders>
            <w:noWrap/>
            <w:hideMark/>
          </w:tcPr>
          <w:p w:rsidRPr="00A325F7" w:rsidR="00511E87" w:rsidP="00B85722" w:rsidRDefault="00511E87" w14:paraId="62244A28" w14:textId="77777777">
            <w:pPr>
              <w:ind w:firstLine="400" w:firstLineChars="200"/>
              <w:rPr>
                <w:rFonts w:ascii="Arial" w:hAnsi="Arial" w:eastAsia="Times New Roman" w:cs="Arial"/>
                <w:sz w:val="20"/>
                <w:szCs w:val="20"/>
              </w:rPr>
            </w:pPr>
            <w:r w:rsidRPr="00A325F7">
              <w:rPr>
                <w:rFonts w:ascii="Arial" w:hAnsi="Arial"/>
                <w:sz w:val="20"/>
                <w:lang w:eastAsia="en-GB"/>
              </w:rPr>
              <w:t xml:space="preserve">(4) </w:t>
            </w:r>
            <w:r w:rsidRPr="00A325F7">
              <w:rPr>
                <w:rFonts w:ascii="Arial" w:hAnsi="Arial"/>
                <w:sz w:val="20"/>
              </w:rPr>
              <w:t>Posten met een COF van 100 %</w:t>
            </w:r>
          </w:p>
        </w:tc>
        <w:tc>
          <w:tcPr>
            <w:tcW w:w="2745" w:type="dxa"/>
            <w:tcBorders>
              <w:left w:val="nil"/>
              <w:right w:val="nil"/>
            </w:tcBorders>
            <w:noWrap/>
            <w:hideMark/>
          </w:tcPr>
          <w:p w:rsidRPr="00A325F7" w:rsidR="00511E87" w:rsidP="00B85722" w:rsidRDefault="00511E87" w14:paraId="253DBC0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2E83160" w14:textId="77777777">
        <w:trPr>
          <w:trHeight w:val="300"/>
        </w:trPr>
        <w:tc>
          <w:tcPr>
            <w:tcW w:w="6804" w:type="dxa"/>
            <w:tcBorders>
              <w:left w:val="nil"/>
              <w:right w:val="nil"/>
            </w:tcBorders>
            <w:noWrap/>
            <w:hideMark/>
          </w:tcPr>
          <w:p w:rsidRPr="00A325F7" w:rsidR="00511E87" w:rsidP="00B85722" w:rsidRDefault="00511E87" w14:paraId="07D21E10" w14:textId="77777777">
            <w:pPr>
              <w:ind w:firstLine="200" w:firstLineChars="100"/>
              <w:rPr>
                <w:rFonts w:ascii="Arial" w:hAnsi="Arial" w:eastAsia="Times New Roman" w:cs="Arial"/>
                <w:sz w:val="20"/>
                <w:szCs w:val="20"/>
              </w:rPr>
            </w:pPr>
            <w:r w:rsidRPr="00A325F7">
              <w:rPr>
                <w:rFonts w:ascii="Arial" w:hAnsi="Arial"/>
                <w:sz w:val="20"/>
              </w:rPr>
              <w:t>e. Regelgevingsaanpassingen</w:t>
            </w:r>
          </w:p>
        </w:tc>
        <w:tc>
          <w:tcPr>
            <w:tcW w:w="2745" w:type="dxa"/>
            <w:tcBorders>
              <w:left w:val="nil"/>
              <w:right w:val="nil"/>
            </w:tcBorders>
            <w:noWrap/>
            <w:hideMark/>
          </w:tcPr>
          <w:p w:rsidRPr="00A325F7" w:rsidR="00511E87" w:rsidP="00B85722" w:rsidRDefault="00511E87" w14:paraId="22D7FBE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E5CA482" w14:textId="77777777">
        <w:trPr>
          <w:trHeight w:val="300"/>
        </w:trPr>
        <w:tc>
          <w:tcPr>
            <w:tcW w:w="6804" w:type="dxa"/>
            <w:tcBorders>
              <w:left w:val="nil"/>
              <w:right w:val="nil"/>
            </w:tcBorders>
            <w:noWrap/>
          </w:tcPr>
          <w:p w:rsidRPr="00A325F7" w:rsidR="00511E87" w:rsidP="00B85722" w:rsidRDefault="00511E87" w14:paraId="30BB02E6" w14:textId="77777777">
            <w:pPr>
              <w:ind w:left="171" w:firstLine="28" w:firstLineChars="14"/>
              <w:rPr>
                <w:rFonts w:ascii="Arial" w:hAnsi="Arial" w:eastAsia="Times New Roman" w:cs="Arial"/>
                <w:sz w:val="20"/>
                <w:szCs w:val="20"/>
              </w:rPr>
            </w:pPr>
            <w:r w:rsidRPr="00A325F7">
              <w:rPr>
                <w:rFonts w:ascii="Arial" w:hAnsi="Arial"/>
                <w:sz w:val="20"/>
              </w:rPr>
              <w:lastRenderedPageBreak/>
              <w:t>f. Totaal blootstellingen vóór regelgevingsaanpassingen (som van de posten 2.a.1) tot en met 2.c, 0,1 maal post 2.d.1), 0,2 maal post 2.d.2), 0,5 maal post 2.d.3), en post 2.d.4))</w:t>
            </w:r>
          </w:p>
        </w:tc>
        <w:tc>
          <w:tcPr>
            <w:tcW w:w="2745" w:type="dxa"/>
            <w:tcBorders>
              <w:left w:val="nil"/>
              <w:right w:val="nil"/>
            </w:tcBorders>
            <w:noWrap/>
          </w:tcPr>
          <w:p w:rsidRPr="00A325F7" w:rsidR="00511E87" w:rsidP="00B85722" w:rsidRDefault="00511E87" w14:paraId="116AEEED" w14:textId="77777777">
            <w:pPr>
              <w:jc w:val="right"/>
              <w:rPr>
                <w:rFonts w:ascii="Arial" w:hAnsi="Arial" w:eastAsia="Times New Roman" w:cs="Arial"/>
                <w:sz w:val="20"/>
                <w:szCs w:val="20"/>
                <w:lang w:eastAsia="en-GB"/>
              </w:rPr>
            </w:pPr>
          </w:p>
        </w:tc>
      </w:tr>
      <w:tr w:rsidRPr="00A325F7" w:rsidR="00511E87" w:rsidTr="00B85722" w14:paraId="2AAE8EF0" w14:textId="77777777">
        <w:trPr>
          <w:trHeight w:val="300"/>
        </w:trPr>
        <w:tc>
          <w:tcPr>
            <w:tcW w:w="6804" w:type="dxa"/>
            <w:tcBorders>
              <w:left w:val="nil"/>
              <w:right w:val="nil"/>
            </w:tcBorders>
            <w:noWrap/>
          </w:tcPr>
          <w:p w:rsidRPr="00A325F7" w:rsidR="00511E87" w:rsidP="00B85722" w:rsidRDefault="00511E87" w14:paraId="531FE1B9" w14:textId="77777777">
            <w:pPr>
              <w:ind w:left="171" w:firstLine="28" w:firstLineChars="14"/>
              <w:rPr>
                <w:rFonts w:ascii="Arial" w:hAnsi="Arial" w:eastAsia="Times New Roman" w:cs="Arial"/>
                <w:sz w:val="20"/>
                <w:szCs w:val="20"/>
              </w:rPr>
            </w:pPr>
            <w:r w:rsidRPr="00A325F7">
              <w:rPr>
                <w:rFonts w:ascii="Arial" w:hAnsi="Arial"/>
                <w:sz w:val="20"/>
              </w:rPr>
              <w:t>g. Blootstellingen van verzekeringsdochterondernemingen die niet onder post 2.f vallen binnen de groep:</w:t>
            </w:r>
          </w:p>
        </w:tc>
        <w:tc>
          <w:tcPr>
            <w:tcW w:w="2745" w:type="dxa"/>
            <w:tcBorders>
              <w:left w:val="nil"/>
              <w:right w:val="nil"/>
            </w:tcBorders>
            <w:noWrap/>
          </w:tcPr>
          <w:p w:rsidRPr="00A325F7" w:rsidR="00511E87" w:rsidP="00B85722" w:rsidRDefault="00511E87" w14:paraId="09234F86" w14:textId="77777777">
            <w:pPr>
              <w:jc w:val="right"/>
              <w:rPr>
                <w:rFonts w:ascii="Arial" w:hAnsi="Arial" w:eastAsia="Times New Roman" w:cs="Arial"/>
                <w:sz w:val="20"/>
                <w:szCs w:val="20"/>
                <w:lang w:eastAsia="en-GB"/>
              </w:rPr>
            </w:pPr>
          </w:p>
        </w:tc>
      </w:tr>
      <w:tr w:rsidRPr="00A325F7" w:rsidR="00511E87" w:rsidTr="00B85722" w14:paraId="447798E9" w14:textId="77777777">
        <w:trPr>
          <w:trHeight w:val="300"/>
        </w:trPr>
        <w:tc>
          <w:tcPr>
            <w:tcW w:w="6804" w:type="dxa"/>
            <w:tcBorders>
              <w:left w:val="nil"/>
              <w:right w:val="nil"/>
            </w:tcBorders>
            <w:noWrap/>
          </w:tcPr>
          <w:p w:rsidRPr="00A325F7" w:rsidR="00511E87" w:rsidP="00B85722" w:rsidRDefault="00511E87" w14:paraId="05AE5D11" w14:textId="77777777">
            <w:pPr>
              <w:ind w:left="720" w:firstLine="28" w:firstLineChars="14"/>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Binnen en buiten de balanstelling vallende activa van verzekeringsdochterondernemingen</w:t>
            </w:r>
          </w:p>
        </w:tc>
        <w:tc>
          <w:tcPr>
            <w:tcW w:w="2745" w:type="dxa"/>
            <w:tcBorders>
              <w:left w:val="nil"/>
              <w:right w:val="nil"/>
            </w:tcBorders>
            <w:noWrap/>
          </w:tcPr>
          <w:p w:rsidRPr="00A325F7" w:rsidR="00511E87" w:rsidP="00B85722" w:rsidRDefault="00511E87" w14:paraId="0D34FA6B" w14:textId="77777777">
            <w:pPr>
              <w:jc w:val="right"/>
              <w:rPr>
                <w:rFonts w:ascii="Arial" w:hAnsi="Arial" w:eastAsia="Times New Roman" w:cs="Arial"/>
                <w:sz w:val="20"/>
                <w:szCs w:val="20"/>
                <w:lang w:eastAsia="en-GB"/>
              </w:rPr>
            </w:pPr>
          </w:p>
        </w:tc>
      </w:tr>
      <w:tr w:rsidRPr="00A325F7" w:rsidR="00511E87" w:rsidTr="00B85722" w14:paraId="641BB7ED" w14:textId="77777777">
        <w:trPr>
          <w:trHeight w:val="300"/>
        </w:trPr>
        <w:tc>
          <w:tcPr>
            <w:tcW w:w="6804" w:type="dxa"/>
            <w:tcBorders>
              <w:left w:val="nil"/>
              <w:right w:val="nil"/>
            </w:tcBorders>
            <w:noWrap/>
          </w:tcPr>
          <w:p w:rsidRPr="00A325F7" w:rsidR="00511E87" w:rsidP="00B85722" w:rsidRDefault="00511E87" w14:paraId="3B320BC5" w14:textId="77777777">
            <w:pPr>
              <w:ind w:left="720" w:firstLine="28" w:firstLineChars="14"/>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Potentiële toekomstige blootstelling van derivatencontracten van verzekeringsdochterondernemingen</w:t>
            </w:r>
          </w:p>
        </w:tc>
        <w:tc>
          <w:tcPr>
            <w:tcW w:w="2745" w:type="dxa"/>
            <w:tcBorders>
              <w:left w:val="nil"/>
              <w:right w:val="nil"/>
            </w:tcBorders>
            <w:noWrap/>
          </w:tcPr>
          <w:p w:rsidRPr="00A325F7" w:rsidR="00511E87" w:rsidP="00B85722" w:rsidRDefault="00511E87" w14:paraId="09FA5857" w14:textId="77777777">
            <w:pPr>
              <w:jc w:val="right"/>
              <w:rPr>
                <w:rFonts w:ascii="Arial" w:hAnsi="Arial" w:eastAsia="Times New Roman" w:cs="Arial"/>
                <w:sz w:val="20"/>
                <w:szCs w:val="20"/>
                <w:lang w:eastAsia="en-GB"/>
              </w:rPr>
            </w:pPr>
          </w:p>
        </w:tc>
      </w:tr>
      <w:tr w:rsidRPr="00A325F7" w:rsidR="00511E87" w:rsidTr="00B85722" w14:paraId="29D314B8" w14:textId="77777777">
        <w:trPr>
          <w:trHeight w:val="300"/>
        </w:trPr>
        <w:tc>
          <w:tcPr>
            <w:tcW w:w="6804" w:type="dxa"/>
            <w:tcBorders>
              <w:left w:val="nil"/>
              <w:right w:val="nil"/>
            </w:tcBorders>
            <w:noWrap/>
          </w:tcPr>
          <w:p w:rsidRPr="00A325F7" w:rsidR="00511E87" w:rsidP="00B85722" w:rsidRDefault="00511E87" w14:paraId="166BF364" w14:textId="77777777">
            <w:pPr>
              <w:ind w:left="720" w:firstLine="28" w:firstLineChars="14"/>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Beleggingswaarde in geconsolideerde entiteiten</w:t>
            </w:r>
          </w:p>
        </w:tc>
        <w:tc>
          <w:tcPr>
            <w:tcW w:w="2745" w:type="dxa"/>
            <w:tcBorders>
              <w:left w:val="nil"/>
              <w:right w:val="nil"/>
            </w:tcBorders>
            <w:noWrap/>
          </w:tcPr>
          <w:p w:rsidRPr="00A325F7" w:rsidR="00511E87" w:rsidP="00B85722" w:rsidRDefault="00511E87" w14:paraId="4664F335" w14:textId="77777777">
            <w:pPr>
              <w:jc w:val="right"/>
              <w:rPr>
                <w:rFonts w:ascii="Arial" w:hAnsi="Arial" w:eastAsia="Times New Roman" w:cs="Arial"/>
                <w:sz w:val="20"/>
                <w:szCs w:val="20"/>
                <w:lang w:eastAsia="en-GB"/>
              </w:rPr>
            </w:pPr>
          </w:p>
        </w:tc>
      </w:tr>
      <w:tr w:rsidRPr="00A325F7" w:rsidR="00511E87" w:rsidTr="00B85722" w14:paraId="0AA64D2B" w14:textId="77777777">
        <w:trPr>
          <w:trHeight w:val="300"/>
        </w:trPr>
        <w:tc>
          <w:tcPr>
            <w:tcW w:w="6804" w:type="dxa"/>
            <w:tcBorders>
              <w:left w:val="nil"/>
              <w:right w:val="nil"/>
            </w:tcBorders>
            <w:noWrap/>
          </w:tcPr>
          <w:p w:rsidRPr="00A325F7" w:rsidR="00511E87" w:rsidP="00B85722" w:rsidRDefault="00511E87" w14:paraId="21CE8FDE" w14:textId="77777777">
            <w:pPr>
              <w:ind w:left="171"/>
              <w:rPr>
                <w:rFonts w:ascii="Arial" w:hAnsi="Arial" w:eastAsia="Times New Roman" w:cs="Arial"/>
                <w:sz w:val="20"/>
                <w:szCs w:val="20"/>
              </w:rPr>
            </w:pPr>
            <w:r w:rsidRPr="00A325F7">
              <w:rPr>
                <w:rFonts w:ascii="Arial" w:hAnsi="Arial"/>
                <w:sz w:val="20"/>
              </w:rPr>
              <w:t>h. In post 2.f opgenomen intragroepsblootstellingen aan in post 2.g gerapporteerde verzekeringsdochterondernemingen</w:t>
            </w:r>
          </w:p>
        </w:tc>
        <w:tc>
          <w:tcPr>
            <w:tcW w:w="2745" w:type="dxa"/>
            <w:tcBorders>
              <w:left w:val="nil"/>
              <w:right w:val="nil"/>
            </w:tcBorders>
            <w:noWrap/>
          </w:tcPr>
          <w:p w:rsidRPr="00A325F7" w:rsidR="00511E87" w:rsidP="00B85722" w:rsidRDefault="00511E87" w14:paraId="0C71F3E5" w14:textId="77777777">
            <w:pPr>
              <w:jc w:val="right"/>
              <w:rPr>
                <w:rFonts w:ascii="Arial" w:hAnsi="Arial" w:eastAsia="Times New Roman" w:cs="Arial"/>
                <w:sz w:val="20"/>
                <w:szCs w:val="20"/>
                <w:lang w:eastAsia="en-GB"/>
              </w:rPr>
            </w:pPr>
          </w:p>
        </w:tc>
      </w:tr>
      <w:tr w:rsidRPr="00A325F7" w:rsidR="00511E87" w:rsidTr="00B85722" w14:paraId="1A7191FF" w14:textId="77777777">
        <w:trPr>
          <w:trHeight w:val="300"/>
        </w:trPr>
        <w:tc>
          <w:tcPr>
            <w:tcW w:w="6804" w:type="dxa"/>
            <w:tcBorders>
              <w:left w:val="nil"/>
              <w:bottom w:val="single" w:color="auto" w:sz="4" w:space="0"/>
              <w:right w:val="nil"/>
            </w:tcBorders>
            <w:noWrap/>
          </w:tcPr>
          <w:p w:rsidRPr="00A325F7" w:rsidR="00511E87" w:rsidP="00B85722" w:rsidRDefault="00511E87" w14:paraId="28EB2E35" w14:textId="77777777">
            <w:pPr>
              <w:ind w:left="171"/>
              <w:rPr>
                <w:rFonts w:ascii="Arial" w:hAnsi="Arial" w:eastAsia="Times New Roman" w:cs="Arial"/>
                <w:sz w:val="20"/>
                <w:szCs w:val="20"/>
              </w:rPr>
            </w:pPr>
            <w:r w:rsidRPr="00A325F7">
              <w:rPr>
                <w:rFonts w:ascii="Arial" w:hAnsi="Arial"/>
                <w:sz w:val="20"/>
              </w:rPr>
              <w:t>I. Indicator voor totaal blootstellingen, met inbegrip van verzekeringsdochterondernemingen (som van de posten 2.f, 2.g.1) tot en met 2.g.2) min 2.g.3) tot en met 2.h)</w:t>
            </w:r>
          </w:p>
        </w:tc>
        <w:tc>
          <w:tcPr>
            <w:tcW w:w="2745" w:type="dxa"/>
            <w:tcBorders>
              <w:left w:val="nil"/>
              <w:bottom w:val="single" w:color="auto" w:sz="4" w:space="0"/>
              <w:right w:val="nil"/>
            </w:tcBorders>
            <w:noWrap/>
          </w:tcPr>
          <w:p w:rsidRPr="00A325F7" w:rsidR="00511E87" w:rsidP="00B85722" w:rsidRDefault="00511E87" w14:paraId="61587AF2" w14:textId="77777777">
            <w:pPr>
              <w:jc w:val="right"/>
              <w:rPr>
                <w:rFonts w:ascii="Arial" w:hAnsi="Arial" w:eastAsia="Times New Roman" w:cs="Arial"/>
                <w:sz w:val="20"/>
                <w:szCs w:val="20"/>
                <w:lang w:eastAsia="en-GB"/>
              </w:rPr>
            </w:pPr>
          </w:p>
        </w:tc>
      </w:tr>
      <w:tr w:rsidRPr="00A325F7" w:rsidR="00511E87" w:rsidTr="00B85722" w14:paraId="20A7A9E6" w14:textId="77777777">
        <w:trPr>
          <w:trHeight w:val="403"/>
        </w:trPr>
        <w:tc>
          <w:tcPr>
            <w:tcW w:w="9549" w:type="dxa"/>
            <w:gridSpan w:val="2"/>
            <w:tcBorders>
              <w:left w:val="nil"/>
              <w:right w:val="nil"/>
            </w:tcBorders>
            <w:noWrap/>
            <w:hideMark/>
          </w:tcPr>
          <w:p w:rsidRPr="00A325F7" w:rsidR="00511E87" w:rsidP="00B85722" w:rsidRDefault="00511E87" w14:paraId="11FAB5B0"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A325F7" w:rsidR="00511E87" w:rsidP="00B85722" w:rsidRDefault="00511E87" w14:paraId="5A18D071" w14:textId="77777777">
            <w:pPr>
              <w:keepNext/>
              <w:keepLines/>
              <w:spacing w:before="47"/>
              <w:outlineLvl w:val="5"/>
              <w:rPr>
                <w:rFonts w:ascii="Arial" w:hAnsi="Arial" w:eastAsia="Times New Roman" w:cs="Arial"/>
                <w:i/>
                <w:iCs/>
                <w:caps/>
                <w:color w:val="172B39" w:themeColor="accent1" w:themeShade="80"/>
                <w:sz w:val="20"/>
                <w:szCs w:val="20"/>
              </w:rPr>
            </w:pPr>
            <w:r w:rsidRPr="00A325F7">
              <w:rPr>
                <w:rFonts w:ascii="Arial" w:hAnsi="Arial"/>
                <w:b/>
                <w:i/>
                <w:caps/>
                <w:color w:val="172B39" w:themeColor="accent1" w:themeShade="80"/>
                <w:sz w:val="24"/>
              </w:rPr>
              <w:t> </w:t>
            </w:r>
            <w:r w:rsidRPr="00A325F7">
              <w:rPr>
                <w:rFonts w:asciiTheme="majorHAnsi" w:hAnsiTheme="majorHAnsi"/>
                <w:b/>
                <w:i/>
                <w:caps/>
              </w:rPr>
              <w:t>Verwevenheidsindicatoren</w:t>
            </w:r>
          </w:p>
          <w:p w:rsidRPr="00A325F7" w:rsidR="00511E87" w:rsidP="00B85722" w:rsidRDefault="00511E87" w14:paraId="05015F0A" w14:textId="77777777">
            <w:pPr>
              <w:rPr>
                <w:rFonts w:ascii="Arial" w:hAnsi="Arial" w:eastAsia="Times New Roman" w:cs="Arial"/>
                <w:b/>
                <w:bCs/>
                <w:sz w:val="24"/>
                <w:szCs w:val="24"/>
              </w:rPr>
            </w:pPr>
            <w:r w:rsidRPr="00A325F7">
              <w:rPr>
                <w:rFonts w:ascii="Arial" w:hAnsi="Arial"/>
                <w:b/>
                <w:sz w:val="24"/>
              </w:rPr>
              <w:t> </w:t>
            </w:r>
          </w:p>
        </w:tc>
      </w:tr>
      <w:tr w:rsidRPr="00A325F7" w:rsidR="00511E87" w:rsidTr="00B85722" w14:paraId="4F369918" w14:textId="77777777">
        <w:trPr>
          <w:trHeight w:val="300"/>
        </w:trPr>
        <w:tc>
          <w:tcPr>
            <w:tcW w:w="6804" w:type="dxa"/>
            <w:tcBorders>
              <w:left w:val="nil"/>
              <w:bottom w:val="single" w:color="auto" w:sz="4" w:space="0"/>
              <w:right w:val="nil"/>
            </w:tcBorders>
            <w:noWrap/>
            <w:hideMark/>
          </w:tcPr>
          <w:p w:rsidRPr="00A325F7" w:rsidR="00511E87" w:rsidP="00B85722" w:rsidRDefault="00511E87" w14:paraId="5B2D96EC" w14:textId="77777777">
            <w:pPr>
              <w:rPr>
                <w:rFonts w:ascii="Arial" w:hAnsi="Arial" w:eastAsia="Times New Roman" w:cs="Arial"/>
                <w:b/>
                <w:bCs/>
                <w:sz w:val="20"/>
                <w:szCs w:val="20"/>
              </w:rPr>
            </w:pPr>
            <w:r w:rsidRPr="00A325F7">
              <w:rPr>
                <w:rFonts w:ascii="Arial" w:hAnsi="Arial"/>
                <w:b/>
                <w:sz w:val="20"/>
              </w:rPr>
              <w:t>Afdeling 3 – Activa binnen het financiële stelsel</w:t>
            </w:r>
          </w:p>
        </w:tc>
        <w:tc>
          <w:tcPr>
            <w:tcW w:w="2745" w:type="dxa"/>
            <w:tcBorders>
              <w:left w:val="nil"/>
              <w:bottom w:val="single" w:color="auto" w:sz="4" w:space="0"/>
              <w:right w:val="nil"/>
            </w:tcBorders>
            <w:hideMark/>
          </w:tcPr>
          <w:p w:rsidRPr="00A325F7" w:rsidR="00511E87" w:rsidP="00B85722" w:rsidRDefault="00511E87" w14:paraId="7F03C8AD"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1CC6A1B2" w14:textId="77777777">
        <w:trPr>
          <w:trHeight w:val="300"/>
        </w:trPr>
        <w:tc>
          <w:tcPr>
            <w:tcW w:w="6804" w:type="dxa"/>
            <w:tcBorders>
              <w:left w:val="nil"/>
              <w:right w:val="nil"/>
            </w:tcBorders>
            <w:noWrap/>
            <w:hideMark/>
          </w:tcPr>
          <w:p w:rsidRPr="00A325F7" w:rsidR="00511E87" w:rsidP="00B85722" w:rsidRDefault="00511E87" w14:paraId="7C9C1E7C" w14:textId="77777777">
            <w:pPr>
              <w:ind w:firstLine="200" w:firstLineChars="100"/>
              <w:rPr>
                <w:rFonts w:ascii="Arial" w:hAnsi="Arial" w:eastAsia="Times New Roman" w:cs="Arial"/>
                <w:sz w:val="20"/>
                <w:szCs w:val="20"/>
              </w:rPr>
            </w:pPr>
            <w:r w:rsidRPr="00A325F7">
              <w:rPr>
                <w:rFonts w:ascii="Arial" w:hAnsi="Arial"/>
                <w:sz w:val="20"/>
              </w:rPr>
              <w:t>a. Bij andere financiële instellingen gedeponeerde of aan andere financiële instellingen geleende middelen</w:t>
            </w:r>
          </w:p>
        </w:tc>
        <w:tc>
          <w:tcPr>
            <w:tcW w:w="2745" w:type="dxa"/>
            <w:tcBorders>
              <w:left w:val="nil"/>
              <w:right w:val="nil"/>
            </w:tcBorders>
            <w:noWrap/>
            <w:hideMark/>
          </w:tcPr>
          <w:p w:rsidRPr="00A325F7" w:rsidR="00511E87" w:rsidP="00B85722" w:rsidRDefault="00511E87" w14:paraId="0C4A630D"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BC9F1C3" w14:textId="77777777">
        <w:trPr>
          <w:trHeight w:val="300"/>
        </w:trPr>
        <w:tc>
          <w:tcPr>
            <w:tcW w:w="6804" w:type="dxa"/>
            <w:tcBorders>
              <w:left w:val="nil"/>
              <w:bottom w:val="single" w:color="auto" w:sz="4" w:space="0"/>
              <w:right w:val="nil"/>
            </w:tcBorders>
            <w:noWrap/>
            <w:hideMark/>
          </w:tcPr>
          <w:p w:rsidRPr="00A325F7" w:rsidR="00511E87" w:rsidP="00B85722" w:rsidRDefault="00511E87" w14:paraId="0B35F771"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 xml:space="preserve">Depositocertificaten </w:t>
            </w:r>
          </w:p>
        </w:tc>
        <w:tc>
          <w:tcPr>
            <w:tcW w:w="2745" w:type="dxa"/>
            <w:tcBorders>
              <w:left w:val="nil"/>
              <w:right w:val="nil"/>
            </w:tcBorders>
            <w:noWrap/>
            <w:hideMark/>
          </w:tcPr>
          <w:p w:rsidRPr="00A325F7" w:rsidR="00511E87" w:rsidP="00B85722" w:rsidRDefault="00511E87" w14:paraId="3062725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04E9F9C" w14:textId="77777777">
        <w:trPr>
          <w:gridAfter w:val="1"/>
          <w:wAfter w:w="2745" w:type="dxa"/>
          <w:trHeight w:val="300"/>
        </w:trPr>
        <w:tc>
          <w:tcPr>
            <w:tcW w:w="6804" w:type="dxa"/>
            <w:tcBorders>
              <w:left w:val="nil"/>
              <w:right w:val="nil"/>
            </w:tcBorders>
            <w:noWrap/>
            <w:hideMark/>
          </w:tcPr>
          <w:p w:rsidRPr="00A325F7" w:rsidR="00511E87" w:rsidP="00B85722" w:rsidRDefault="00511E87" w14:paraId="1D4CA47A" w14:textId="77777777">
            <w:pPr>
              <w:ind w:left="171" w:firstLine="28" w:firstLineChars="14"/>
              <w:rPr>
                <w:rFonts w:ascii="Arial" w:hAnsi="Arial" w:eastAsia="Times New Roman" w:cs="Arial"/>
                <w:sz w:val="20"/>
                <w:szCs w:val="20"/>
              </w:rPr>
            </w:pPr>
            <w:r w:rsidRPr="00A325F7">
              <w:rPr>
                <w:rFonts w:ascii="Arial" w:hAnsi="Arial"/>
                <w:sz w:val="20"/>
              </w:rPr>
              <w:t>b. Onbenut deel van tot andere financiële instellingen uitgebreide gecommitteerde lijnen</w:t>
            </w:r>
          </w:p>
        </w:tc>
      </w:tr>
      <w:tr w:rsidRPr="00A325F7" w:rsidR="00511E87" w:rsidTr="00B85722" w14:paraId="2517855F" w14:textId="77777777">
        <w:trPr>
          <w:trHeight w:val="300"/>
        </w:trPr>
        <w:tc>
          <w:tcPr>
            <w:tcW w:w="6804" w:type="dxa"/>
            <w:tcBorders>
              <w:left w:val="nil"/>
              <w:right w:val="nil"/>
            </w:tcBorders>
            <w:noWrap/>
            <w:hideMark/>
          </w:tcPr>
          <w:p w:rsidRPr="00A325F7" w:rsidR="00511E87" w:rsidP="00B85722" w:rsidRDefault="00511E87" w14:paraId="034DDB7F" w14:textId="77777777">
            <w:pPr>
              <w:ind w:firstLine="200" w:firstLineChars="100"/>
              <w:rPr>
                <w:rFonts w:ascii="Arial" w:hAnsi="Arial" w:eastAsia="Times New Roman" w:cs="Arial"/>
                <w:sz w:val="20"/>
                <w:szCs w:val="20"/>
              </w:rPr>
            </w:pPr>
            <w:r w:rsidRPr="00A325F7">
              <w:rPr>
                <w:rFonts w:ascii="Arial" w:hAnsi="Arial"/>
                <w:sz w:val="20"/>
              </w:rPr>
              <w:t>c. Aangehouden effecten die door andere financiële instellingen zijn uitgegeven</w:t>
            </w:r>
          </w:p>
        </w:tc>
        <w:tc>
          <w:tcPr>
            <w:tcW w:w="2745" w:type="dxa"/>
            <w:tcBorders>
              <w:left w:val="nil"/>
              <w:right w:val="nil"/>
            </w:tcBorders>
            <w:noWrap/>
            <w:hideMark/>
          </w:tcPr>
          <w:p w:rsidRPr="00A325F7" w:rsidR="00511E87" w:rsidP="00B85722" w:rsidRDefault="00511E87" w14:paraId="5CEA56F9" w14:textId="77777777">
            <w:pPr>
              <w:ind w:firstLine="200" w:firstLineChars="100"/>
              <w:rPr>
                <w:rFonts w:ascii="Arial" w:hAnsi="Arial" w:eastAsia="Times New Roman" w:cs="Arial"/>
                <w:sz w:val="20"/>
                <w:szCs w:val="20"/>
              </w:rPr>
            </w:pPr>
            <w:r w:rsidRPr="00A325F7">
              <w:rPr>
                <w:rFonts w:ascii="Arial" w:hAnsi="Arial"/>
                <w:sz w:val="20"/>
              </w:rPr>
              <w:t> </w:t>
            </w:r>
          </w:p>
        </w:tc>
      </w:tr>
      <w:tr w:rsidRPr="00A325F7" w:rsidR="00511E87" w:rsidTr="00B85722" w14:paraId="1DDC3032" w14:textId="77777777">
        <w:trPr>
          <w:trHeight w:val="300"/>
        </w:trPr>
        <w:tc>
          <w:tcPr>
            <w:tcW w:w="6804" w:type="dxa"/>
            <w:tcBorders>
              <w:left w:val="nil"/>
              <w:right w:val="nil"/>
            </w:tcBorders>
            <w:noWrap/>
            <w:hideMark/>
          </w:tcPr>
          <w:p w:rsidRPr="00A325F7" w:rsidR="00511E87" w:rsidP="00B85722" w:rsidRDefault="00511E87" w14:paraId="1264621C"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Gedekte schuldtitels</w:t>
            </w:r>
          </w:p>
        </w:tc>
        <w:tc>
          <w:tcPr>
            <w:tcW w:w="2745" w:type="dxa"/>
            <w:tcBorders>
              <w:left w:val="nil"/>
              <w:right w:val="nil"/>
            </w:tcBorders>
            <w:noWrap/>
            <w:hideMark/>
          </w:tcPr>
          <w:p w:rsidRPr="00A325F7" w:rsidR="00511E87" w:rsidP="00B85722" w:rsidRDefault="00511E87" w14:paraId="3014826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D6B6FDF" w14:textId="77777777">
        <w:trPr>
          <w:trHeight w:val="300"/>
        </w:trPr>
        <w:tc>
          <w:tcPr>
            <w:tcW w:w="6804" w:type="dxa"/>
            <w:tcBorders>
              <w:left w:val="nil"/>
              <w:right w:val="nil"/>
            </w:tcBorders>
            <w:noWrap/>
            <w:hideMark/>
          </w:tcPr>
          <w:p w:rsidRPr="00A325F7" w:rsidR="00511E87" w:rsidP="00B85722" w:rsidRDefault="00511E87" w14:paraId="2331A22B"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Bevoorrechte ongedekte schuldtitels</w:t>
            </w:r>
          </w:p>
        </w:tc>
        <w:tc>
          <w:tcPr>
            <w:tcW w:w="2745" w:type="dxa"/>
            <w:tcBorders>
              <w:left w:val="nil"/>
              <w:right w:val="nil"/>
            </w:tcBorders>
            <w:noWrap/>
            <w:hideMark/>
          </w:tcPr>
          <w:p w:rsidRPr="00A325F7" w:rsidR="00511E87" w:rsidP="00B85722" w:rsidRDefault="00511E87" w14:paraId="4227015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149BE0C" w14:textId="77777777">
        <w:trPr>
          <w:trHeight w:val="300"/>
        </w:trPr>
        <w:tc>
          <w:tcPr>
            <w:tcW w:w="6804" w:type="dxa"/>
            <w:tcBorders>
              <w:left w:val="nil"/>
              <w:right w:val="nil"/>
            </w:tcBorders>
            <w:noWrap/>
            <w:hideMark/>
          </w:tcPr>
          <w:p w:rsidRPr="00A325F7" w:rsidR="00511E87" w:rsidP="00B85722" w:rsidRDefault="00511E87" w14:paraId="4DAFB539"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Achtergestelde schuldtitels</w:t>
            </w:r>
          </w:p>
        </w:tc>
        <w:tc>
          <w:tcPr>
            <w:tcW w:w="2745" w:type="dxa"/>
            <w:tcBorders>
              <w:left w:val="nil"/>
              <w:right w:val="nil"/>
            </w:tcBorders>
            <w:noWrap/>
            <w:hideMark/>
          </w:tcPr>
          <w:p w:rsidRPr="00A325F7" w:rsidR="00511E87" w:rsidP="00B85722" w:rsidRDefault="00511E87" w14:paraId="68C8253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FD2EC85" w14:textId="77777777">
        <w:trPr>
          <w:trHeight w:val="300"/>
        </w:trPr>
        <w:tc>
          <w:tcPr>
            <w:tcW w:w="6804" w:type="dxa"/>
            <w:tcBorders>
              <w:left w:val="nil"/>
              <w:right w:val="nil"/>
            </w:tcBorders>
            <w:noWrap/>
            <w:hideMark/>
          </w:tcPr>
          <w:p w:rsidRPr="00A325F7" w:rsidR="00511E87" w:rsidP="00B85722" w:rsidRDefault="00511E87" w14:paraId="650CBC3B" w14:textId="77777777">
            <w:pPr>
              <w:ind w:firstLine="400" w:firstLineChars="200"/>
              <w:rPr>
                <w:rFonts w:ascii="Arial" w:hAnsi="Arial" w:eastAsia="Times New Roman" w:cs="Arial"/>
                <w:sz w:val="20"/>
                <w:szCs w:val="20"/>
              </w:rPr>
            </w:pPr>
            <w:r w:rsidRPr="00A325F7">
              <w:rPr>
                <w:rFonts w:ascii="Arial" w:hAnsi="Arial"/>
                <w:sz w:val="20"/>
                <w:lang w:eastAsia="en-GB"/>
              </w:rPr>
              <w:t xml:space="preserve">(4) </w:t>
            </w:r>
            <w:r w:rsidRPr="00A325F7">
              <w:rPr>
                <w:rFonts w:ascii="Arial" w:hAnsi="Arial"/>
                <w:sz w:val="20"/>
              </w:rPr>
              <w:t xml:space="preserve">Handelspapier </w:t>
            </w:r>
          </w:p>
        </w:tc>
        <w:tc>
          <w:tcPr>
            <w:tcW w:w="2745" w:type="dxa"/>
            <w:tcBorders>
              <w:left w:val="nil"/>
              <w:right w:val="nil"/>
            </w:tcBorders>
            <w:noWrap/>
            <w:hideMark/>
          </w:tcPr>
          <w:p w:rsidRPr="00A325F7" w:rsidR="00511E87" w:rsidP="00B85722" w:rsidRDefault="00511E87" w14:paraId="349E1686"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BB2C233" w14:textId="77777777">
        <w:trPr>
          <w:trHeight w:val="300"/>
        </w:trPr>
        <w:tc>
          <w:tcPr>
            <w:tcW w:w="6804" w:type="dxa"/>
            <w:tcBorders>
              <w:left w:val="nil"/>
              <w:bottom w:val="single" w:color="auto" w:sz="4" w:space="0"/>
              <w:right w:val="nil"/>
            </w:tcBorders>
            <w:noWrap/>
            <w:hideMark/>
          </w:tcPr>
          <w:p w:rsidRPr="00A325F7" w:rsidR="00511E87" w:rsidP="00B85722" w:rsidRDefault="00511E87" w14:paraId="49C87BFD" w14:textId="77777777">
            <w:pPr>
              <w:ind w:firstLine="400" w:firstLineChars="200"/>
              <w:rPr>
                <w:rFonts w:ascii="Arial" w:hAnsi="Arial" w:eastAsia="Times New Roman" w:cs="Arial"/>
                <w:sz w:val="20"/>
                <w:szCs w:val="20"/>
              </w:rPr>
            </w:pPr>
            <w:r w:rsidRPr="00A325F7">
              <w:rPr>
                <w:rFonts w:ascii="Arial" w:hAnsi="Arial"/>
                <w:sz w:val="20"/>
                <w:lang w:eastAsia="en-GB"/>
              </w:rPr>
              <w:t xml:space="preserve">(5) </w:t>
            </w:r>
            <w:r w:rsidRPr="00A325F7">
              <w:rPr>
                <w:rFonts w:ascii="Arial" w:hAnsi="Arial"/>
                <w:sz w:val="20"/>
              </w:rPr>
              <w:t>Aandelen</w:t>
            </w:r>
          </w:p>
        </w:tc>
        <w:tc>
          <w:tcPr>
            <w:tcW w:w="2745" w:type="dxa"/>
            <w:tcBorders>
              <w:left w:val="nil"/>
              <w:right w:val="nil"/>
            </w:tcBorders>
            <w:noWrap/>
            <w:hideMark/>
          </w:tcPr>
          <w:p w:rsidRPr="00A325F7" w:rsidR="00511E87" w:rsidP="00B85722" w:rsidRDefault="00511E87" w14:paraId="2B49724D"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14B1313D" w14:textId="77777777">
        <w:trPr>
          <w:trHeight w:val="300"/>
        </w:trPr>
        <w:tc>
          <w:tcPr>
            <w:tcW w:w="6804" w:type="dxa"/>
            <w:tcBorders>
              <w:left w:val="nil"/>
              <w:bottom w:val="single" w:color="auto" w:sz="4" w:space="0"/>
              <w:right w:val="nil"/>
            </w:tcBorders>
            <w:noWrap/>
          </w:tcPr>
          <w:p w:rsidRPr="00A325F7" w:rsidR="00511E87" w:rsidP="00B85722" w:rsidRDefault="00511E87" w14:paraId="53D0EA47" w14:textId="77777777">
            <w:pPr>
              <w:ind w:left="313" w:firstLine="86" w:firstLineChars="43"/>
              <w:rPr>
                <w:rFonts w:ascii="Arial" w:hAnsi="Arial" w:eastAsia="Times New Roman" w:cs="Arial"/>
                <w:sz w:val="20"/>
                <w:szCs w:val="20"/>
              </w:rPr>
            </w:pPr>
            <w:r w:rsidRPr="00A325F7">
              <w:rPr>
                <w:rFonts w:ascii="Arial" w:hAnsi="Arial"/>
                <w:sz w:val="20"/>
                <w:lang w:eastAsia="en-GB"/>
              </w:rPr>
              <w:t xml:space="preserve">(6) </w:t>
            </w:r>
            <w:r w:rsidRPr="00A325F7">
              <w:rPr>
                <w:rFonts w:ascii="Arial" w:hAnsi="Arial"/>
                <w:sz w:val="20"/>
              </w:rPr>
              <w:t>Compensatie van shortposities met betrekking tot de specifieke aangehouden aandelen als opgenomen in post 3.c.5)</w:t>
            </w:r>
          </w:p>
        </w:tc>
        <w:tc>
          <w:tcPr>
            <w:tcW w:w="2745" w:type="dxa"/>
            <w:tcBorders>
              <w:left w:val="nil"/>
              <w:right w:val="nil"/>
            </w:tcBorders>
            <w:noWrap/>
          </w:tcPr>
          <w:p w:rsidRPr="00A325F7" w:rsidR="00511E87" w:rsidP="00B85722" w:rsidRDefault="00511E87" w14:paraId="10B89823" w14:textId="77777777">
            <w:pPr>
              <w:jc w:val="right"/>
              <w:rPr>
                <w:rFonts w:ascii="Arial" w:hAnsi="Arial" w:eastAsia="Times New Roman" w:cs="Arial"/>
                <w:sz w:val="20"/>
                <w:szCs w:val="20"/>
                <w:lang w:eastAsia="en-GB"/>
              </w:rPr>
            </w:pPr>
          </w:p>
        </w:tc>
      </w:tr>
      <w:tr w:rsidRPr="00A325F7" w:rsidR="00511E87" w:rsidTr="00B85722" w14:paraId="6F01C9B1" w14:textId="77777777">
        <w:trPr>
          <w:trHeight w:val="300"/>
        </w:trPr>
        <w:tc>
          <w:tcPr>
            <w:tcW w:w="6804" w:type="dxa"/>
            <w:tcBorders>
              <w:left w:val="nil"/>
              <w:bottom w:val="single" w:color="auto" w:sz="4" w:space="0"/>
              <w:right w:val="nil"/>
            </w:tcBorders>
            <w:noWrap/>
          </w:tcPr>
          <w:p w:rsidRPr="00A325F7" w:rsidR="00511E87" w:rsidP="00B85722" w:rsidRDefault="00511E87" w14:paraId="6CBA9F50" w14:textId="77777777">
            <w:pPr>
              <w:ind w:firstLine="171"/>
              <w:rPr>
                <w:rFonts w:ascii="Arial" w:hAnsi="Arial" w:eastAsia="Times New Roman" w:cs="Arial"/>
                <w:sz w:val="20"/>
                <w:szCs w:val="20"/>
              </w:rPr>
            </w:pPr>
            <w:r w:rsidRPr="00A325F7">
              <w:rPr>
                <w:rFonts w:ascii="Arial" w:hAnsi="Arial"/>
                <w:sz w:val="20"/>
              </w:rPr>
              <w:t>d. Netto positieve actuele blootstelling van SFT’s met andere financiële instellingen</w:t>
            </w:r>
          </w:p>
        </w:tc>
        <w:tc>
          <w:tcPr>
            <w:tcW w:w="2745" w:type="dxa"/>
            <w:tcBorders>
              <w:left w:val="nil"/>
              <w:right w:val="nil"/>
            </w:tcBorders>
            <w:noWrap/>
          </w:tcPr>
          <w:p w:rsidRPr="00A325F7" w:rsidR="00511E87" w:rsidP="00B85722" w:rsidRDefault="00511E87" w14:paraId="4E7EBC11" w14:textId="77777777">
            <w:pPr>
              <w:jc w:val="right"/>
              <w:rPr>
                <w:rFonts w:ascii="Arial" w:hAnsi="Arial" w:eastAsia="Times New Roman" w:cs="Arial"/>
                <w:sz w:val="20"/>
                <w:szCs w:val="20"/>
                <w:lang w:eastAsia="en-GB"/>
              </w:rPr>
            </w:pPr>
          </w:p>
        </w:tc>
      </w:tr>
      <w:tr w:rsidRPr="00A325F7" w:rsidR="00511E87" w:rsidTr="00B85722" w14:paraId="4FCD957E" w14:textId="77777777">
        <w:trPr>
          <w:trHeight w:val="300"/>
        </w:trPr>
        <w:tc>
          <w:tcPr>
            <w:tcW w:w="6804" w:type="dxa"/>
            <w:tcBorders>
              <w:left w:val="nil"/>
              <w:bottom w:val="single" w:color="auto" w:sz="4" w:space="0"/>
              <w:right w:val="nil"/>
            </w:tcBorders>
            <w:noWrap/>
          </w:tcPr>
          <w:p w:rsidRPr="00A325F7" w:rsidR="00511E87" w:rsidP="00B85722" w:rsidRDefault="00511E87" w14:paraId="32A36C42" w14:textId="77777777">
            <w:pPr>
              <w:ind w:left="171"/>
              <w:rPr>
                <w:rFonts w:ascii="Arial" w:hAnsi="Arial" w:eastAsia="Times New Roman" w:cs="Arial"/>
                <w:sz w:val="20"/>
                <w:szCs w:val="20"/>
              </w:rPr>
            </w:pPr>
            <w:r w:rsidRPr="00A325F7">
              <w:rPr>
                <w:rFonts w:ascii="Arial" w:hAnsi="Arial"/>
                <w:sz w:val="20"/>
              </w:rPr>
              <w:t>e. OTC-derivaten met andere financiële instellingen die een netto positieve reële waarde hebben</w:t>
            </w:r>
          </w:p>
        </w:tc>
        <w:tc>
          <w:tcPr>
            <w:tcW w:w="2745" w:type="dxa"/>
            <w:tcBorders>
              <w:left w:val="nil"/>
              <w:right w:val="nil"/>
            </w:tcBorders>
            <w:noWrap/>
          </w:tcPr>
          <w:p w:rsidRPr="00A325F7" w:rsidR="00511E87" w:rsidP="00B85722" w:rsidRDefault="00511E87" w14:paraId="427CFB9D" w14:textId="77777777">
            <w:pPr>
              <w:jc w:val="right"/>
              <w:rPr>
                <w:rFonts w:ascii="Arial" w:hAnsi="Arial" w:eastAsia="Times New Roman" w:cs="Arial"/>
                <w:sz w:val="20"/>
                <w:szCs w:val="20"/>
                <w:lang w:eastAsia="en-GB"/>
              </w:rPr>
            </w:pPr>
          </w:p>
        </w:tc>
      </w:tr>
      <w:tr w:rsidRPr="00A325F7" w:rsidR="00511E87" w:rsidTr="00B85722" w14:paraId="0A938A30" w14:textId="77777777">
        <w:trPr>
          <w:trHeight w:val="300"/>
        </w:trPr>
        <w:tc>
          <w:tcPr>
            <w:tcW w:w="6804" w:type="dxa"/>
            <w:tcBorders>
              <w:left w:val="nil"/>
              <w:bottom w:val="single" w:color="auto" w:sz="4" w:space="0"/>
              <w:right w:val="nil"/>
            </w:tcBorders>
            <w:noWrap/>
          </w:tcPr>
          <w:p w:rsidRPr="00A325F7" w:rsidR="00511E87" w:rsidP="00B85722" w:rsidRDefault="00511E87" w14:paraId="1CECEC5A" w14:textId="77777777">
            <w:pPr>
              <w:ind w:left="313" w:firstLine="86" w:firstLineChars="43"/>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Netto positieve reële waarde</w:t>
            </w:r>
          </w:p>
        </w:tc>
        <w:tc>
          <w:tcPr>
            <w:tcW w:w="2745" w:type="dxa"/>
            <w:tcBorders>
              <w:left w:val="nil"/>
              <w:right w:val="nil"/>
            </w:tcBorders>
            <w:noWrap/>
          </w:tcPr>
          <w:p w:rsidRPr="00A325F7" w:rsidR="00511E87" w:rsidP="00B85722" w:rsidRDefault="00511E87" w14:paraId="4833E98C" w14:textId="77777777">
            <w:pPr>
              <w:jc w:val="right"/>
              <w:rPr>
                <w:rFonts w:ascii="Arial" w:hAnsi="Arial" w:eastAsia="Times New Roman" w:cs="Arial"/>
                <w:sz w:val="20"/>
                <w:szCs w:val="20"/>
                <w:lang w:eastAsia="en-GB"/>
              </w:rPr>
            </w:pPr>
          </w:p>
        </w:tc>
      </w:tr>
      <w:tr w:rsidRPr="00A325F7" w:rsidR="00511E87" w:rsidTr="00B85722" w14:paraId="4A4060B4" w14:textId="77777777">
        <w:trPr>
          <w:trHeight w:val="300"/>
        </w:trPr>
        <w:tc>
          <w:tcPr>
            <w:tcW w:w="6804" w:type="dxa"/>
            <w:tcBorders>
              <w:left w:val="nil"/>
              <w:bottom w:val="single" w:color="auto" w:sz="4" w:space="0"/>
              <w:right w:val="nil"/>
            </w:tcBorders>
            <w:noWrap/>
          </w:tcPr>
          <w:p w:rsidRPr="00A325F7" w:rsidR="00511E87" w:rsidP="00B85722" w:rsidRDefault="00511E87" w14:paraId="5928FD3F" w14:textId="77777777">
            <w:pPr>
              <w:ind w:left="313" w:firstLine="86" w:firstLineChars="43"/>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Potentiële toekomstige blootstelling</w:t>
            </w:r>
          </w:p>
        </w:tc>
        <w:tc>
          <w:tcPr>
            <w:tcW w:w="2745" w:type="dxa"/>
            <w:tcBorders>
              <w:left w:val="nil"/>
              <w:right w:val="nil"/>
            </w:tcBorders>
            <w:noWrap/>
          </w:tcPr>
          <w:p w:rsidRPr="00A325F7" w:rsidR="00511E87" w:rsidP="00B85722" w:rsidRDefault="00511E87" w14:paraId="1488415E" w14:textId="77777777">
            <w:pPr>
              <w:jc w:val="right"/>
              <w:rPr>
                <w:rFonts w:ascii="Arial" w:hAnsi="Arial" w:eastAsia="Times New Roman" w:cs="Arial"/>
                <w:sz w:val="20"/>
                <w:szCs w:val="20"/>
                <w:lang w:eastAsia="en-GB"/>
              </w:rPr>
            </w:pPr>
          </w:p>
        </w:tc>
      </w:tr>
      <w:tr w:rsidRPr="00A325F7" w:rsidR="00511E87" w:rsidTr="00B85722" w14:paraId="57CE9323" w14:textId="77777777">
        <w:trPr>
          <w:gridAfter w:val="1"/>
          <w:wAfter w:w="2745" w:type="dxa"/>
          <w:trHeight w:val="450"/>
        </w:trPr>
        <w:tc>
          <w:tcPr>
            <w:tcW w:w="6804" w:type="dxa"/>
            <w:vMerge w:val="restart"/>
            <w:tcBorders>
              <w:left w:val="nil"/>
              <w:right w:val="nil"/>
            </w:tcBorders>
            <w:hideMark/>
          </w:tcPr>
          <w:p w:rsidRPr="00A325F7" w:rsidR="00511E87" w:rsidP="00B85722" w:rsidRDefault="00511E87" w14:paraId="22CAC404" w14:textId="77777777">
            <w:pPr>
              <w:ind w:left="171" w:firstLine="28" w:firstLineChars="14"/>
              <w:rPr>
                <w:rFonts w:ascii="Arial" w:hAnsi="Arial" w:eastAsia="Times New Roman" w:cs="Arial"/>
                <w:sz w:val="20"/>
                <w:szCs w:val="20"/>
              </w:rPr>
            </w:pPr>
            <w:r w:rsidRPr="00A325F7">
              <w:rPr>
                <w:rFonts w:ascii="Arial" w:hAnsi="Arial"/>
                <w:sz w:val="20"/>
              </w:rPr>
              <w:t>f. Indicator voor activa binnen het financiële stelsel, met inbegrip van verzekeringsdochterondernemingen (som van de posten 3.a, 3.b tot en met 3.c.5), 3.d, 3.e.1), en 3.e.2), min 3.c.6))</w:t>
            </w:r>
          </w:p>
        </w:tc>
      </w:tr>
      <w:tr w:rsidRPr="00A325F7" w:rsidR="00511E87" w:rsidTr="00B85722" w14:paraId="4090012C" w14:textId="77777777">
        <w:trPr>
          <w:gridAfter w:val="1"/>
          <w:wAfter w:w="2745" w:type="dxa"/>
          <w:trHeight w:val="450"/>
        </w:trPr>
        <w:tc>
          <w:tcPr>
            <w:tcW w:w="6804" w:type="dxa"/>
            <w:vMerge/>
            <w:tcBorders>
              <w:left w:val="nil"/>
              <w:right w:val="nil"/>
            </w:tcBorders>
            <w:hideMark/>
          </w:tcPr>
          <w:p w:rsidRPr="00A325F7" w:rsidR="00511E87" w:rsidP="00B85722" w:rsidRDefault="00511E87" w14:paraId="2AEF7CB5" w14:textId="77777777">
            <w:pPr>
              <w:rPr>
                <w:rFonts w:ascii="Arial" w:hAnsi="Arial" w:eastAsia="Times New Roman" w:cs="Arial"/>
                <w:sz w:val="20"/>
                <w:szCs w:val="20"/>
                <w:lang w:eastAsia="en-GB"/>
              </w:rPr>
            </w:pPr>
          </w:p>
        </w:tc>
      </w:tr>
      <w:tr w:rsidRPr="00A325F7" w:rsidR="00511E87" w:rsidTr="00B85722" w14:paraId="170D9BC2" w14:textId="77777777">
        <w:trPr>
          <w:trHeight w:val="300"/>
        </w:trPr>
        <w:tc>
          <w:tcPr>
            <w:tcW w:w="6804" w:type="dxa"/>
            <w:tcBorders>
              <w:left w:val="nil"/>
              <w:bottom w:val="nil"/>
              <w:right w:val="nil"/>
            </w:tcBorders>
            <w:noWrap/>
          </w:tcPr>
          <w:p w:rsidRPr="00A325F7" w:rsidR="00511E87" w:rsidP="00B85722" w:rsidRDefault="00511E87" w14:paraId="6F89D18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1537C1AC" w14:textId="77777777">
            <w:pPr>
              <w:jc w:val="center"/>
              <w:rPr>
                <w:rFonts w:ascii="Arial" w:hAnsi="Arial" w:eastAsia="Times New Roman" w:cs="Arial"/>
                <w:b/>
                <w:bCs/>
                <w:sz w:val="20"/>
                <w:szCs w:val="20"/>
                <w:lang w:eastAsia="en-GB"/>
              </w:rPr>
            </w:pPr>
          </w:p>
        </w:tc>
      </w:tr>
      <w:tr w:rsidRPr="00A325F7" w:rsidR="00511E87" w:rsidTr="00B85722" w14:paraId="2F376B62"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001D24C4" w14:textId="77777777">
            <w:pPr>
              <w:rPr>
                <w:rFonts w:ascii="Arial" w:hAnsi="Arial" w:eastAsia="Times New Roman" w:cs="Arial"/>
                <w:b/>
                <w:bCs/>
                <w:sz w:val="20"/>
                <w:szCs w:val="20"/>
              </w:rPr>
            </w:pPr>
            <w:r w:rsidRPr="00A325F7">
              <w:rPr>
                <w:rFonts w:ascii="Arial" w:hAnsi="Arial"/>
                <w:b/>
                <w:sz w:val="20"/>
              </w:rPr>
              <w:t>Afdeling 4 – Passiva binnen het financiële stelsel</w:t>
            </w:r>
          </w:p>
        </w:tc>
        <w:tc>
          <w:tcPr>
            <w:tcW w:w="2745" w:type="dxa"/>
            <w:tcBorders>
              <w:top w:val="nil"/>
              <w:left w:val="nil"/>
              <w:right w:val="nil"/>
            </w:tcBorders>
            <w:hideMark/>
          </w:tcPr>
          <w:p w:rsidRPr="00A325F7" w:rsidR="00511E87" w:rsidP="00B85722" w:rsidRDefault="00511E87" w14:paraId="79182B06"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5CB9FFED" w14:textId="77777777">
        <w:trPr>
          <w:gridAfter w:val="1"/>
          <w:wAfter w:w="2745" w:type="dxa"/>
          <w:trHeight w:val="300"/>
        </w:trPr>
        <w:tc>
          <w:tcPr>
            <w:tcW w:w="6804" w:type="dxa"/>
            <w:tcBorders>
              <w:left w:val="nil"/>
              <w:right w:val="nil"/>
            </w:tcBorders>
            <w:noWrap/>
            <w:hideMark/>
          </w:tcPr>
          <w:p w:rsidRPr="00A325F7" w:rsidR="00511E87" w:rsidP="00B85722" w:rsidRDefault="00511E87" w14:paraId="7C1F6D88" w14:textId="77777777">
            <w:pPr>
              <w:ind w:left="171" w:firstLine="28" w:firstLineChars="14"/>
              <w:rPr>
                <w:rFonts w:ascii="Arial" w:hAnsi="Arial" w:eastAsia="Times New Roman" w:cs="Arial"/>
                <w:sz w:val="20"/>
                <w:szCs w:val="20"/>
              </w:rPr>
            </w:pPr>
            <w:r w:rsidRPr="00A325F7">
              <w:rPr>
                <w:rFonts w:ascii="Arial" w:hAnsi="Arial"/>
                <w:sz w:val="20"/>
              </w:rPr>
              <w:t>a. Door andere financiële instellingen gedeponeerde of van andere financiële instellingen geleende middelen</w:t>
            </w:r>
          </w:p>
        </w:tc>
      </w:tr>
      <w:tr w:rsidRPr="00A325F7" w:rsidR="00511E87" w:rsidTr="00B85722" w14:paraId="16E412D4" w14:textId="77777777">
        <w:trPr>
          <w:trHeight w:val="300"/>
        </w:trPr>
        <w:tc>
          <w:tcPr>
            <w:tcW w:w="6804" w:type="dxa"/>
            <w:tcBorders>
              <w:left w:val="nil"/>
              <w:right w:val="nil"/>
            </w:tcBorders>
            <w:noWrap/>
            <w:hideMark/>
          </w:tcPr>
          <w:p w:rsidRPr="00A325F7" w:rsidR="00511E87" w:rsidP="00B85722" w:rsidRDefault="00511E87" w14:paraId="669C1B4F"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Aan deposito-instellingen verschuldigde deposito’s</w:t>
            </w:r>
          </w:p>
        </w:tc>
        <w:tc>
          <w:tcPr>
            <w:tcW w:w="2745" w:type="dxa"/>
            <w:tcBorders>
              <w:left w:val="nil"/>
              <w:right w:val="nil"/>
            </w:tcBorders>
            <w:noWrap/>
            <w:hideMark/>
          </w:tcPr>
          <w:p w:rsidRPr="00A325F7" w:rsidR="00511E87" w:rsidP="00B85722" w:rsidRDefault="00511E87" w14:paraId="0DD09B57"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C351243" w14:textId="77777777">
        <w:trPr>
          <w:trHeight w:val="300"/>
        </w:trPr>
        <w:tc>
          <w:tcPr>
            <w:tcW w:w="6804" w:type="dxa"/>
            <w:tcBorders>
              <w:left w:val="nil"/>
              <w:right w:val="nil"/>
            </w:tcBorders>
            <w:noWrap/>
            <w:hideMark/>
          </w:tcPr>
          <w:p w:rsidRPr="00A325F7" w:rsidR="00511E87" w:rsidP="00B85722" w:rsidRDefault="00511E87" w14:paraId="46B307A9"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Aan financiële niet-deposito-instellingen verschuldigde deposito’s</w:t>
            </w:r>
          </w:p>
        </w:tc>
        <w:tc>
          <w:tcPr>
            <w:tcW w:w="2745" w:type="dxa"/>
            <w:tcBorders>
              <w:left w:val="nil"/>
              <w:right w:val="nil"/>
            </w:tcBorders>
            <w:noWrap/>
            <w:hideMark/>
          </w:tcPr>
          <w:p w:rsidRPr="00A325F7" w:rsidR="00511E87" w:rsidP="00B85722" w:rsidRDefault="00511E87" w14:paraId="5D39C48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7A1DD432" w14:textId="77777777">
        <w:trPr>
          <w:trHeight w:val="300"/>
        </w:trPr>
        <w:tc>
          <w:tcPr>
            <w:tcW w:w="6804" w:type="dxa"/>
            <w:tcBorders>
              <w:left w:val="nil"/>
              <w:right w:val="nil"/>
            </w:tcBorders>
            <w:noWrap/>
            <w:hideMark/>
          </w:tcPr>
          <w:p w:rsidRPr="00A325F7" w:rsidR="00511E87" w:rsidP="00B85722" w:rsidRDefault="00511E87" w14:paraId="6B0A560D"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Van andere financiële instellingen verkregen leningen</w:t>
            </w:r>
          </w:p>
        </w:tc>
        <w:tc>
          <w:tcPr>
            <w:tcW w:w="2745" w:type="dxa"/>
            <w:tcBorders>
              <w:left w:val="nil"/>
              <w:right w:val="nil"/>
            </w:tcBorders>
            <w:noWrap/>
            <w:hideMark/>
          </w:tcPr>
          <w:p w:rsidRPr="00A325F7" w:rsidR="00511E87" w:rsidP="00B85722" w:rsidRDefault="00511E87" w14:paraId="0694160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1F975576" w14:textId="77777777">
        <w:trPr>
          <w:trHeight w:val="300"/>
        </w:trPr>
        <w:tc>
          <w:tcPr>
            <w:tcW w:w="6804" w:type="dxa"/>
            <w:tcBorders>
              <w:left w:val="nil"/>
              <w:right w:val="nil"/>
            </w:tcBorders>
            <w:noWrap/>
          </w:tcPr>
          <w:p w:rsidRPr="00A325F7" w:rsidR="00511E87" w:rsidP="00B85722" w:rsidRDefault="00511E87" w14:paraId="65627135" w14:textId="77777777">
            <w:pPr>
              <w:ind w:left="171"/>
              <w:rPr>
                <w:rFonts w:ascii="Arial" w:hAnsi="Arial" w:eastAsia="Times New Roman" w:cs="Arial"/>
                <w:sz w:val="20"/>
                <w:szCs w:val="20"/>
              </w:rPr>
            </w:pPr>
            <w:r w:rsidRPr="00A325F7">
              <w:rPr>
                <w:rFonts w:ascii="Arial" w:hAnsi="Arial"/>
                <w:sz w:val="20"/>
              </w:rPr>
              <w:lastRenderedPageBreak/>
              <w:t>b. Onbenut deel van van andere financiële instellingen verkregen gecommitteerde lijnen</w:t>
            </w:r>
          </w:p>
        </w:tc>
        <w:tc>
          <w:tcPr>
            <w:tcW w:w="2745" w:type="dxa"/>
            <w:tcBorders>
              <w:left w:val="nil"/>
              <w:right w:val="nil"/>
            </w:tcBorders>
            <w:noWrap/>
          </w:tcPr>
          <w:p w:rsidRPr="00A325F7" w:rsidR="00511E87" w:rsidP="00B85722" w:rsidRDefault="00511E87" w14:paraId="0C9DDF97" w14:textId="77777777">
            <w:pPr>
              <w:jc w:val="right"/>
              <w:rPr>
                <w:rFonts w:ascii="Arial" w:hAnsi="Arial" w:eastAsia="Times New Roman" w:cs="Arial"/>
                <w:sz w:val="20"/>
                <w:szCs w:val="20"/>
                <w:lang w:eastAsia="en-GB"/>
              </w:rPr>
            </w:pPr>
          </w:p>
        </w:tc>
      </w:tr>
      <w:tr w:rsidRPr="00A325F7" w:rsidR="00511E87" w:rsidTr="00B85722" w14:paraId="54F78331" w14:textId="77777777">
        <w:trPr>
          <w:trHeight w:val="300"/>
        </w:trPr>
        <w:tc>
          <w:tcPr>
            <w:tcW w:w="6804" w:type="dxa"/>
            <w:tcBorders>
              <w:left w:val="nil"/>
              <w:right w:val="nil"/>
            </w:tcBorders>
            <w:noWrap/>
          </w:tcPr>
          <w:p w:rsidRPr="00A325F7" w:rsidR="00511E87" w:rsidP="00B85722" w:rsidRDefault="00511E87" w14:paraId="0BB64CCA" w14:textId="77777777">
            <w:pPr>
              <w:ind w:left="171"/>
              <w:rPr>
                <w:rFonts w:ascii="Arial" w:hAnsi="Arial" w:eastAsia="Times New Roman" w:cs="Arial"/>
                <w:sz w:val="20"/>
                <w:szCs w:val="20"/>
              </w:rPr>
            </w:pPr>
            <w:r w:rsidRPr="00A325F7">
              <w:rPr>
                <w:rFonts w:ascii="Arial" w:hAnsi="Arial"/>
                <w:sz w:val="20"/>
              </w:rPr>
              <w:t>c. Netto negatieve actuele blootstelling van SFT’s met andere financiële instellingen</w:t>
            </w:r>
          </w:p>
        </w:tc>
        <w:tc>
          <w:tcPr>
            <w:tcW w:w="2745" w:type="dxa"/>
            <w:tcBorders>
              <w:left w:val="nil"/>
              <w:right w:val="nil"/>
            </w:tcBorders>
            <w:noWrap/>
          </w:tcPr>
          <w:p w:rsidRPr="00A325F7" w:rsidR="00511E87" w:rsidP="00B85722" w:rsidRDefault="00511E87" w14:paraId="6BAC8858" w14:textId="77777777">
            <w:pPr>
              <w:jc w:val="right"/>
              <w:rPr>
                <w:rFonts w:ascii="Arial" w:hAnsi="Arial" w:eastAsia="Times New Roman" w:cs="Arial"/>
                <w:sz w:val="20"/>
                <w:szCs w:val="20"/>
                <w:lang w:eastAsia="en-GB"/>
              </w:rPr>
            </w:pPr>
          </w:p>
        </w:tc>
      </w:tr>
      <w:tr w:rsidRPr="00A325F7" w:rsidR="00511E87" w:rsidTr="00B85722" w14:paraId="3CF84593" w14:textId="77777777">
        <w:trPr>
          <w:trHeight w:val="300"/>
        </w:trPr>
        <w:tc>
          <w:tcPr>
            <w:tcW w:w="6804" w:type="dxa"/>
            <w:tcBorders>
              <w:left w:val="nil"/>
              <w:bottom w:val="single" w:color="auto" w:sz="4" w:space="0"/>
              <w:right w:val="nil"/>
            </w:tcBorders>
            <w:noWrap/>
          </w:tcPr>
          <w:p w:rsidRPr="00A325F7" w:rsidR="00511E87" w:rsidP="00B85722" w:rsidRDefault="00511E87" w14:paraId="3670C5F1" w14:textId="77777777">
            <w:pPr>
              <w:ind w:left="171"/>
              <w:rPr>
                <w:rFonts w:ascii="Arial" w:hAnsi="Arial" w:eastAsia="Times New Roman" w:cs="Arial"/>
                <w:sz w:val="20"/>
                <w:szCs w:val="20"/>
              </w:rPr>
            </w:pPr>
            <w:r w:rsidRPr="00A325F7">
              <w:rPr>
                <w:rFonts w:ascii="Arial" w:hAnsi="Arial"/>
                <w:sz w:val="20"/>
              </w:rPr>
              <w:t>d. OTC-derivaten met andere financiële instellingen die een netto negatieve reële waarde hebben</w:t>
            </w:r>
          </w:p>
        </w:tc>
        <w:tc>
          <w:tcPr>
            <w:tcW w:w="2745" w:type="dxa"/>
            <w:tcBorders>
              <w:left w:val="nil"/>
              <w:bottom w:val="single" w:color="auto" w:sz="4" w:space="0"/>
              <w:right w:val="nil"/>
            </w:tcBorders>
            <w:noWrap/>
          </w:tcPr>
          <w:p w:rsidRPr="00A325F7" w:rsidR="00511E87" w:rsidP="00B85722" w:rsidRDefault="00511E87" w14:paraId="1F6691E8" w14:textId="77777777">
            <w:pPr>
              <w:jc w:val="right"/>
              <w:rPr>
                <w:rFonts w:ascii="Arial" w:hAnsi="Arial" w:eastAsia="Times New Roman" w:cs="Arial"/>
                <w:sz w:val="20"/>
                <w:szCs w:val="20"/>
                <w:lang w:eastAsia="en-GB"/>
              </w:rPr>
            </w:pPr>
          </w:p>
        </w:tc>
      </w:tr>
      <w:tr w:rsidRPr="00A325F7" w:rsidR="00511E87" w:rsidTr="00B85722" w14:paraId="6C34BC33" w14:textId="77777777">
        <w:trPr>
          <w:trHeight w:val="300"/>
        </w:trPr>
        <w:tc>
          <w:tcPr>
            <w:tcW w:w="6804" w:type="dxa"/>
            <w:tcBorders>
              <w:left w:val="nil"/>
              <w:right w:val="nil"/>
            </w:tcBorders>
            <w:noWrap/>
            <w:hideMark/>
          </w:tcPr>
          <w:p w:rsidRPr="00A325F7" w:rsidR="00511E87" w:rsidP="00B85722" w:rsidRDefault="00511E87" w14:paraId="1B91FF82"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Netto negatieve reële waarde</w:t>
            </w:r>
          </w:p>
        </w:tc>
        <w:tc>
          <w:tcPr>
            <w:tcW w:w="2745" w:type="dxa"/>
            <w:tcBorders>
              <w:left w:val="nil"/>
              <w:right w:val="nil"/>
            </w:tcBorders>
            <w:noWrap/>
            <w:hideMark/>
          </w:tcPr>
          <w:p w:rsidRPr="00A325F7" w:rsidR="00511E87" w:rsidP="00B85722" w:rsidRDefault="00511E87" w14:paraId="4B03CF4E"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439E2B8" w14:textId="77777777">
        <w:trPr>
          <w:trHeight w:val="300"/>
        </w:trPr>
        <w:tc>
          <w:tcPr>
            <w:tcW w:w="6804" w:type="dxa"/>
            <w:tcBorders>
              <w:left w:val="nil"/>
              <w:right w:val="nil"/>
            </w:tcBorders>
            <w:noWrap/>
            <w:hideMark/>
          </w:tcPr>
          <w:p w:rsidRPr="00A325F7" w:rsidR="00511E87" w:rsidP="00B85722" w:rsidRDefault="00511E87" w14:paraId="3E24DAB4"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Potentiële toekomstige blootstelling</w:t>
            </w:r>
          </w:p>
        </w:tc>
        <w:tc>
          <w:tcPr>
            <w:tcW w:w="2745" w:type="dxa"/>
            <w:tcBorders>
              <w:left w:val="nil"/>
              <w:right w:val="nil"/>
            </w:tcBorders>
            <w:noWrap/>
            <w:hideMark/>
          </w:tcPr>
          <w:p w:rsidRPr="00A325F7" w:rsidR="00511E87" w:rsidP="00B85722" w:rsidRDefault="00511E87" w14:paraId="26E6EDB4"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1A22701" w14:textId="77777777">
        <w:trPr>
          <w:trHeight w:val="300"/>
        </w:trPr>
        <w:tc>
          <w:tcPr>
            <w:tcW w:w="6804" w:type="dxa"/>
            <w:tcBorders>
              <w:left w:val="nil"/>
              <w:bottom w:val="single" w:color="auto" w:sz="4" w:space="0"/>
              <w:right w:val="nil"/>
            </w:tcBorders>
            <w:noWrap/>
          </w:tcPr>
          <w:p w:rsidRPr="00A325F7" w:rsidR="00511E87" w:rsidP="00B85722" w:rsidRDefault="00511E87" w14:paraId="3BBB5588" w14:textId="77777777">
            <w:pPr>
              <w:ind w:left="171"/>
              <w:rPr>
                <w:rFonts w:ascii="Arial" w:hAnsi="Arial" w:eastAsia="Times New Roman" w:cs="Arial"/>
                <w:sz w:val="20"/>
                <w:szCs w:val="20"/>
              </w:rPr>
            </w:pPr>
            <w:r w:rsidRPr="00A325F7">
              <w:rPr>
                <w:rFonts w:ascii="Arial" w:hAnsi="Arial"/>
                <w:sz w:val="20"/>
              </w:rPr>
              <w:t>e. Indicator voor passiva binnen het financiële stelsel, met inbegrip van verzekeringsdochterondernemingen (som van de posten 4.a.1) tot en met 4.d.2))</w:t>
            </w:r>
          </w:p>
        </w:tc>
        <w:tc>
          <w:tcPr>
            <w:tcW w:w="2745" w:type="dxa"/>
            <w:tcBorders>
              <w:left w:val="nil"/>
              <w:bottom w:val="single" w:color="auto" w:sz="4" w:space="0"/>
              <w:right w:val="nil"/>
            </w:tcBorders>
            <w:noWrap/>
          </w:tcPr>
          <w:p w:rsidRPr="00A325F7" w:rsidR="00511E87" w:rsidP="00B85722" w:rsidRDefault="00511E87" w14:paraId="1CCD0E16" w14:textId="77777777">
            <w:pPr>
              <w:jc w:val="right"/>
              <w:rPr>
                <w:rFonts w:ascii="Arial" w:hAnsi="Arial" w:eastAsia="Times New Roman" w:cs="Arial"/>
                <w:sz w:val="20"/>
                <w:szCs w:val="20"/>
                <w:lang w:eastAsia="en-GB"/>
              </w:rPr>
            </w:pPr>
          </w:p>
        </w:tc>
      </w:tr>
      <w:tr w:rsidRPr="00A325F7" w:rsidR="00511E87" w:rsidTr="00B85722" w14:paraId="54C6C1DB" w14:textId="77777777">
        <w:trPr>
          <w:trHeight w:val="300"/>
        </w:trPr>
        <w:tc>
          <w:tcPr>
            <w:tcW w:w="6804" w:type="dxa"/>
            <w:tcBorders>
              <w:left w:val="nil"/>
              <w:bottom w:val="nil"/>
              <w:right w:val="nil"/>
            </w:tcBorders>
            <w:noWrap/>
          </w:tcPr>
          <w:p w:rsidRPr="00A325F7" w:rsidR="00511E87" w:rsidP="00B85722" w:rsidRDefault="00511E87" w14:paraId="44BF100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70D5CA82" w14:textId="77777777">
            <w:pPr>
              <w:jc w:val="center"/>
              <w:rPr>
                <w:rFonts w:ascii="Arial" w:hAnsi="Arial" w:eastAsia="Times New Roman" w:cs="Arial"/>
                <w:b/>
                <w:bCs/>
                <w:sz w:val="20"/>
                <w:szCs w:val="20"/>
                <w:lang w:eastAsia="en-GB"/>
              </w:rPr>
            </w:pPr>
          </w:p>
        </w:tc>
      </w:tr>
      <w:tr w:rsidRPr="00A325F7" w:rsidR="00511E87" w:rsidTr="00B85722" w14:paraId="354A9E06" w14:textId="77777777">
        <w:trPr>
          <w:trHeight w:val="300"/>
        </w:trPr>
        <w:tc>
          <w:tcPr>
            <w:tcW w:w="6804" w:type="dxa"/>
            <w:tcBorders>
              <w:top w:val="nil"/>
              <w:left w:val="nil"/>
              <w:right w:val="nil"/>
            </w:tcBorders>
            <w:noWrap/>
            <w:hideMark/>
          </w:tcPr>
          <w:p w:rsidRPr="00A325F7" w:rsidR="00511E87" w:rsidP="00B85722" w:rsidRDefault="00511E87" w14:paraId="6807C64C" w14:textId="77777777">
            <w:pPr>
              <w:rPr>
                <w:rFonts w:ascii="Arial" w:hAnsi="Arial" w:eastAsia="Times New Roman" w:cs="Arial"/>
                <w:b/>
                <w:bCs/>
                <w:sz w:val="20"/>
                <w:szCs w:val="20"/>
              </w:rPr>
            </w:pPr>
            <w:r w:rsidRPr="00A325F7">
              <w:rPr>
                <w:rFonts w:ascii="Arial" w:hAnsi="Arial"/>
                <w:b/>
                <w:sz w:val="20"/>
              </w:rPr>
              <w:t>Afdeling 5 – Uitstaande effecten</w:t>
            </w:r>
          </w:p>
        </w:tc>
        <w:tc>
          <w:tcPr>
            <w:tcW w:w="2745" w:type="dxa"/>
            <w:tcBorders>
              <w:top w:val="nil"/>
              <w:left w:val="nil"/>
              <w:right w:val="nil"/>
            </w:tcBorders>
            <w:hideMark/>
          </w:tcPr>
          <w:p w:rsidRPr="00A325F7" w:rsidR="00511E87" w:rsidP="00B85722" w:rsidRDefault="00511E87" w14:paraId="0D4F465A"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13E0120F" w14:textId="77777777">
        <w:trPr>
          <w:trHeight w:val="300"/>
        </w:trPr>
        <w:tc>
          <w:tcPr>
            <w:tcW w:w="6804" w:type="dxa"/>
            <w:tcBorders>
              <w:left w:val="nil"/>
              <w:right w:val="nil"/>
            </w:tcBorders>
            <w:noWrap/>
            <w:hideMark/>
          </w:tcPr>
          <w:p w:rsidRPr="00A325F7" w:rsidR="00511E87" w:rsidP="00B85722" w:rsidRDefault="00511E87" w14:paraId="0A9D0FEB" w14:textId="77777777">
            <w:pPr>
              <w:ind w:firstLine="200" w:firstLineChars="100"/>
              <w:rPr>
                <w:rFonts w:ascii="Arial" w:hAnsi="Arial" w:eastAsia="Times New Roman" w:cs="Arial"/>
                <w:sz w:val="20"/>
                <w:szCs w:val="20"/>
              </w:rPr>
            </w:pPr>
            <w:r w:rsidRPr="00A325F7">
              <w:rPr>
                <w:rFonts w:ascii="Arial" w:hAnsi="Arial"/>
                <w:sz w:val="20"/>
              </w:rPr>
              <w:t>a. Gedekte schuldtitels</w:t>
            </w:r>
          </w:p>
        </w:tc>
        <w:tc>
          <w:tcPr>
            <w:tcW w:w="2745" w:type="dxa"/>
            <w:tcBorders>
              <w:left w:val="nil"/>
              <w:right w:val="nil"/>
            </w:tcBorders>
            <w:noWrap/>
            <w:hideMark/>
          </w:tcPr>
          <w:p w:rsidRPr="00A325F7" w:rsidR="00511E87" w:rsidP="00B85722" w:rsidRDefault="00511E87" w14:paraId="467865A4"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752BA3C" w14:textId="77777777">
        <w:trPr>
          <w:trHeight w:val="300"/>
        </w:trPr>
        <w:tc>
          <w:tcPr>
            <w:tcW w:w="6804" w:type="dxa"/>
            <w:tcBorders>
              <w:left w:val="nil"/>
              <w:right w:val="nil"/>
            </w:tcBorders>
            <w:noWrap/>
            <w:hideMark/>
          </w:tcPr>
          <w:p w:rsidRPr="00A325F7" w:rsidR="00511E87" w:rsidP="00B85722" w:rsidRDefault="00511E87" w14:paraId="162175E2" w14:textId="77777777">
            <w:pPr>
              <w:ind w:firstLine="200" w:firstLineChars="100"/>
              <w:rPr>
                <w:rFonts w:ascii="Arial" w:hAnsi="Arial" w:eastAsia="Times New Roman" w:cs="Arial"/>
                <w:sz w:val="20"/>
                <w:szCs w:val="20"/>
              </w:rPr>
            </w:pPr>
            <w:r w:rsidRPr="00A325F7">
              <w:rPr>
                <w:rFonts w:ascii="Arial" w:hAnsi="Arial"/>
                <w:sz w:val="20"/>
              </w:rPr>
              <w:t>b. Bevoorrechte ongedekte schuldtitels</w:t>
            </w:r>
          </w:p>
        </w:tc>
        <w:tc>
          <w:tcPr>
            <w:tcW w:w="2745" w:type="dxa"/>
            <w:tcBorders>
              <w:left w:val="nil"/>
              <w:right w:val="nil"/>
            </w:tcBorders>
            <w:noWrap/>
            <w:hideMark/>
          </w:tcPr>
          <w:p w:rsidRPr="00A325F7" w:rsidR="00511E87" w:rsidP="00B85722" w:rsidRDefault="00511E87" w14:paraId="1CB42DEE"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72A41735" w14:textId="77777777">
        <w:trPr>
          <w:trHeight w:val="300"/>
        </w:trPr>
        <w:tc>
          <w:tcPr>
            <w:tcW w:w="6804" w:type="dxa"/>
            <w:tcBorders>
              <w:left w:val="nil"/>
              <w:right w:val="nil"/>
            </w:tcBorders>
            <w:noWrap/>
            <w:hideMark/>
          </w:tcPr>
          <w:p w:rsidRPr="00A325F7" w:rsidR="00511E87" w:rsidP="00B85722" w:rsidRDefault="00511E87" w14:paraId="4BBF612B" w14:textId="77777777">
            <w:pPr>
              <w:ind w:firstLine="200" w:firstLineChars="100"/>
              <w:rPr>
                <w:rFonts w:ascii="Arial" w:hAnsi="Arial" w:eastAsia="Times New Roman" w:cs="Arial"/>
                <w:sz w:val="20"/>
                <w:szCs w:val="20"/>
              </w:rPr>
            </w:pPr>
            <w:r w:rsidRPr="00A325F7">
              <w:rPr>
                <w:rFonts w:ascii="Arial" w:hAnsi="Arial"/>
                <w:sz w:val="20"/>
              </w:rPr>
              <w:t>c. Achtergestelde schuldtitels</w:t>
            </w:r>
          </w:p>
        </w:tc>
        <w:tc>
          <w:tcPr>
            <w:tcW w:w="2745" w:type="dxa"/>
            <w:tcBorders>
              <w:left w:val="nil"/>
              <w:right w:val="nil"/>
            </w:tcBorders>
            <w:noWrap/>
            <w:hideMark/>
          </w:tcPr>
          <w:p w:rsidRPr="00A325F7" w:rsidR="00511E87" w:rsidP="00B85722" w:rsidRDefault="00511E87" w14:paraId="07FF9281"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9CDCC59" w14:textId="77777777">
        <w:trPr>
          <w:trHeight w:val="300"/>
        </w:trPr>
        <w:tc>
          <w:tcPr>
            <w:tcW w:w="6804" w:type="dxa"/>
            <w:tcBorders>
              <w:left w:val="nil"/>
              <w:right w:val="nil"/>
            </w:tcBorders>
            <w:noWrap/>
            <w:hideMark/>
          </w:tcPr>
          <w:p w:rsidRPr="00A325F7" w:rsidR="00511E87" w:rsidP="00B85722" w:rsidRDefault="00511E87" w14:paraId="1C1B3CE0" w14:textId="77777777">
            <w:pPr>
              <w:ind w:firstLine="200" w:firstLineChars="100"/>
              <w:rPr>
                <w:rFonts w:ascii="Arial" w:hAnsi="Arial" w:eastAsia="Times New Roman" w:cs="Arial"/>
                <w:sz w:val="20"/>
                <w:szCs w:val="20"/>
              </w:rPr>
            </w:pPr>
            <w:r w:rsidRPr="00A325F7">
              <w:rPr>
                <w:rFonts w:ascii="Arial" w:hAnsi="Arial"/>
                <w:sz w:val="20"/>
              </w:rPr>
              <w:t>d. Handelspapier</w:t>
            </w:r>
          </w:p>
        </w:tc>
        <w:tc>
          <w:tcPr>
            <w:tcW w:w="2745" w:type="dxa"/>
            <w:tcBorders>
              <w:left w:val="nil"/>
              <w:right w:val="nil"/>
            </w:tcBorders>
            <w:noWrap/>
            <w:hideMark/>
          </w:tcPr>
          <w:p w:rsidRPr="00A325F7" w:rsidR="00511E87" w:rsidP="00B85722" w:rsidRDefault="00511E87" w14:paraId="5BFB1126"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ED82426" w14:textId="77777777">
        <w:trPr>
          <w:trHeight w:val="300"/>
        </w:trPr>
        <w:tc>
          <w:tcPr>
            <w:tcW w:w="6804" w:type="dxa"/>
            <w:tcBorders>
              <w:left w:val="nil"/>
              <w:right w:val="nil"/>
            </w:tcBorders>
            <w:noWrap/>
            <w:hideMark/>
          </w:tcPr>
          <w:p w:rsidRPr="00A325F7" w:rsidR="00511E87" w:rsidP="00B85722" w:rsidRDefault="00511E87" w14:paraId="77256199" w14:textId="77777777">
            <w:pPr>
              <w:ind w:firstLine="200" w:firstLineChars="100"/>
              <w:rPr>
                <w:rFonts w:ascii="Arial" w:hAnsi="Arial" w:eastAsia="Times New Roman" w:cs="Arial"/>
                <w:sz w:val="20"/>
                <w:szCs w:val="20"/>
              </w:rPr>
            </w:pPr>
            <w:r w:rsidRPr="00A325F7">
              <w:rPr>
                <w:rFonts w:ascii="Arial" w:hAnsi="Arial"/>
                <w:sz w:val="20"/>
              </w:rPr>
              <w:t>e. Depositocertificaten</w:t>
            </w:r>
          </w:p>
        </w:tc>
        <w:tc>
          <w:tcPr>
            <w:tcW w:w="2745" w:type="dxa"/>
            <w:tcBorders>
              <w:left w:val="nil"/>
              <w:right w:val="nil"/>
            </w:tcBorders>
            <w:noWrap/>
            <w:hideMark/>
          </w:tcPr>
          <w:p w:rsidRPr="00A325F7" w:rsidR="00511E87" w:rsidP="00B85722" w:rsidRDefault="00511E87" w14:paraId="701E20A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140F2DF" w14:textId="77777777">
        <w:trPr>
          <w:trHeight w:val="300"/>
        </w:trPr>
        <w:tc>
          <w:tcPr>
            <w:tcW w:w="6804" w:type="dxa"/>
            <w:tcBorders>
              <w:left w:val="nil"/>
              <w:right w:val="nil"/>
            </w:tcBorders>
            <w:noWrap/>
            <w:hideMark/>
          </w:tcPr>
          <w:p w:rsidRPr="00A325F7" w:rsidR="00511E87" w:rsidP="00B85722" w:rsidRDefault="00511E87" w14:paraId="54EFB286" w14:textId="77777777">
            <w:pPr>
              <w:ind w:firstLine="200" w:firstLineChars="100"/>
              <w:rPr>
                <w:rFonts w:ascii="Arial" w:hAnsi="Arial" w:eastAsia="Times New Roman" w:cs="Arial"/>
                <w:sz w:val="20"/>
                <w:szCs w:val="20"/>
              </w:rPr>
            </w:pPr>
            <w:r w:rsidRPr="00A325F7">
              <w:rPr>
                <w:rFonts w:ascii="Arial" w:hAnsi="Arial"/>
                <w:sz w:val="20"/>
              </w:rPr>
              <w:t>f. Gewone aandelen</w:t>
            </w:r>
          </w:p>
        </w:tc>
        <w:tc>
          <w:tcPr>
            <w:tcW w:w="2745" w:type="dxa"/>
            <w:tcBorders>
              <w:left w:val="nil"/>
              <w:right w:val="nil"/>
            </w:tcBorders>
            <w:noWrap/>
            <w:hideMark/>
          </w:tcPr>
          <w:p w:rsidRPr="00A325F7" w:rsidR="00511E87" w:rsidP="00B85722" w:rsidRDefault="00511E87" w14:paraId="0AA0AE07"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43FC92F" w14:textId="77777777">
        <w:trPr>
          <w:trHeight w:val="300"/>
        </w:trPr>
        <w:tc>
          <w:tcPr>
            <w:tcW w:w="6804" w:type="dxa"/>
            <w:tcBorders>
              <w:left w:val="nil"/>
              <w:right w:val="nil"/>
            </w:tcBorders>
            <w:noWrap/>
          </w:tcPr>
          <w:p w:rsidRPr="00A325F7" w:rsidR="00511E87" w:rsidP="00B85722" w:rsidRDefault="00511E87" w14:paraId="43B234EC" w14:textId="77777777">
            <w:pPr>
              <w:ind w:left="171"/>
              <w:rPr>
                <w:rFonts w:ascii="Arial" w:hAnsi="Arial" w:eastAsia="Times New Roman" w:cs="Arial"/>
                <w:sz w:val="20"/>
                <w:szCs w:val="20"/>
              </w:rPr>
            </w:pPr>
            <w:r w:rsidRPr="00A325F7">
              <w:rPr>
                <w:rFonts w:ascii="Arial" w:hAnsi="Arial"/>
                <w:sz w:val="20"/>
              </w:rPr>
              <w:t>g. Preferente aandelen en alle andere vormen van achtergestelde financiering die niet in post 5.c. zijn opgenomen</w:t>
            </w:r>
          </w:p>
        </w:tc>
        <w:tc>
          <w:tcPr>
            <w:tcW w:w="2745" w:type="dxa"/>
            <w:tcBorders>
              <w:left w:val="nil"/>
              <w:right w:val="nil"/>
            </w:tcBorders>
            <w:noWrap/>
          </w:tcPr>
          <w:p w:rsidRPr="00A325F7" w:rsidR="00511E87" w:rsidP="00B85722" w:rsidRDefault="00511E87" w14:paraId="26A50865" w14:textId="77777777">
            <w:pPr>
              <w:jc w:val="right"/>
              <w:rPr>
                <w:rFonts w:ascii="Arial" w:hAnsi="Arial" w:eastAsia="Times New Roman" w:cs="Arial"/>
                <w:sz w:val="20"/>
                <w:szCs w:val="20"/>
                <w:lang w:eastAsia="en-GB"/>
              </w:rPr>
            </w:pPr>
          </w:p>
        </w:tc>
      </w:tr>
      <w:tr w:rsidRPr="00A325F7" w:rsidR="00511E87" w:rsidTr="00B85722" w14:paraId="7E40983E" w14:textId="77777777">
        <w:trPr>
          <w:trHeight w:val="300"/>
        </w:trPr>
        <w:tc>
          <w:tcPr>
            <w:tcW w:w="6804" w:type="dxa"/>
            <w:tcBorders>
              <w:left w:val="nil"/>
              <w:bottom w:val="single" w:color="auto" w:sz="4" w:space="0"/>
              <w:right w:val="nil"/>
            </w:tcBorders>
            <w:noWrap/>
          </w:tcPr>
          <w:p w:rsidRPr="00A325F7" w:rsidR="00511E87" w:rsidP="00B85722" w:rsidRDefault="00511E87" w14:paraId="3E15D648" w14:textId="77777777">
            <w:pPr>
              <w:ind w:left="171"/>
              <w:rPr>
                <w:rFonts w:ascii="Arial" w:hAnsi="Arial" w:eastAsia="Times New Roman" w:cs="Arial"/>
                <w:sz w:val="20"/>
                <w:szCs w:val="20"/>
              </w:rPr>
            </w:pPr>
            <w:r w:rsidRPr="00A325F7">
              <w:rPr>
                <w:rFonts w:ascii="Arial" w:hAnsi="Arial"/>
                <w:sz w:val="20"/>
              </w:rPr>
              <w:t>h. Indicator voor uitstaande effecten, met inbegrip van effecten die zijn uitgegeven door verzekeringsdochterondernemingen (som van de posten 5.a tot en met 5.g)</w:t>
            </w:r>
          </w:p>
        </w:tc>
        <w:tc>
          <w:tcPr>
            <w:tcW w:w="2745" w:type="dxa"/>
            <w:tcBorders>
              <w:left w:val="nil"/>
              <w:bottom w:val="single" w:color="auto" w:sz="4" w:space="0"/>
              <w:right w:val="nil"/>
            </w:tcBorders>
            <w:noWrap/>
          </w:tcPr>
          <w:p w:rsidRPr="00A325F7" w:rsidR="00511E87" w:rsidP="00B85722" w:rsidRDefault="00511E87" w14:paraId="66CA6990" w14:textId="77777777">
            <w:pPr>
              <w:jc w:val="right"/>
              <w:rPr>
                <w:rFonts w:ascii="Arial" w:hAnsi="Arial" w:eastAsia="Times New Roman" w:cs="Arial"/>
                <w:sz w:val="20"/>
                <w:szCs w:val="20"/>
                <w:lang w:eastAsia="en-GB"/>
              </w:rPr>
            </w:pPr>
          </w:p>
        </w:tc>
      </w:tr>
      <w:tr w:rsidRPr="00A325F7" w:rsidR="00511E87" w:rsidTr="00B85722" w14:paraId="3DD6A0E4" w14:textId="77777777">
        <w:trPr>
          <w:trHeight w:val="300"/>
        </w:trPr>
        <w:tc>
          <w:tcPr>
            <w:tcW w:w="6804" w:type="dxa"/>
            <w:tcBorders>
              <w:top w:val="single" w:color="auto" w:sz="4" w:space="0"/>
              <w:left w:val="nil"/>
              <w:bottom w:val="nil"/>
              <w:right w:val="nil"/>
            </w:tcBorders>
            <w:noWrap/>
          </w:tcPr>
          <w:p w:rsidRPr="00A325F7" w:rsidR="00511E87" w:rsidP="00B85722" w:rsidRDefault="00511E87" w14:paraId="0F1D880D"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A325F7" w:rsidR="00511E87" w:rsidP="00B85722" w:rsidRDefault="00511E87" w14:paraId="7AF90235" w14:textId="77777777">
            <w:pPr>
              <w:jc w:val="center"/>
              <w:rPr>
                <w:rFonts w:ascii="Arial" w:hAnsi="Arial" w:eastAsia="Times New Roman" w:cs="Arial"/>
                <w:b/>
                <w:bCs/>
                <w:sz w:val="20"/>
                <w:szCs w:val="20"/>
                <w:lang w:eastAsia="en-GB"/>
              </w:rPr>
            </w:pPr>
          </w:p>
        </w:tc>
      </w:tr>
      <w:tr w:rsidRPr="00A325F7" w:rsidR="00511E87" w:rsidTr="00B85722" w14:paraId="7CBA1D55" w14:textId="77777777">
        <w:trPr>
          <w:trHeight w:val="300"/>
        </w:trPr>
        <w:tc>
          <w:tcPr>
            <w:tcW w:w="6804" w:type="dxa"/>
            <w:tcBorders>
              <w:top w:val="nil"/>
              <w:left w:val="nil"/>
              <w:bottom w:val="nil"/>
              <w:right w:val="nil"/>
            </w:tcBorders>
            <w:noWrap/>
          </w:tcPr>
          <w:p w:rsidRPr="00A325F7" w:rsidR="00511E87" w:rsidP="00B85722" w:rsidRDefault="00511E87" w14:paraId="6DE72B8F" w14:textId="77777777">
            <w:pPr>
              <w:keepNext/>
              <w:keepLines/>
              <w:spacing w:before="47"/>
              <w:outlineLvl w:val="5"/>
              <w:rPr>
                <w:rFonts w:asciiTheme="majorHAnsi" w:hAnsiTheme="majorHAnsi" w:eastAsiaTheme="majorEastAsia" w:cstheme="majorBidi"/>
                <w:b/>
                <w:bCs/>
                <w:i/>
                <w:iCs/>
                <w:caps/>
                <w:spacing w:val="-2"/>
              </w:rPr>
            </w:pPr>
            <w:r w:rsidRPr="00A325F7">
              <w:rPr>
                <w:rFonts w:asciiTheme="majorHAnsi" w:hAnsiTheme="majorHAnsi"/>
                <w:b/>
                <w:i/>
                <w:caps/>
              </w:rPr>
              <w:t>Indicatoren voor substitueerbaarheid/infrastructuur financiële instelling</w:t>
            </w:r>
          </w:p>
          <w:p w:rsidRPr="00A325F7" w:rsidR="00511E87" w:rsidP="00B85722" w:rsidRDefault="00511E87" w14:paraId="587EF9E5"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A325F7" w:rsidR="00511E87" w:rsidP="00B85722" w:rsidRDefault="00511E87" w14:paraId="1A45A43B" w14:textId="77777777">
            <w:pPr>
              <w:jc w:val="center"/>
              <w:rPr>
                <w:rFonts w:ascii="Arial" w:hAnsi="Arial" w:eastAsia="Times New Roman" w:cs="Arial"/>
                <w:b/>
                <w:bCs/>
                <w:sz w:val="20"/>
                <w:szCs w:val="20"/>
                <w:lang w:eastAsia="en-GB"/>
              </w:rPr>
            </w:pPr>
          </w:p>
        </w:tc>
      </w:tr>
      <w:tr w:rsidRPr="00A325F7" w:rsidR="00511E87" w:rsidTr="00B85722" w14:paraId="4EC129C3" w14:textId="77777777">
        <w:trPr>
          <w:trHeight w:val="300"/>
        </w:trPr>
        <w:tc>
          <w:tcPr>
            <w:tcW w:w="6804" w:type="dxa"/>
            <w:tcBorders>
              <w:left w:val="nil"/>
              <w:bottom w:val="single" w:color="auto" w:sz="4" w:space="0"/>
              <w:right w:val="nil"/>
            </w:tcBorders>
            <w:noWrap/>
          </w:tcPr>
          <w:p w:rsidRPr="00A325F7" w:rsidR="00511E87" w:rsidP="00B85722" w:rsidRDefault="00511E87" w14:paraId="0B044509" w14:textId="77777777">
            <w:pPr>
              <w:rPr>
                <w:rFonts w:ascii="Arial" w:hAnsi="Arial" w:eastAsia="Times New Roman" w:cs="Arial"/>
                <w:sz w:val="20"/>
                <w:szCs w:val="20"/>
              </w:rPr>
            </w:pPr>
            <w:r w:rsidRPr="00A325F7">
              <w:rPr>
                <w:rFonts w:ascii="Arial" w:hAnsi="Arial"/>
                <w:b/>
                <w:sz w:val="20"/>
              </w:rPr>
              <w:t>Afdeling 6 – In het rapportagejaar gedane betalingen (exclusief intragroepsbetalingen)</w:t>
            </w:r>
          </w:p>
        </w:tc>
        <w:tc>
          <w:tcPr>
            <w:tcW w:w="2745" w:type="dxa"/>
            <w:tcBorders>
              <w:left w:val="nil"/>
              <w:bottom w:val="single" w:color="auto" w:sz="4" w:space="0"/>
              <w:right w:val="nil"/>
            </w:tcBorders>
            <w:noWrap/>
          </w:tcPr>
          <w:p w:rsidRPr="00A325F7" w:rsidR="00511E87" w:rsidP="00B85722" w:rsidRDefault="00511E87" w14:paraId="3DD92730"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3C177120" w14:textId="77777777">
        <w:trPr>
          <w:trHeight w:val="300"/>
        </w:trPr>
        <w:tc>
          <w:tcPr>
            <w:tcW w:w="6804" w:type="dxa"/>
            <w:tcBorders>
              <w:left w:val="nil"/>
              <w:right w:val="nil"/>
            </w:tcBorders>
            <w:noWrap/>
            <w:hideMark/>
          </w:tcPr>
          <w:p w:rsidRPr="00A325F7" w:rsidR="00511E87" w:rsidP="00B85722" w:rsidRDefault="00511E87" w14:paraId="636C090F" w14:textId="77777777">
            <w:pPr>
              <w:ind w:firstLine="200" w:firstLineChars="100"/>
              <w:rPr>
                <w:rFonts w:ascii="Arial" w:hAnsi="Arial" w:eastAsia="Times New Roman" w:cs="Arial"/>
                <w:sz w:val="20"/>
                <w:szCs w:val="20"/>
              </w:rPr>
            </w:pPr>
            <w:r w:rsidRPr="00A325F7">
              <w:rPr>
                <w:rFonts w:ascii="Arial" w:hAnsi="Arial"/>
                <w:sz w:val="20"/>
              </w:rPr>
              <w:t xml:space="preserve"> a. Australische dollar (AUD)</w:t>
            </w:r>
          </w:p>
        </w:tc>
        <w:tc>
          <w:tcPr>
            <w:tcW w:w="2745" w:type="dxa"/>
            <w:tcBorders>
              <w:left w:val="nil"/>
              <w:right w:val="nil"/>
            </w:tcBorders>
            <w:noWrap/>
            <w:hideMark/>
          </w:tcPr>
          <w:p w:rsidRPr="00A325F7" w:rsidR="00511E87" w:rsidP="00B85722" w:rsidRDefault="00511E87" w14:paraId="42A481E1"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524AB62" w14:textId="77777777">
        <w:trPr>
          <w:trHeight w:val="300"/>
        </w:trPr>
        <w:tc>
          <w:tcPr>
            <w:tcW w:w="6804" w:type="dxa"/>
            <w:tcBorders>
              <w:left w:val="nil"/>
              <w:right w:val="nil"/>
            </w:tcBorders>
            <w:noWrap/>
            <w:hideMark/>
          </w:tcPr>
          <w:p w:rsidRPr="00A325F7" w:rsidR="00511E87" w:rsidP="00B85722" w:rsidRDefault="00511E87" w14:paraId="6A5BB10A" w14:textId="77777777">
            <w:pPr>
              <w:ind w:firstLine="200" w:firstLineChars="100"/>
              <w:rPr>
                <w:rFonts w:ascii="Arial" w:hAnsi="Arial" w:eastAsia="Times New Roman" w:cs="Arial"/>
                <w:sz w:val="20"/>
                <w:szCs w:val="20"/>
              </w:rPr>
            </w:pPr>
            <w:r w:rsidRPr="00A325F7">
              <w:rPr>
                <w:rFonts w:ascii="Arial" w:hAnsi="Arial"/>
                <w:sz w:val="20"/>
              </w:rPr>
              <w:t>b. Canadese dollar (CAD)</w:t>
            </w:r>
          </w:p>
        </w:tc>
        <w:tc>
          <w:tcPr>
            <w:tcW w:w="2745" w:type="dxa"/>
            <w:tcBorders>
              <w:left w:val="nil"/>
              <w:right w:val="nil"/>
            </w:tcBorders>
            <w:noWrap/>
            <w:hideMark/>
          </w:tcPr>
          <w:p w:rsidRPr="00A325F7" w:rsidR="00511E87" w:rsidP="00B85722" w:rsidRDefault="00511E87" w14:paraId="5AA3B35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F9A99F3" w14:textId="77777777">
        <w:trPr>
          <w:trHeight w:val="300"/>
        </w:trPr>
        <w:tc>
          <w:tcPr>
            <w:tcW w:w="6804" w:type="dxa"/>
            <w:tcBorders>
              <w:left w:val="nil"/>
              <w:right w:val="nil"/>
            </w:tcBorders>
            <w:noWrap/>
            <w:hideMark/>
          </w:tcPr>
          <w:p w:rsidRPr="00A325F7" w:rsidR="00511E87" w:rsidP="00B85722" w:rsidRDefault="00511E87" w14:paraId="7ACFBC12" w14:textId="77777777">
            <w:pPr>
              <w:ind w:firstLine="200" w:firstLineChars="100"/>
              <w:rPr>
                <w:rFonts w:ascii="Arial" w:hAnsi="Arial" w:eastAsia="Times New Roman" w:cs="Arial"/>
                <w:sz w:val="20"/>
                <w:szCs w:val="20"/>
              </w:rPr>
            </w:pPr>
            <w:r w:rsidRPr="00A325F7">
              <w:rPr>
                <w:rFonts w:ascii="Arial" w:hAnsi="Arial"/>
                <w:sz w:val="20"/>
              </w:rPr>
              <w:t>c. Zwitserse frank (CHF)</w:t>
            </w:r>
          </w:p>
        </w:tc>
        <w:tc>
          <w:tcPr>
            <w:tcW w:w="2745" w:type="dxa"/>
            <w:tcBorders>
              <w:left w:val="nil"/>
              <w:right w:val="nil"/>
            </w:tcBorders>
            <w:noWrap/>
            <w:hideMark/>
          </w:tcPr>
          <w:p w:rsidRPr="00A325F7" w:rsidR="00511E87" w:rsidP="00B85722" w:rsidRDefault="00511E87" w14:paraId="0E6EE6D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5C45B2E" w14:textId="77777777">
        <w:trPr>
          <w:trHeight w:val="300"/>
        </w:trPr>
        <w:tc>
          <w:tcPr>
            <w:tcW w:w="6804" w:type="dxa"/>
            <w:tcBorders>
              <w:left w:val="nil"/>
              <w:right w:val="nil"/>
            </w:tcBorders>
            <w:noWrap/>
            <w:hideMark/>
          </w:tcPr>
          <w:p w:rsidRPr="00A325F7" w:rsidR="00511E87" w:rsidP="00B85722" w:rsidRDefault="00511E87" w14:paraId="7910E2EE" w14:textId="77777777">
            <w:pPr>
              <w:ind w:firstLine="200" w:firstLineChars="100"/>
              <w:rPr>
                <w:rFonts w:ascii="Arial" w:hAnsi="Arial" w:eastAsia="Times New Roman" w:cs="Arial"/>
                <w:sz w:val="20"/>
                <w:szCs w:val="20"/>
              </w:rPr>
            </w:pPr>
            <w:r w:rsidRPr="00A325F7">
              <w:rPr>
                <w:rFonts w:ascii="Arial" w:hAnsi="Arial"/>
                <w:sz w:val="20"/>
              </w:rPr>
              <w:t>d. Chinese yuan (CNY)</w:t>
            </w:r>
          </w:p>
        </w:tc>
        <w:tc>
          <w:tcPr>
            <w:tcW w:w="2745" w:type="dxa"/>
            <w:tcBorders>
              <w:left w:val="nil"/>
              <w:right w:val="nil"/>
            </w:tcBorders>
            <w:noWrap/>
            <w:hideMark/>
          </w:tcPr>
          <w:p w:rsidRPr="00A325F7" w:rsidR="00511E87" w:rsidP="00B85722" w:rsidRDefault="00511E87" w14:paraId="17DEB4A2"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116B8ABA" w14:textId="77777777">
        <w:trPr>
          <w:trHeight w:val="300"/>
        </w:trPr>
        <w:tc>
          <w:tcPr>
            <w:tcW w:w="6804" w:type="dxa"/>
            <w:tcBorders>
              <w:left w:val="nil"/>
              <w:right w:val="nil"/>
            </w:tcBorders>
            <w:noWrap/>
            <w:hideMark/>
          </w:tcPr>
          <w:p w:rsidRPr="00A325F7" w:rsidR="00511E87" w:rsidP="00B85722" w:rsidRDefault="00511E87" w14:paraId="68EAD39E" w14:textId="77777777">
            <w:pPr>
              <w:ind w:firstLine="200" w:firstLineChars="100"/>
              <w:rPr>
                <w:rFonts w:ascii="Arial" w:hAnsi="Arial" w:eastAsia="Times New Roman" w:cs="Arial"/>
                <w:sz w:val="20"/>
                <w:szCs w:val="20"/>
              </w:rPr>
            </w:pPr>
            <w:r w:rsidRPr="00A325F7">
              <w:rPr>
                <w:rFonts w:ascii="Arial" w:hAnsi="Arial"/>
                <w:sz w:val="20"/>
              </w:rPr>
              <w:t>e. Euro (EUR)</w:t>
            </w:r>
          </w:p>
        </w:tc>
        <w:tc>
          <w:tcPr>
            <w:tcW w:w="2745" w:type="dxa"/>
            <w:tcBorders>
              <w:left w:val="nil"/>
              <w:right w:val="nil"/>
            </w:tcBorders>
            <w:noWrap/>
            <w:hideMark/>
          </w:tcPr>
          <w:p w:rsidRPr="00A325F7" w:rsidR="00511E87" w:rsidP="00B85722" w:rsidRDefault="00511E87" w14:paraId="13C5416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8E0F7F6" w14:textId="77777777">
        <w:trPr>
          <w:trHeight w:val="300"/>
        </w:trPr>
        <w:tc>
          <w:tcPr>
            <w:tcW w:w="6804" w:type="dxa"/>
            <w:tcBorders>
              <w:left w:val="nil"/>
              <w:right w:val="nil"/>
            </w:tcBorders>
            <w:noWrap/>
            <w:hideMark/>
          </w:tcPr>
          <w:p w:rsidRPr="00A325F7" w:rsidR="00511E87" w:rsidP="00B85722" w:rsidRDefault="00511E87" w14:paraId="65B5C7C7" w14:textId="77777777">
            <w:pPr>
              <w:ind w:firstLine="200" w:firstLineChars="100"/>
              <w:rPr>
                <w:rFonts w:ascii="Arial" w:hAnsi="Arial" w:eastAsia="Times New Roman" w:cs="Arial"/>
                <w:sz w:val="20"/>
                <w:szCs w:val="20"/>
              </w:rPr>
            </w:pPr>
            <w:r w:rsidRPr="00A325F7">
              <w:rPr>
                <w:rFonts w:ascii="Arial" w:hAnsi="Arial"/>
                <w:sz w:val="20"/>
              </w:rPr>
              <w:t>f. Britse pond (GBP)</w:t>
            </w:r>
          </w:p>
        </w:tc>
        <w:tc>
          <w:tcPr>
            <w:tcW w:w="2745" w:type="dxa"/>
            <w:tcBorders>
              <w:left w:val="nil"/>
              <w:right w:val="nil"/>
            </w:tcBorders>
            <w:noWrap/>
            <w:hideMark/>
          </w:tcPr>
          <w:p w:rsidRPr="00A325F7" w:rsidR="00511E87" w:rsidP="00B85722" w:rsidRDefault="00511E87" w14:paraId="09BDFEB4"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58EB7B9" w14:textId="77777777">
        <w:trPr>
          <w:trHeight w:val="300"/>
        </w:trPr>
        <w:tc>
          <w:tcPr>
            <w:tcW w:w="6804" w:type="dxa"/>
            <w:tcBorders>
              <w:left w:val="nil"/>
              <w:right w:val="nil"/>
            </w:tcBorders>
            <w:noWrap/>
            <w:hideMark/>
          </w:tcPr>
          <w:p w:rsidRPr="00A325F7" w:rsidR="00511E87" w:rsidP="00B85722" w:rsidRDefault="00511E87" w14:paraId="49957787" w14:textId="77777777">
            <w:pPr>
              <w:ind w:firstLine="200" w:firstLineChars="100"/>
              <w:rPr>
                <w:rFonts w:ascii="Arial" w:hAnsi="Arial" w:eastAsia="Times New Roman" w:cs="Arial"/>
                <w:sz w:val="20"/>
                <w:szCs w:val="20"/>
              </w:rPr>
            </w:pPr>
            <w:r w:rsidRPr="00A325F7">
              <w:rPr>
                <w:rFonts w:ascii="Arial" w:hAnsi="Arial"/>
                <w:sz w:val="20"/>
              </w:rPr>
              <w:t>g. Hongkongdollar (HKD)</w:t>
            </w:r>
          </w:p>
        </w:tc>
        <w:tc>
          <w:tcPr>
            <w:tcW w:w="2745" w:type="dxa"/>
            <w:tcBorders>
              <w:left w:val="nil"/>
              <w:right w:val="nil"/>
            </w:tcBorders>
            <w:noWrap/>
            <w:hideMark/>
          </w:tcPr>
          <w:p w:rsidRPr="00A325F7" w:rsidR="00511E87" w:rsidP="00B85722" w:rsidRDefault="00511E87" w14:paraId="061743B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5F82A6D" w14:textId="77777777">
        <w:trPr>
          <w:trHeight w:val="300"/>
        </w:trPr>
        <w:tc>
          <w:tcPr>
            <w:tcW w:w="6804" w:type="dxa"/>
            <w:tcBorders>
              <w:left w:val="nil"/>
              <w:right w:val="nil"/>
            </w:tcBorders>
            <w:noWrap/>
            <w:hideMark/>
          </w:tcPr>
          <w:p w:rsidRPr="00A325F7" w:rsidR="00511E87" w:rsidP="00B85722" w:rsidRDefault="00511E87" w14:paraId="0F2B1D09" w14:textId="77777777">
            <w:pPr>
              <w:ind w:firstLine="200" w:firstLineChars="100"/>
              <w:rPr>
                <w:rFonts w:ascii="Arial" w:hAnsi="Arial" w:eastAsia="Times New Roman" w:cs="Arial"/>
                <w:sz w:val="20"/>
                <w:szCs w:val="20"/>
              </w:rPr>
            </w:pPr>
            <w:r w:rsidRPr="00A325F7">
              <w:rPr>
                <w:rFonts w:ascii="Arial" w:hAnsi="Arial"/>
                <w:sz w:val="20"/>
              </w:rPr>
              <w:t>h. Indiase roepie (INR)</w:t>
            </w:r>
          </w:p>
        </w:tc>
        <w:tc>
          <w:tcPr>
            <w:tcW w:w="2745" w:type="dxa"/>
            <w:tcBorders>
              <w:left w:val="nil"/>
              <w:right w:val="nil"/>
            </w:tcBorders>
            <w:noWrap/>
            <w:hideMark/>
          </w:tcPr>
          <w:p w:rsidRPr="00A325F7" w:rsidR="00511E87" w:rsidP="00B85722" w:rsidRDefault="00511E87" w14:paraId="04059A2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E950B7A" w14:textId="77777777">
        <w:trPr>
          <w:trHeight w:val="300"/>
        </w:trPr>
        <w:tc>
          <w:tcPr>
            <w:tcW w:w="6804" w:type="dxa"/>
            <w:tcBorders>
              <w:left w:val="nil"/>
              <w:right w:val="nil"/>
            </w:tcBorders>
            <w:noWrap/>
            <w:hideMark/>
          </w:tcPr>
          <w:p w:rsidRPr="00A325F7" w:rsidR="00511E87" w:rsidP="00B85722" w:rsidRDefault="00511E87" w14:paraId="7C808A62" w14:textId="77777777">
            <w:pPr>
              <w:ind w:firstLine="200" w:firstLineChars="100"/>
              <w:rPr>
                <w:rFonts w:ascii="Arial" w:hAnsi="Arial" w:eastAsia="Times New Roman" w:cs="Arial"/>
                <w:sz w:val="20"/>
                <w:szCs w:val="20"/>
              </w:rPr>
            </w:pPr>
            <w:r w:rsidRPr="00A325F7">
              <w:rPr>
                <w:rFonts w:ascii="Arial" w:hAnsi="Arial"/>
                <w:sz w:val="20"/>
              </w:rPr>
              <w:t>i. Japanse yen (JPY)</w:t>
            </w:r>
          </w:p>
        </w:tc>
        <w:tc>
          <w:tcPr>
            <w:tcW w:w="2745" w:type="dxa"/>
            <w:tcBorders>
              <w:left w:val="nil"/>
              <w:right w:val="nil"/>
            </w:tcBorders>
            <w:noWrap/>
            <w:hideMark/>
          </w:tcPr>
          <w:p w:rsidRPr="00A325F7" w:rsidR="00511E87" w:rsidP="00B85722" w:rsidRDefault="00511E87" w14:paraId="6A49DC4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E0491BE" w14:textId="77777777">
        <w:trPr>
          <w:trHeight w:val="300"/>
        </w:trPr>
        <w:tc>
          <w:tcPr>
            <w:tcW w:w="6804" w:type="dxa"/>
            <w:tcBorders>
              <w:left w:val="nil"/>
              <w:right w:val="nil"/>
            </w:tcBorders>
            <w:noWrap/>
            <w:hideMark/>
          </w:tcPr>
          <w:p w:rsidRPr="00A325F7" w:rsidR="00511E87" w:rsidP="00B85722" w:rsidRDefault="00511E87" w14:paraId="26E6262E" w14:textId="77777777">
            <w:pPr>
              <w:ind w:firstLine="200" w:firstLineChars="100"/>
              <w:rPr>
                <w:rFonts w:ascii="Arial" w:hAnsi="Arial" w:eastAsia="Times New Roman" w:cs="Arial"/>
                <w:sz w:val="20"/>
                <w:szCs w:val="20"/>
              </w:rPr>
            </w:pPr>
            <w:r w:rsidRPr="00A325F7">
              <w:rPr>
                <w:rFonts w:ascii="Arial" w:hAnsi="Arial"/>
                <w:sz w:val="20"/>
              </w:rPr>
              <w:t>j. Nieuw-Zeelandse dollar (NZD)</w:t>
            </w:r>
          </w:p>
        </w:tc>
        <w:tc>
          <w:tcPr>
            <w:tcW w:w="2745" w:type="dxa"/>
            <w:tcBorders>
              <w:left w:val="nil"/>
              <w:right w:val="nil"/>
            </w:tcBorders>
            <w:noWrap/>
            <w:hideMark/>
          </w:tcPr>
          <w:p w:rsidRPr="00A325F7" w:rsidR="00511E87" w:rsidP="00B85722" w:rsidRDefault="00511E87" w14:paraId="66538AE6"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66446B2" w14:textId="77777777">
        <w:trPr>
          <w:trHeight w:val="300"/>
        </w:trPr>
        <w:tc>
          <w:tcPr>
            <w:tcW w:w="6804" w:type="dxa"/>
            <w:tcBorders>
              <w:left w:val="nil"/>
              <w:right w:val="nil"/>
            </w:tcBorders>
            <w:noWrap/>
            <w:hideMark/>
          </w:tcPr>
          <w:p w:rsidRPr="00A325F7" w:rsidR="00511E87" w:rsidP="00B85722" w:rsidRDefault="00511E87" w14:paraId="0057E6FE" w14:textId="77777777">
            <w:pPr>
              <w:ind w:firstLine="200" w:firstLineChars="100"/>
              <w:rPr>
                <w:rFonts w:ascii="Arial" w:hAnsi="Arial" w:eastAsia="Times New Roman" w:cs="Arial"/>
                <w:sz w:val="20"/>
                <w:szCs w:val="20"/>
              </w:rPr>
            </w:pPr>
            <w:r w:rsidRPr="00A325F7">
              <w:rPr>
                <w:rFonts w:ascii="Arial" w:hAnsi="Arial"/>
                <w:sz w:val="20"/>
              </w:rPr>
              <w:t>k. Zweedse kroon (SEK)</w:t>
            </w:r>
          </w:p>
        </w:tc>
        <w:tc>
          <w:tcPr>
            <w:tcW w:w="2745" w:type="dxa"/>
            <w:tcBorders>
              <w:left w:val="nil"/>
              <w:right w:val="nil"/>
            </w:tcBorders>
            <w:noWrap/>
            <w:hideMark/>
          </w:tcPr>
          <w:p w:rsidRPr="00A325F7" w:rsidR="00511E87" w:rsidP="00B85722" w:rsidRDefault="00511E87" w14:paraId="47453DE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420C6AC" w14:textId="77777777">
        <w:trPr>
          <w:trHeight w:val="300"/>
        </w:trPr>
        <w:tc>
          <w:tcPr>
            <w:tcW w:w="6804" w:type="dxa"/>
            <w:tcBorders>
              <w:left w:val="nil"/>
              <w:right w:val="nil"/>
            </w:tcBorders>
            <w:noWrap/>
            <w:hideMark/>
          </w:tcPr>
          <w:p w:rsidRPr="00A325F7" w:rsidR="00511E87" w:rsidP="00B85722" w:rsidRDefault="00511E87" w14:paraId="0FF8EDFD" w14:textId="77777777">
            <w:pPr>
              <w:ind w:firstLine="200" w:firstLineChars="100"/>
              <w:rPr>
                <w:rFonts w:ascii="Arial" w:hAnsi="Arial" w:eastAsia="Times New Roman" w:cs="Arial"/>
                <w:sz w:val="20"/>
                <w:szCs w:val="20"/>
              </w:rPr>
            </w:pPr>
            <w:r w:rsidRPr="00A325F7">
              <w:rPr>
                <w:rFonts w:ascii="Arial" w:hAnsi="Arial"/>
                <w:sz w:val="20"/>
              </w:rPr>
              <w:t>l. US-dollar (USD)</w:t>
            </w:r>
          </w:p>
        </w:tc>
        <w:tc>
          <w:tcPr>
            <w:tcW w:w="2745" w:type="dxa"/>
            <w:tcBorders>
              <w:left w:val="nil"/>
              <w:right w:val="nil"/>
            </w:tcBorders>
            <w:noWrap/>
            <w:hideMark/>
          </w:tcPr>
          <w:p w:rsidRPr="00A325F7" w:rsidR="00511E87" w:rsidP="00B85722" w:rsidRDefault="00511E87" w14:paraId="5BCEB5C9"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0524F92" w14:textId="77777777">
        <w:trPr>
          <w:trHeight w:val="300"/>
        </w:trPr>
        <w:tc>
          <w:tcPr>
            <w:tcW w:w="6804" w:type="dxa"/>
            <w:tcBorders>
              <w:left w:val="nil"/>
              <w:bottom w:val="single" w:color="auto" w:sz="4" w:space="0"/>
              <w:right w:val="nil"/>
            </w:tcBorders>
            <w:noWrap/>
            <w:hideMark/>
          </w:tcPr>
          <w:p w:rsidRPr="00A325F7" w:rsidR="00511E87" w:rsidP="00B85722" w:rsidRDefault="00511E87" w14:paraId="1872887B" w14:textId="77777777">
            <w:pPr>
              <w:ind w:firstLine="200" w:firstLineChars="100"/>
              <w:rPr>
                <w:rFonts w:ascii="Arial" w:hAnsi="Arial" w:eastAsia="Times New Roman" w:cs="Arial"/>
                <w:sz w:val="20"/>
                <w:szCs w:val="20"/>
              </w:rPr>
            </w:pPr>
            <w:r w:rsidRPr="00A325F7">
              <w:rPr>
                <w:rFonts w:ascii="Arial" w:hAnsi="Arial"/>
                <w:sz w:val="20"/>
              </w:rPr>
              <w:t>m. Indicator voor activiteit betalingen (som van de posten 6.a tot en met 6.l)</w:t>
            </w:r>
          </w:p>
        </w:tc>
        <w:tc>
          <w:tcPr>
            <w:tcW w:w="2745" w:type="dxa"/>
            <w:tcBorders>
              <w:left w:val="nil"/>
              <w:bottom w:val="single" w:color="auto" w:sz="4" w:space="0"/>
              <w:right w:val="nil"/>
            </w:tcBorders>
            <w:noWrap/>
            <w:hideMark/>
          </w:tcPr>
          <w:p w:rsidRPr="00A325F7" w:rsidR="00511E87" w:rsidP="00B85722" w:rsidRDefault="00511E87" w14:paraId="7CEAA1E9" w14:textId="77777777">
            <w:pPr>
              <w:jc w:val="right"/>
              <w:rPr>
                <w:rFonts w:ascii="Arial" w:hAnsi="Arial" w:eastAsia="Times New Roman" w:cs="Arial"/>
                <w:sz w:val="20"/>
                <w:szCs w:val="20"/>
              </w:rPr>
            </w:pPr>
            <w:r w:rsidRPr="00A325F7">
              <w:rPr>
                <w:rFonts w:ascii="Arial" w:hAnsi="Arial"/>
                <w:sz w:val="20"/>
              </w:rPr>
              <w:t xml:space="preserve"> </w:t>
            </w:r>
          </w:p>
        </w:tc>
      </w:tr>
      <w:tr w:rsidRPr="00A325F7" w:rsidR="00511E87" w:rsidTr="00B85722" w14:paraId="4E76B309" w14:textId="77777777">
        <w:trPr>
          <w:trHeight w:val="300"/>
        </w:trPr>
        <w:tc>
          <w:tcPr>
            <w:tcW w:w="6804" w:type="dxa"/>
            <w:tcBorders>
              <w:left w:val="nil"/>
              <w:bottom w:val="nil"/>
              <w:right w:val="nil"/>
            </w:tcBorders>
            <w:noWrap/>
          </w:tcPr>
          <w:p w:rsidRPr="00A325F7" w:rsidR="00511E87" w:rsidP="00B85722" w:rsidRDefault="00511E87" w14:paraId="00C36B7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63FF268C" w14:textId="77777777">
            <w:pPr>
              <w:jc w:val="center"/>
              <w:rPr>
                <w:rFonts w:ascii="Arial" w:hAnsi="Arial" w:eastAsia="Times New Roman" w:cs="Arial"/>
                <w:b/>
                <w:bCs/>
                <w:sz w:val="20"/>
                <w:szCs w:val="20"/>
                <w:lang w:eastAsia="en-GB"/>
              </w:rPr>
            </w:pPr>
          </w:p>
        </w:tc>
      </w:tr>
      <w:tr w:rsidRPr="00A325F7" w:rsidR="00511E87" w:rsidTr="00B85722" w14:paraId="4234D692"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3ABF2DF9" w14:textId="77777777">
            <w:pPr>
              <w:rPr>
                <w:rFonts w:ascii="Arial" w:hAnsi="Arial" w:eastAsia="Times New Roman" w:cs="Arial"/>
                <w:b/>
                <w:bCs/>
                <w:sz w:val="20"/>
                <w:szCs w:val="20"/>
              </w:rPr>
            </w:pPr>
            <w:r w:rsidRPr="00A325F7">
              <w:rPr>
                <w:rFonts w:ascii="Arial" w:hAnsi="Arial"/>
                <w:b/>
                <w:sz w:val="20"/>
              </w:rPr>
              <w:t>Afdeling 7 – In bewaring genomen activa</w:t>
            </w:r>
          </w:p>
        </w:tc>
        <w:tc>
          <w:tcPr>
            <w:tcW w:w="2745" w:type="dxa"/>
            <w:tcBorders>
              <w:top w:val="nil"/>
              <w:left w:val="nil"/>
              <w:bottom w:val="single" w:color="auto" w:sz="4" w:space="0"/>
              <w:right w:val="nil"/>
            </w:tcBorders>
            <w:hideMark/>
          </w:tcPr>
          <w:p w:rsidRPr="00A325F7" w:rsidR="00511E87" w:rsidP="00B85722" w:rsidRDefault="00511E87" w14:paraId="53536ACB"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7962FA15" w14:textId="77777777">
        <w:trPr>
          <w:trHeight w:val="300"/>
        </w:trPr>
        <w:tc>
          <w:tcPr>
            <w:tcW w:w="6804" w:type="dxa"/>
            <w:tcBorders>
              <w:left w:val="nil"/>
              <w:bottom w:val="single" w:color="auto" w:sz="4" w:space="0"/>
              <w:right w:val="nil"/>
            </w:tcBorders>
            <w:noWrap/>
            <w:hideMark/>
          </w:tcPr>
          <w:p w:rsidRPr="00A325F7" w:rsidR="00511E87" w:rsidP="00B85722" w:rsidRDefault="00511E87" w14:paraId="00187D4E" w14:textId="77777777">
            <w:pPr>
              <w:ind w:firstLine="200" w:firstLineChars="100"/>
              <w:rPr>
                <w:rFonts w:ascii="Arial" w:hAnsi="Arial" w:eastAsia="Times New Roman" w:cs="Arial"/>
                <w:sz w:val="20"/>
                <w:szCs w:val="20"/>
              </w:rPr>
            </w:pPr>
            <w:r w:rsidRPr="00A325F7">
              <w:rPr>
                <w:rFonts w:ascii="Arial" w:hAnsi="Arial"/>
                <w:sz w:val="20"/>
              </w:rPr>
              <w:t>a. Indicator voor in bewaring genomen activa</w:t>
            </w:r>
          </w:p>
        </w:tc>
        <w:tc>
          <w:tcPr>
            <w:tcW w:w="2745" w:type="dxa"/>
            <w:tcBorders>
              <w:left w:val="nil"/>
              <w:bottom w:val="single" w:color="auto" w:sz="4" w:space="0"/>
              <w:right w:val="nil"/>
            </w:tcBorders>
            <w:noWrap/>
            <w:hideMark/>
          </w:tcPr>
          <w:p w:rsidRPr="00A325F7" w:rsidR="00511E87" w:rsidP="00B85722" w:rsidRDefault="00511E87" w14:paraId="468BB9C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C5AACC2" w14:textId="77777777">
        <w:trPr>
          <w:trHeight w:val="300"/>
        </w:trPr>
        <w:tc>
          <w:tcPr>
            <w:tcW w:w="6804" w:type="dxa"/>
            <w:tcBorders>
              <w:left w:val="nil"/>
              <w:bottom w:val="nil"/>
              <w:right w:val="nil"/>
            </w:tcBorders>
            <w:noWrap/>
          </w:tcPr>
          <w:p w:rsidRPr="00A325F7" w:rsidR="00511E87" w:rsidP="00B85722" w:rsidRDefault="00511E87" w14:paraId="6520E998"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A325F7" w:rsidR="00511E87" w:rsidP="00B85722" w:rsidRDefault="00511E87" w14:paraId="3AAE50B3" w14:textId="77777777">
            <w:pPr>
              <w:jc w:val="center"/>
              <w:rPr>
                <w:rFonts w:ascii="Arial" w:hAnsi="Arial" w:eastAsia="Times New Roman" w:cs="Arial"/>
                <w:b/>
                <w:bCs/>
                <w:sz w:val="20"/>
                <w:szCs w:val="20"/>
                <w:lang w:eastAsia="en-GB"/>
              </w:rPr>
            </w:pPr>
          </w:p>
        </w:tc>
      </w:tr>
      <w:tr w:rsidRPr="00A325F7" w:rsidR="00511E87" w:rsidTr="00B85722" w14:paraId="05630058" w14:textId="77777777">
        <w:trPr>
          <w:trHeight w:val="300"/>
        </w:trPr>
        <w:tc>
          <w:tcPr>
            <w:tcW w:w="6804" w:type="dxa"/>
            <w:tcBorders>
              <w:top w:val="nil"/>
              <w:left w:val="nil"/>
              <w:bottom w:val="single" w:color="auto" w:sz="4" w:space="0"/>
              <w:right w:val="nil"/>
            </w:tcBorders>
            <w:noWrap/>
          </w:tcPr>
          <w:p w:rsidRPr="00A325F7" w:rsidR="00511E87" w:rsidP="00B85722" w:rsidRDefault="00511E87" w14:paraId="4DA25E20" w14:textId="77777777">
            <w:pPr>
              <w:rPr>
                <w:rFonts w:ascii="Arial" w:hAnsi="Arial" w:eastAsia="Times New Roman" w:cs="Arial"/>
                <w:sz w:val="20"/>
                <w:szCs w:val="20"/>
              </w:rPr>
            </w:pPr>
            <w:r w:rsidRPr="00A325F7">
              <w:rPr>
                <w:rFonts w:ascii="Arial" w:hAnsi="Arial"/>
                <w:b/>
                <w:sz w:val="20"/>
              </w:rPr>
              <w:t>Afdeling 8 – Overnemingstransacties op de markten voor vreemd en eigen vermogen</w:t>
            </w:r>
          </w:p>
        </w:tc>
        <w:tc>
          <w:tcPr>
            <w:tcW w:w="2745" w:type="dxa"/>
            <w:tcBorders>
              <w:top w:val="nil"/>
              <w:left w:val="nil"/>
              <w:bottom w:val="single" w:color="auto" w:sz="4" w:space="0"/>
              <w:right w:val="nil"/>
            </w:tcBorders>
            <w:noWrap/>
          </w:tcPr>
          <w:p w:rsidRPr="00A325F7" w:rsidR="00511E87" w:rsidP="00B85722" w:rsidRDefault="00511E87" w14:paraId="6901CEAF"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030C78B9" w14:textId="77777777">
        <w:trPr>
          <w:trHeight w:val="300"/>
        </w:trPr>
        <w:tc>
          <w:tcPr>
            <w:tcW w:w="6804" w:type="dxa"/>
            <w:tcBorders>
              <w:left w:val="nil"/>
              <w:right w:val="nil"/>
            </w:tcBorders>
            <w:noWrap/>
            <w:hideMark/>
          </w:tcPr>
          <w:p w:rsidRPr="00A325F7" w:rsidR="00511E87" w:rsidP="00B85722" w:rsidRDefault="00511E87" w14:paraId="4210F19B" w14:textId="77777777">
            <w:pPr>
              <w:ind w:firstLine="200" w:firstLineChars="100"/>
              <w:rPr>
                <w:rFonts w:ascii="Arial" w:hAnsi="Arial" w:eastAsia="Times New Roman" w:cs="Arial"/>
                <w:sz w:val="20"/>
                <w:szCs w:val="20"/>
              </w:rPr>
            </w:pPr>
            <w:r w:rsidRPr="00A325F7">
              <w:rPr>
                <w:rFonts w:ascii="Arial" w:hAnsi="Arial"/>
                <w:sz w:val="20"/>
              </w:rPr>
              <w:t>a. Activiteit overnemen eigen vermogen</w:t>
            </w:r>
          </w:p>
        </w:tc>
        <w:tc>
          <w:tcPr>
            <w:tcW w:w="2745" w:type="dxa"/>
            <w:tcBorders>
              <w:left w:val="nil"/>
              <w:right w:val="nil"/>
            </w:tcBorders>
            <w:noWrap/>
            <w:hideMark/>
          </w:tcPr>
          <w:p w:rsidRPr="00A325F7" w:rsidR="00511E87" w:rsidP="00B85722" w:rsidRDefault="00511E87" w14:paraId="1F11A5A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B01B9DD" w14:textId="77777777">
        <w:trPr>
          <w:trHeight w:val="300"/>
        </w:trPr>
        <w:tc>
          <w:tcPr>
            <w:tcW w:w="6804" w:type="dxa"/>
            <w:tcBorders>
              <w:left w:val="nil"/>
              <w:right w:val="nil"/>
            </w:tcBorders>
            <w:noWrap/>
            <w:hideMark/>
          </w:tcPr>
          <w:p w:rsidRPr="00A325F7" w:rsidR="00511E87" w:rsidP="00B85722" w:rsidRDefault="00511E87" w14:paraId="107FF327" w14:textId="77777777">
            <w:pPr>
              <w:ind w:firstLine="200" w:firstLineChars="100"/>
              <w:rPr>
                <w:rFonts w:ascii="Arial" w:hAnsi="Arial" w:eastAsia="Times New Roman" w:cs="Arial"/>
                <w:sz w:val="20"/>
                <w:szCs w:val="20"/>
              </w:rPr>
            </w:pPr>
            <w:r w:rsidRPr="00A325F7">
              <w:rPr>
                <w:rFonts w:ascii="Arial" w:hAnsi="Arial"/>
                <w:sz w:val="20"/>
              </w:rPr>
              <w:t>b. Activiteit overnemen vreemd vermogen</w:t>
            </w:r>
          </w:p>
        </w:tc>
        <w:tc>
          <w:tcPr>
            <w:tcW w:w="2745" w:type="dxa"/>
            <w:tcBorders>
              <w:left w:val="nil"/>
              <w:right w:val="nil"/>
            </w:tcBorders>
            <w:noWrap/>
            <w:hideMark/>
          </w:tcPr>
          <w:p w:rsidRPr="00A325F7" w:rsidR="00511E87" w:rsidP="00B85722" w:rsidRDefault="00511E87" w14:paraId="179FDD83"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C50B508" w14:textId="77777777">
        <w:trPr>
          <w:trHeight w:val="300"/>
        </w:trPr>
        <w:tc>
          <w:tcPr>
            <w:tcW w:w="6804" w:type="dxa"/>
            <w:tcBorders>
              <w:left w:val="nil"/>
              <w:bottom w:val="single" w:color="auto" w:sz="4" w:space="0"/>
              <w:right w:val="nil"/>
            </w:tcBorders>
            <w:noWrap/>
            <w:hideMark/>
          </w:tcPr>
          <w:p w:rsidRPr="00A325F7" w:rsidR="00511E87" w:rsidP="00B85722" w:rsidRDefault="00511E87" w14:paraId="3C4433DE" w14:textId="77777777">
            <w:pPr>
              <w:ind w:firstLine="200" w:firstLineChars="100"/>
              <w:rPr>
                <w:rFonts w:ascii="Arial" w:hAnsi="Arial" w:eastAsia="Times New Roman" w:cs="Arial"/>
                <w:sz w:val="20"/>
                <w:szCs w:val="20"/>
              </w:rPr>
            </w:pPr>
            <w:r w:rsidRPr="00A325F7">
              <w:rPr>
                <w:rFonts w:ascii="Arial" w:hAnsi="Arial"/>
                <w:sz w:val="20"/>
              </w:rPr>
              <w:t>c. Indicator voor activiteit overnemen (som van de posten 8.a en 8.b)</w:t>
            </w:r>
          </w:p>
        </w:tc>
        <w:tc>
          <w:tcPr>
            <w:tcW w:w="2745" w:type="dxa"/>
            <w:tcBorders>
              <w:left w:val="nil"/>
              <w:bottom w:val="single" w:color="auto" w:sz="4" w:space="0"/>
              <w:right w:val="nil"/>
            </w:tcBorders>
            <w:noWrap/>
            <w:hideMark/>
          </w:tcPr>
          <w:p w:rsidRPr="00A325F7" w:rsidR="00511E87" w:rsidP="00B85722" w:rsidRDefault="00511E87" w14:paraId="1F86AAB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7FF19893" w14:textId="77777777">
        <w:trPr>
          <w:trHeight w:val="300"/>
        </w:trPr>
        <w:tc>
          <w:tcPr>
            <w:tcW w:w="6804" w:type="dxa"/>
            <w:tcBorders>
              <w:left w:val="nil"/>
              <w:bottom w:val="nil"/>
              <w:right w:val="nil"/>
            </w:tcBorders>
            <w:noWrap/>
          </w:tcPr>
          <w:p w:rsidRPr="00A325F7" w:rsidR="00511E87" w:rsidP="00B85722" w:rsidRDefault="00511E87" w14:paraId="0F3DB95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4DFD0D3C" w14:textId="77777777">
            <w:pPr>
              <w:jc w:val="center"/>
              <w:rPr>
                <w:rFonts w:ascii="Arial" w:hAnsi="Arial" w:eastAsia="Times New Roman" w:cs="Arial"/>
                <w:b/>
                <w:bCs/>
                <w:sz w:val="20"/>
                <w:szCs w:val="20"/>
                <w:lang w:eastAsia="en-GB"/>
              </w:rPr>
            </w:pPr>
          </w:p>
        </w:tc>
      </w:tr>
      <w:tr w:rsidRPr="00A325F7" w:rsidR="00511E87" w:rsidTr="00B85722" w14:paraId="46D69C5A" w14:textId="77777777">
        <w:trPr>
          <w:trHeight w:val="300"/>
        </w:trPr>
        <w:tc>
          <w:tcPr>
            <w:tcW w:w="6804" w:type="dxa"/>
            <w:tcBorders>
              <w:top w:val="nil"/>
              <w:left w:val="nil"/>
              <w:right w:val="nil"/>
            </w:tcBorders>
            <w:noWrap/>
            <w:hideMark/>
          </w:tcPr>
          <w:p w:rsidRPr="00A325F7" w:rsidR="00511E87" w:rsidP="00B85722" w:rsidRDefault="00511E87" w14:paraId="7277412D" w14:textId="77777777">
            <w:pPr>
              <w:rPr>
                <w:rFonts w:ascii="Arial" w:hAnsi="Arial" w:eastAsia="Times New Roman" w:cs="Arial"/>
                <w:b/>
                <w:bCs/>
                <w:sz w:val="20"/>
                <w:szCs w:val="20"/>
              </w:rPr>
            </w:pPr>
            <w:r w:rsidRPr="00A325F7">
              <w:rPr>
                <w:rFonts w:ascii="Arial" w:hAnsi="Arial"/>
                <w:b/>
                <w:sz w:val="20"/>
              </w:rPr>
              <w:t>Afdeling 9 – Handelsvolume</w:t>
            </w:r>
          </w:p>
        </w:tc>
        <w:tc>
          <w:tcPr>
            <w:tcW w:w="2745" w:type="dxa"/>
            <w:tcBorders>
              <w:top w:val="nil"/>
              <w:left w:val="nil"/>
              <w:right w:val="nil"/>
            </w:tcBorders>
            <w:hideMark/>
          </w:tcPr>
          <w:p w:rsidRPr="00A325F7" w:rsidR="00511E87" w:rsidP="00B85722" w:rsidRDefault="00511E87" w14:paraId="640C4C43"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728178BC" w14:textId="77777777">
        <w:trPr>
          <w:trHeight w:val="300"/>
        </w:trPr>
        <w:tc>
          <w:tcPr>
            <w:tcW w:w="6804" w:type="dxa"/>
            <w:tcBorders>
              <w:left w:val="nil"/>
              <w:right w:val="nil"/>
            </w:tcBorders>
            <w:noWrap/>
          </w:tcPr>
          <w:p w:rsidRPr="00A325F7" w:rsidR="00511E87" w:rsidP="00B85722" w:rsidRDefault="00511E87" w14:paraId="323905C2" w14:textId="77777777">
            <w:pPr>
              <w:ind w:left="171" w:firstLine="28" w:firstLineChars="14"/>
              <w:rPr>
                <w:rFonts w:ascii="Arial" w:hAnsi="Arial" w:eastAsia="Times New Roman" w:cs="Arial"/>
                <w:sz w:val="20"/>
                <w:szCs w:val="20"/>
              </w:rPr>
            </w:pPr>
            <w:r w:rsidRPr="00A325F7">
              <w:rPr>
                <w:rFonts w:ascii="Arial" w:hAnsi="Arial"/>
                <w:sz w:val="20"/>
              </w:rPr>
              <w:t>a. Handelsvolume van effecten die zijn uitgegeven door andere entiteiten uit de publieke sector, exclusief intragroepstransacties</w:t>
            </w:r>
          </w:p>
        </w:tc>
        <w:tc>
          <w:tcPr>
            <w:tcW w:w="2745" w:type="dxa"/>
            <w:tcBorders>
              <w:left w:val="nil"/>
              <w:right w:val="nil"/>
            </w:tcBorders>
            <w:noWrap/>
          </w:tcPr>
          <w:p w:rsidRPr="00A325F7" w:rsidR="00511E87" w:rsidP="00B85722" w:rsidRDefault="00511E87" w14:paraId="509EADE1" w14:textId="77777777">
            <w:pPr>
              <w:jc w:val="right"/>
              <w:rPr>
                <w:rFonts w:ascii="Arial" w:hAnsi="Arial" w:eastAsia="Times New Roman" w:cs="Arial"/>
                <w:sz w:val="20"/>
                <w:szCs w:val="20"/>
                <w:lang w:eastAsia="en-GB"/>
              </w:rPr>
            </w:pPr>
          </w:p>
        </w:tc>
      </w:tr>
      <w:tr w:rsidRPr="00A325F7" w:rsidR="00511E87" w:rsidTr="00B85722" w14:paraId="654E06C2" w14:textId="77777777">
        <w:trPr>
          <w:trHeight w:val="300"/>
        </w:trPr>
        <w:tc>
          <w:tcPr>
            <w:tcW w:w="6804" w:type="dxa"/>
            <w:tcBorders>
              <w:left w:val="nil"/>
              <w:bottom w:val="single" w:color="auto" w:sz="4" w:space="0"/>
              <w:right w:val="nil"/>
            </w:tcBorders>
            <w:noWrap/>
            <w:hideMark/>
          </w:tcPr>
          <w:p w:rsidRPr="00A325F7" w:rsidR="00511E87" w:rsidP="00B85722" w:rsidRDefault="00511E87" w14:paraId="6C01C8FE" w14:textId="77777777">
            <w:pPr>
              <w:ind w:left="171" w:firstLine="28" w:firstLineChars="14"/>
              <w:rPr>
                <w:rFonts w:ascii="Arial" w:hAnsi="Arial" w:eastAsia="Times New Roman" w:cs="Arial"/>
                <w:sz w:val="20"/>
                <w:szCs w:val="20"/>
              </w:rPr>
            </w:pPr>
            <w:r w:rsidRPr="00A325F7">
              <w:rPr>
                <w:rFonts w:ascii="Arial" w:hAnsi="Arial"/>
                <w:sz w:val="20"/>
              </w:rPr>
              <w:t>b. Handelsvolume van andere vastrentende waardepapieren, exclusief intragroepstransacties</w:t>
            </w:r>
          </w:p>
        </w:tc>
        <w:tc>
          <w:tcPr>
            <w:tcW w:w="2745" w:type="dxa"/>
            <w:tcBorders>
              <w:left w:val="nil"/>
              <w:right w:val="nil"/>
            </w:tcBorders>
            <w:noWrap/>
            <w:hideMark/>
          </w:tcPr>
          <w:p w:rsidRPr="00A325F7" w:rsidR="00511E87" w:rsidP="00B85722" w:rsidRDefault="00511E87" w14:paraId="1B88AC7D"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31A6F6E" w14:textId="77777777">
        <w:trPr>
          <w:gridAfter w:val="1"/>
          <w:wAfter w:w="2745" w:type="dxa"/>
          <w:trHeight w:val="300"/>
        </w:trPr>
        <w:tc>
          <w:tcPr>
            <w:tcW w:w="6804" w:type="dxa"/>
            <w:tcBorders>
              <w:left w:val="nil"/>
              <w:bottom w:val="single" w:color="auto" w:sz="4" w:space="0"/>
              <w:right w:val="nil"/>
            </w:tcBorders>
            <w:noWrap/>
            <w:hideMark/>
          </w:tcPr>
          <w:p w:rsidRPr="00A325F7" w:rsidR="00511E87" w:rsidP="00B85722" w:rsidRDefault="00511E87" w14:paraId="7D662806" w14:textId="77777777">
            <w:pPr>
              <w:ind w:firstLine="200" w:firstLineChars="100"/>
              <w:rPr>
                <w:rFonts w:ascii="Arial" w:hAnsi="Arial" w:eastAsia="Times New Roman" w:cs="Arial"/>
                <w:sz w:val="20"/>
                <w:szCs w:val="20"/>
              </w:rPr>
            </w:pPr>
            <w:r w:rsidRPr="00A325F7">
              <w:rPr>
                <w:rFonts w:ascii="Arial" w:hAnsi="Arial"/>
                <w:sz w:val="20"/>
              </w:rPr>
              <w:t>c. Subindicator voor handelsvolume met vaste opbrengst (som van de posten 9.a en 9.b)</w:t>
            </w:r>
          </w:p>
        </w:tc>
      </w:tr>
      <w:tr w:rsidRPr="00A325F7" w:rsidR="00511E87" w:rsidTr="00B85722" w14:paraId="4B26C03E" w14:textId="77777777">
        <w:trPr>
          <w:trHeight w:val="300"/>
        </w:trPr>
        <w:tc>
          <w:tcPr>
            <w:tcW w:w="6804" w:type="dxa"/>
            <w:tcBorders>
              <w:left w:val="nil"/>
              <w:right w:val="nil"/>
            </w:tcBorders>
            <w:noWrap/>
            <w:hideMark/>
          </w:tcPr>
          <w:p w:rsidRPr="00A325F7" w:rsidR="00511E87" w:rsidP="00B85722" w:rsidRDefault="00511E87" w14:paraId="3831B58A" w14:textId="77777777">
            <w:pPr>
              <w:ind w:firstLine="200" w:firstLineChars="100"/>
              <w:rPr>
                <w:rFonts w:ascii="Arial" w:hAnsi="Arial" w:eastAsia="Times New Roman" w:cs="Arial"/>
                <w:sz w:val="20"/>
                <w:szCs w:val="20"/>
              </w:rPr>
            </w:pPr>
            <w:r w:rsidRPr="00A325F7">
              <w:rPr>
                <w:rFonts w:ascii="Arial" w:hAnsi="Arial"/>
                <w:sz w:val="20"/>
              </w:rPr>
              <w:t>d. Handelsvolume van beursgenoteerde aandelen, exclusief intragroepstransacties</w:t>
            </w:r>
          </w:p>
        </w:tc>
        <w:tc>
          <w:tcPr>
            <w:tcW w:w="2745" w:type="dxa"/>
            <w:tcBorders>
              <w:left w:val="nil"/>
              <w:right w:val="nil"/>
            </w:tcBorders>
            <w:noWrap/>
            <w:hideMark/>
          </w:tcPr>
          <w:p w:rsidRPr="00A325F7" w:rsidR="00511E87" w:rsidP="00B85722" w:rsidRDefault="00511E87" w14:paraId="660E3C2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78A34E3" w14:textId="77777777">
        <w:trPr>
          <w:trHeight w:val="300"/>
        </w:trPr>
        <w:tc>
          <w:tcPr>
            <w:tcW w:w="6804" w:type="dxa"/>
            <w:tcBorders>
              <w:left w:val="nil"/>
              <w:bottom w:val="single" w:color="auto" w:sz="4" w:space="0"/>
              <w:right w:val="nil"/>
            </w:tcBorders>
            <w:noWrap/>
            <w:hideMark/>
          </w:tcPr>
          <w:p w:rsidRPr="00A325F7" w:rsidR="00511E87" w:rsidP="00B85722" w:rsidRDefault="00511E87" w14:paraId="28A9F213" w14:textId="77777777">
            <w:pPr>
              <w:ind w:left="171"/>
              <w:rPr>
                <w:rFonts w:ascii="Arial" w:hAnsi="Arial" w:eastAsia="Times New Roman" w:cs="Arial"/>
                <w:sz w:val="20"/>
                <w:szCs w:val="20"/>
              </w:rPr>
            </w:pPr>
            <w:r w:rsidRPr="00A325F7">
              <w:rPr>
                <w:rFonts w:ascii="Arial" w:hAnsi="Arial"/>
                <w:sz w:val="20"/>
              </w:rPr>
              <w:t>e. Handelsvolume van alle overige effecten, exclusief intragroepstransacties</w:t>
            </w:r>
          </w:p>
        </w:tc>
        <w:tc>
          <w:tcPr>
            <w:tcW w:w="2745" w:type="dxa"/>
            <w:tcBorders>
              <w:left w:val="nil"/>
              <w:right w:val="nil"/>
            </w:tcBorders>
            <w:noWrap/>
            <w:hideMark/>
          </w:tcPr>
          <w:p w:rsidRPr="00A325F7" w:rsidR="00511E87" w:rsidP="00B85722" w:rsidRDefault="00511E87" w14:paraId="1AB89DC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D031E26" w14:textId="77777777">
        <w:trPr>
          <w:gridAfter w:val="1"/>
          <w:wAfter w:w="2745" w:type="dxa"/>
          <w:trHeight w:val="300"/>
        </w:trPr>
        <w:tc>
          <w:tcPr>
            <w:tcW w:w="6804" w:type="dxa"/>
            <w:tcBorders>
              <w:left w:val="nil"/>
              <w:bottom w:val="single" w:color="auto" w:sz="4" w:space="0"/>
              <w:right w:val="nil"/>
            </w:tcBorders>
            <w:noWrap/>
            <w:hideMark/>
          </w:tcPr>
          <w:p w:rsidRPr="00A325F7" w:rsidR="00511E87" w:rsidP="00B85722" w:rsidRDefault="00511E87" w14:paraId="4C1BAE86" w14:textId="77777777">
            <w:pPr>
              <w:ind w:left="171" w:firstLine="28" w:firstLineChars="14"/>
              <w:rPr>
                <w:rFonts w:ascii="Arial" w:hAnsi="Arial" w:eastAsia="Times New Roman" w:cs="Arial"/>
                <w:sz w:val="20"/>
                <w:szCs w:val="20"/>
              </w:rPr>
            </w:pPr>
            <w:r w:rsidRPr="00A325F7">
              <w:rPr>
                <w:rFonts w:ascii="Arial" w:hAnsi="Arial"/>
                <w:sz w:val="20"/>
              </w:rPr>
              <w:t>f. Subindicator voor handelsvolume van aandelen en andere effecten (som van de posten 9.d en 9.e)</w:t>
            </w:r>
          </w:p>
        </w:tc>
      </w:tr>
      <w:tr w:rsidRPr="00A325F7" w:rsidR="00511E87" w:rsidTr="00B85722" w14:paraId="590D38F6" w14:textId="77777777">
        <w:trPr>
          <w:trHeight w:val="403"/>
        </w:trPr>
        <w:tc>
          <w:tcPr>
            <w:tcW w:w="6804" w:type="dxa"/>
            <w:tcBorders>
              <w:left w:val="nil"/>
              <w:bottom w:val="nil"/>
              <w:right w:val="nil"/>
            </w:tcBorders>
            <w:noWrap/>
          </w:tcPr>
          <w:p w:rsidRPr="00A325F7" w:rsidR="00511E87" w:rsidP="00B85722" w:rsidRDefault="00511E87" w14:paraId="5BA87EF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A325F7" w:rsidR="00511E87" w:rsidP="00B85722" w:rsidRDefault="00511E87" w14:paraId="6A1C4197" w14:textId="77777777">
            <w:pPr>
              <w:rPr>
                <w:rFonts w:ascii="Arial" w:hAnsi="Arial" w:eastAsia="Times New Roman" w:cs="Arial"/>
                <w:sz w:val="20"/>
                <w:szCs w:val="20"/>
                <w:lang w:eastAsia="en-GB"/>
              </w:rPr>
            </w:pPr>
          </w:p>
        </w:tc>
      </w:tr>
      <w:tr w:rsidRPr="00A325F7" w:rsidR="00511E87" w:rsidTr="00B85722" w14:paraId="6602DC2E" w14:textId="77777777">
        <w:trPr>
          <w:trHeight w:val="403"/>
        </w:trPr>
        <w:tc>
          <w:tcPr>
            <w:tcW w:w="6804" w:type="dxa"/>
            <w:tcBorders>
              <w:top w:val="nil"/>
              <w:left w:val="nil"/>
              <w:bottom w:val="nil"/>
              <w:right w:val="nil"/>
            </w:tcBorders>
            <w:noWrap/>
            <w:hideMark/>
          </w:tcPr>
          <w:p w:rsidRPr="00A325F7" w:rsidR="00511E87" w:rsidP="00B85722" w:rsidRDefault="00511E87" w14:paraId="6B4F1FEA" w14:textId="77777777">
            <w:pPr>
              <w:keepNext/>
              <w:keepLines/>
              <w:spacing w:before="47"/>
              <w:outlineLvl w:val="5"/>
              <w:rPr>
                <w:rFonts w:ascii="Arial" w:hAnsi="Arial" w:eastAsia="Times New Roman" w:cs="Arial"/>
                <w:sz w:val="20"/>
                <w:szCs w:val="20"/>
                <w:lang w:eastAsia="en-GB"/>
              </w:rPr>
            </w:pPr>
            <w:r w:rsidRPr="00A325F7">
              <w:rPr>
                <w:rFonts w:ascii="Arial" w:hAnsi="Arial"/>
                <w:i/>
                <w:caps/>
                <w:color w:val="172B39" w:themeColor="accent1" w:themeShade="80"/>
                <w:sz w:val="20"/>
              </w:rPr>
              <w:t> </w:t>
            </w:r>
            <w:r w:rsidRPr="00A325F7">
              <w:rPr>
                <w:rFonts w:asciiTheme="majorHAnsi" w:hAnsiTheme="majorHAnsi"/>
                <w:b/>
                <w:i/>
                <w:caps/>
              </w:rPr>
              <w:t>Complexiteitsindicatoren</w:t>
            </w:r>
          </w:p>
        </w:tc>
        <w:tc>
          <w:tcPr>
            <w:tcW w:w="2745" w:type="dxa"/>
            <w:tcBorders>
              <w:top w:val="nil"/>
              <w:left w:val="nil"/>
              <w:bottom w:val="nil"/>
              <w:right w:val="nil"/>
            </w:tcBorders>
            <w:noWrap/>
            <w:hideMark/>
          </w:tcPr>
          <w:p w:rsidRPr="00A325F7" w:rsidR="00511E87" w:rsidP="00B85722" w:rsidRDefault="00511E87" w14:paraId="55883916" w14:textId="77777777">
            <w:pPr>
              <w:rPr>
                <w:rFonts w:ascii="Arial" w:hAnsi="Arial" w:eastAsia="Times New Roman" w:cs="Arial"/>
                <w:sz w:val="20"/>
                <w:szCs w:val="20"/>
              </w:rPr>
            </w:pPr>
            <w:r w:rsidRPr="00A325F7">
              <w:rPr>
                <w:rFonts w:ascii="Arial" w:hAnsi="Arial"/>
                <w:sz w:val="20"/>
              </w:rPr>
              <w:t> </w:t>
            </w:r>
          </w:p>
        </w:tc>
      </w:tr>
      <w:tr w:rsidRPr="00A325F7" w:rsidR="00511E87" w:rsidTr="00B85722" w14:paraId="241E8D6A" w14:textId="77777777">
        <w:trPr>
          <w:trHeight w:val="403"/>
        </w:trPr>
        <w:tc>
          <w:tcPr>
            <w:tcW w:w="6804" w:type="dxa"/>
            <w:tcBorders>
              <w:top w:val="nil"/>
              <w:left w:val="nil"/>
              <w:bottom w:val="single" w:color="auto" w:sz="4" w:space="0"/>
              <w:right w:val="nil"/>
            </w:tcBorders>
            <w:noWrap/>
          </w:tcPr>
          <w:p w:rsidRPr="00A325F7" w:rsidR="00511E87" w:rsidP="00B85722" w:rsidRDefault="00511E87" w14:paraId="16C5ACBA"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A325F7" w:rsidR="00511E87" w:rsidP="00B85722" w:rsidRDefault="00511E87" w14:paraId="38801125" w14:textId="77777777">
            <w:pPr>
              <w:rPr>
                <w:rFonts w:ascii="Arial" w:hAnsi="Arial" w:eastAsia="Times New Roman" w:cs="Arial"/>
                <w:sz w:val="20"/>
                <w:szCs w:val="20"/>
                <w:lang w:eastAsia="en-GB"/>
              </w:rPr>
            </w:pPr>
          </w:p>
        </w:tc>
      </w:tr>
      <w:tr w:rsidRPr="00A325F7" w:rsidR="00511E87" w:rsidTr="00B85722" w14:paraId="0805F9D5" w14:textId="77777777">
        <w:trPr>
          <w:trHeight w:val="300"/>
        </w:trPr>
        <w:tc>
          <w:tcPr>
            <w:tcW w:w="6804" w:type="dxa"/>
            <w:tcBorders>
              <w:left w:val="nil"/>
              <w:right w:val="nil"/>
            </w:tcBorders>
            <w:noWrap/>
          </w:tcPr>
          <w:p w:rsidRPr="00A325F7" w:rsidR="00511E87" w:rsidP="00B85722" w:rsidRDefault="00511E87" w14:paraId="4323CE3C" w14:textId="77777777">
            <w:pPr>
              <w:ind w:firstLine="201" w:firstLineChars="100"/>
              <w:rPr>
                <w:rFonts w:ascii="Arial" w:hAnsi="Arial" w:eastAsia="Times New Roman" w:cs="Arial"/>
                <w:sz w:val="20"/>
                <w:szCs w:val="20"/>
              </w:rPr>
            </w:pPr>
            <w:r w:rsidRPr="00A325F7">
              <w:rPr>
                <w:rFonts w:ascii="Arial" w:hAnsi="Arial"/>
                <w:b/>
                <w:sz w:val="20"/>
              </w:rPr>
              <w:t>Afdeling 10 – Notioneel bedrag van over-the-counter (OTC)-derivaten</w:t>
            </w:r>
          </w:p>
        </w:tc>
        <w:tc>
          <w:tcPr>
            <w:tcW w:w="2745" w:type="dxa"/>
            <w:tcBorders>
              <w:left w:val="nil"/>
              <w:right w:val="nil"/>
            </w:tcBorders>
            <w:noWrap/>
          </w:tcPr>
          <w:p w:rsidRPr="00A325F7" w:rsidR="00511E87" w:rsidP="00B85722" w:rsidRDefault="00511E87" w14:paraId="4FABAC83"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28CD073D" w14:textId="77777777">
        <w:trPr>
          <w:trHeight w:val="300"/>
        </w:trPr>
        <w:tc>
          <w:tcPr>
            <w:tcW w:w="6804" w:type="dxa"/>
            <w:tcBorders>
              <w:left w:val="nil"/>
              <w:right w:val="nil"/>
            </w:tcBorders>
            <w:noWrap/>
            <w:hideMark/>
          </w:tcPr>
          <w:p w:rsidRPr="00A325F7" w:rsidR="00511E87" w:rsidP="00B85722" w:rsidRDefault="00511E87" w14:paraId="684E047E" w14:textId="77777777">
            <w:pPr>
              <w:ind w:firstLine="200" w:firstLineChars="100"/>
              <w:rPr>
                <w:rFonts w:ascii="Arial" w:hAnsi="Arial" w:eastAsia="Times New Roman" w:cs="Arial"/>
                <w:sz w:val="20"/>
                <w:szCs w:val="20"/>
              </w:rPr>
            </w:pPr>
            <w:r w:rsidRPr="00A325F7">
              <w:rPr>
                <w:rFonts w:ascii="Arial" w:hAnsi="Arial"/>
                <w:sz w:val="20"/>
              </w:rPr>
              <w:t>a. Via een centrale tegenpartij geclearde OTC-derivaten</w:t>
            </w:r>
          </w:p>
        </w:tc>
        <w:tc>
          <w:tcPr>
            <w:tcW w:w="2745" w:type="dxa"/>
            <w:tcBorders>
              <w:left w:val="nil"/>
              <w:right w:val="nil"/>
            </w:tcBorders>
            <w:noWrap/>
            <w:hideMark/>
          </w:tcPr>
          <w:p w:rsidRPr="00A325F7" w:rsidR="00511E87" w:rsidP="00B85722" w:rsidRDefault="00511E87" w14:paraId="140F44B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42F96EE" w14:textId="77777777">
        <w:trPr>
          <w:trHeight w:val="300"/>
        </w:trPr>
        <w:tc>
          <w:tcPr>
            <w:tcW w:w="6804" w:type="dxa"/>
            <w:tcBorders>
              <w:left w:val="nil"/>
              <w:right w:val="nil"/>
            </w:tcBorders>
            <w:noWrap/>
            <w:hideMark/>
          </w:tcPr>
          <w:p w:rsidRPr="00A325F7" w:rsidR="00511E87" w:rsidP="00B85722" w:rsidRDefault="00511E87" w14:paraId="5C9B7D4F" w14:textId="77777777">
            <w:pPr>
              <w:ind w:firstLine="200" w:firstLineChars="100"/>
              <w:rPr>
                <w:rFonts w:ascii="Arial" w:hAnsi="Arial" w:eastAsia="Times New Roman" w:cs="Arial"/>
                <w:sz w:val="20"/>
                <w:szCs w:val="20"/>
              </w:rPr>
            </w:pPr>
            <w:r w:rsidRPr="00A325F7">
              <w:rPr>
                <w:rFonts w:ascii="Arial" w:hAnsi="Arial"/>
                <w:sz w:val="20"/>
              </w:rPr>
              <w:t>b. Bilateraal afgewikkelde OTC-derivaten</w:t>
            </w:r>
          </w:p>
        </w:tc>
        <w:tc>
          <w:tcPr>
            <w:tcW w:w="2745" w:type="dxa"/>
            <w:tcBorders>
              <w:left w:val="nil"/>
              <w:right w:val="nil"/>
            </w:tcBorders>
            <w:noWrap/>
            <w:hideMark/>
          </w:tcPr>
          <w:p w:rsidRPr="00A325F7" w:rsidR="00511E87" w:rsidP="00B85722" w:rsidRDefault="00511E87" w14:paraId="54232AD9"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1A50499" w14:textId="77777777">
        <w:trPr>
          <w:trHeight w:val="300"/>
        </w:trPr>
        <w:tc>
          <w:tcPr>
            <w:tcW w:w="6804" w:type="dxa"/>
            <w:tcBorders>
              <w:left w:val="nil"/>
              <w:bottom w:val="single" w:color="auto" w:sz="4" w:space="0"/>
              <w:right w:val="nil"/>
            </w:tcBorders>
            <w:noWrap/>
          </w:tcPr>
          <w:p w:rsidRPr="00A325F7" w:rsidR="00511E87" w:rsidP="00B85722" w:rsidRDefault="00511E87" w14:paraId="10BE08F9" w14:textId="77777777">
            <w:pPr>
              <w:ind w:left="171" w:firstLine="28" w:firstLineChars="14"/>
              <w:rPr>
                <w:rFonts w:ascii="Arial" w:hAnsi="Arial" w:eastAsia="Times New Roman" w:cs="Arial"/>
                <w:sz w:val="20"/>
                <w:szCs w:val="20"/>
              </w:rPr>
            </w:pPr>
            <w:r w:rsidRPr="00A325F7">
              <w:rPr>
                <w:rFonts w:ascii="Arial" w:hAnsi="Arial"/>
                <w:sz w:val="20"/>
              </w:rPr>
              <w:t>c. Indicator voor notioneel bedrag van OTC-derivaten, met inbegrip van verzekeringsdochterondernemingen (som van de posten 10.a en 10.b)</w:t>
            </w:r>
          </w:p>
        </w:tc>
        <w:tc>
          <w:tcPr>
            <w:tcW w:w="2745" w:type="dxa"/>
            <w:tcBorders>
              <w:left w:val="nil"/>
              <w:bottom w:val="single" w:color="auto" w:sz="4" w:space="0"/>
              <w:right w:val="nil"/>
            </w:tcBorders>
            <w:noWrap/>
          </w:tcPr>
          <w:p w:rsidRPr="00A325F7" w:rsidR="00511E87" w:rsidP="00B85722" w:rsidRDefault="00511E87" w14:paraId="656AEA22" w14:textId="77777777">
            <w:pPr>
              <w:jc w:val="right"/>
              <w:rPr>
                <w:rFonts w:ascii="Arial" w:hAnsi="Arial" w:eastAsia="Times New Roman" w:cs="Arial"/>
                <w:sz w:val="20"/>
                <w:szCs w:val="20"/>
                <w:lang w:eastAsia="en-GB"/>
              </w:rPr>
            </w:pPr>
          </w:p>
        </w:tc>
      </w:tr>
      <w:tr w:rsidRPr="00A325F7" w:rsidR="00511E87" w:rsidTr="00B85722" w14:paraId="2FD7E4F7" w14:textId="77777777">
        <w:trPr>
          <w:trHeight w:val="300"/>
        </w:trPr>
        <w:tc>
          <w:tcPr>
            <w:tcW w:w="6804" w:type="dxa"/>
            <w:tcBorders>
              <w:left w:val="nil"/>
              <w:bottom w:val="nil"/>
              <w:right w:val="nil"/>
            </w:tcBorders>
            <w:noWrap/>
          </w:tcPr>
          <w:p w:rsidRPr="00A325F7" w:rsidR="00511E87" w:rsidP="00B85722" w:rsidRDefault="00511E87" w14:paraId="42AE512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346C0A67" w14:textId="77777777">
            <w:pPr>
              <w:jc w:val="center"/>
              <w:rPr>
                <w:rFonts w:ascii="Arial" w:hAnsi="Arial" w:eastAsia="Times New Roman" w:cs="Arial"/>
                <w:b/>
                <w:bCs/>
                <w:sz w:val="20"/>
                <w:szCs w:val="20"/>
                <w:lang w:eastAsia="en-GB"/>
              </w:rPr>
            </w:pPr>
          </w:p>
        </w:tc>
      </w:tr>
      <w:tr w:rsidRPr="00A325F7" w:rsidR="00511E87" w:rsidTr="00B85722" w14:paraId="5F8C12DB"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08779F84" w14:textId="77777777">
            <w:pPr>
              <w:rPr>
                <w:rFonts w:ascii="Arial" w:hAnsi="Arial" w:eastAsia="Times New Roman" w:cs="Arial"/>
                <w:b/>
                <w:bCs/>
                <w:sz w:val="20"/>
                <w:szCs w:val="20"/>
              </w:rPr>
            </w:pPr>
            <w:r w:rsidRPr="00A325F7">
              <w:rPr>
                <w:rFonts w:ascii="Arial" w:hAnsi="Arial"/>
                <w:b/>
                <w:sz w:val="20"/>
              </w:rPr>
              <w:t>Afdeling 11 – Voor handelsdoeleinden aangehouden en voor verkoop beschikbare effecten</w:t>
            </w:r>
          </w:p>
        </w:tc>
        <w:tc>
          <w:tcPr>
            <w:tcW w:w="2745" w:type="dxa"/>
            <w:tcBorders>
              <w:top w:val="nil"/>
              <w:left w:val="nil"/>
              <w:bottom w:val="single" w:color="auto" w:sz="4" w:space="0"/>
              <w:right w:val="nil"/>
            </w:tcBorders>
            <w:hideMark/>
          </w:tcPr>
          <w:p w:rsidRPr="00A325F7" w:rsidR="00511E87" w:rsidP="00B85722" w:rsidRDefault="00511E87" w14:paraId="702F3EE0"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358994B8" w14:textId="77777777">
        <w:trPr>
          <w:trHeight w:val="300"/>
        </w:trPr>
        <w:tc>
          <w:tcPr>
            <w:tcW w:w="6804" w:type="dxa"/>
            <w:tcBorders>
              <w:left w:val="nil"/>
              <w:right w:val="nil"/>
            </w:tcBorders>
            <w:noWrap/>
            <w:hideMark/>
          </w:tcPr>
          <w:p w:rsidRPr="00A325F7" w:rsidR="00511E87" w:rsidP="00B85722" w:rsidRDefault="00511E87" w14:paraId="1BBC4296" w14:textId="77777777">
            <w:pPr>
              <w:ind w:firstLine="200" w:firstLineChars="100"/>
              <w:rPr>
                <w:rFonts w:ascii="Arial" w:hAnsi="Arial" w:eastAsia="Times New Roman" w:cs="Arial"/>
                <w:sz w:val="20"/>
                <w:szCs w:val="20"/>
              </w:rPr>
            </w:pPr>
            <w:r w:rsidRPr="00A325F7">
              <w:rPr>
                <w:rFonts w:ascii="Arial" w:hAnsi="Arial"/>
                <w:sz w:val="20"/>
              </w:rPr>
              <w:t>a. Voor handelsdoeleinden aangehouden effecten (HFT)</w:t>
            </w:r>
          </w:p>
        </w:tc>
        <w:tc>
          <w:tcPr>
            <w:tcW w:w="2745" w:type="dxa"/>
            <w:tcBorders>
              <w:left w:val="nil"/>
              <w:right w:val="nil"/>
            </w:tcBorders>
            <w:noWrap/>
            <w:hideMark/>
          </w:tcPr>
          <w:p w:rsidRPr="00A325F7" w:rsidR="00511E87" w:rsidP="00B85722" w:rsidRDefault="00511E87" w14:paraId="205344F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9724C0B" w14:textId="77777777">
        <w:trPr>
          <w:trHeight w:val="300"/>
        </w:trPr>
        <w:tc>
          <w:tcPr>
            <w:tcW w:w="6804" w:type="dxa"/>
            <w:tcBorders>
              <w:left w:val="nil"/>
              <w:bottom w:val="single" w:color="auto" w:sz="4" w:space="0"/>
              <w:right w:val="nil"/>
            </w:tcBorders>
            <w:noWrap/>
            <w:hideMark/>
          </w:tcPr>
          <w:p w:rsidRPr="00A325F7" w:rsidR="00511E87" w:rsidP="00B85722" w:rsidRDefault="00511E87" w14:paraId="7A1B1A47" w14:textId="77777777">
            <w:pPr>
              <w:ind w:firstLine="200" w:firstLineChars="100"/>
              <w:rPr>
                <w:rFonts w:ascii="Arial" w:hAnsi="Arial" w:eastAsia="Times New Roman" w:cs="Arial"/>
                <w:sz w:val="20"/>
                <w:szCs w:val="20"/>
              </w:rPr>
            </w:pPr>
            <w:r w:rsidRPr="00A325F7">
              <w:rPr>
                <w:rFonts w:ascii="Arial" w:hAnsi="Arial"/>
                <w:sz w:val="20"/>
              </w:rPr>
              <w:t>b. Voor verkoop beschikbare effecten (AFS)</w:t>
            </w:r>
          </w:p>
        </w:tc>
        <w:tc>
          <w:tcPr>
            <w:tcW w:w="2745" w:type="dxa"/>
            <w:tcBorders>
              <w:left w:val="nil"/>
              <w:right w:val="nil"/>
            </w:tcBorders>
            <w:noWrap/>
            <w:hideMark/>
          </w:tcPr>
          <w:p w:rsidRPr="00A325F7" w:rsidR="00511E87" w:rsidP="00B85722" w:rsidRDefault="00511E87" w14:paraId="7CCC01E9"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85D203C" w14:textId="77777777">
        <w:trPr>
          <w:trHeight w:val="300"/>
        </w:trPr>
        <w:tc>
          <w:tcPr>
            <w:tcW w:w="6804" w:type="dxa"/>
            <w:tcBorders>
              <w:left w:val="nil"/>
              <w:bottom w:val="single" w:color="auto" w:sz="4" w:space="0"/>
              <w:right w:val="nil"/>
            </w:tcBorders>
            <w:noWrap/>
          </w:tcPr>
          <w:p w:rsidRPr="00A325F7" w:rsidR="00511E87" w:rsidP="00B85722" w:rsidRDefault="00511E87" w14:paraId="70DC1A55" w14:textId="77777777">
            <w:pPr>
              <w:ind w:firstLine="200" w:firstLineChars="100"/>
              <w:rPr>
                <w:rFonts w:ascii="Arial" w:hAnsi="Arial" w:eastAsia="Times New Roman" w:cs="Arial"/>
                <w:sz w:val="20"/>
                <w:szCs w:val="20"/>
              </w:rPr>
            </w:pPr>
            <w:r w:rsidRPr="00A325F7">
              <w:rPr>
                <w:rFonts w:ascii="Arial" w:hAnsi="Arial"/>
                <w:sz w:val="20"/>
              </w:rPr>
              <w:t>c. HFT- en AFS-effecten die voldoen aan de definitie van activa van niveau 1</w:t>
            </w:r>
          </w:p>
        </w:tc>
        <w:tc>
          <w:tcPr>
            <w:tcW w:w="2745" w:type="dxa"/>
            <w:tcBorders>
              <w:left w:val="nil"/>
              <w:right w:val="nil"/>
            </w:tcBorders>
            <w:noWrap/>
          </w:tcPr>
          <w:p w:rsidRPr="00A325F7" w:rsidR="00511E87" w:rsidP="00B85722" w:rsidRDefault="00511E87" w14:paraId="46EB3500" w14:textId="77777777">
            <w:pPr>
              <w:jc w:val="right"/>
              <w:rPr>
                <w:rFonts w:ascii="Arial" w:hAnsi="Arial" w:eastAsia="Times New Roman" w:cs="Arial"/>
                <w:sz w:val="20"/>
                <w:szCs w:val="20"/>
                <w:lang w:eastAsia="en-GB"/>
              </w:rPr>
            </w:pPr>
          </w:p>
        </w:tc>
      </w:tr>
      <w:tr w:rsidRPr="00A325F7" w:rsidR="00511E87" w:rsidTr="00B85722" w14:paraId="1DA24867" w14:textId="77777777">
        <w:trPr>
          <w:trHeight w:val="300"/>
        </w:trPr>
        <w:tc>
          <w:tcPr>
            <w:tcW w:w="6804" w:type="dxa"/>
            <w:tcBorders>
              <w:left w:val="nil"/>
              <w:bottom w:val="single" w:color="auto" w:sz="4" w:space="0"/>
              <w:right w:val="nil"/>
            </w:tcBorders>
            <w:noWrap/>
          </w:tcPr>
          <w:p w:rsidRPr="00A325F7" w:rsidR="00511E87" w:rsidP="00B85722" w:rsidRDefault="00511E87" w14:paraId="37AA7277" w14:textId="77777777">
            <w:pPr>
              <w:ind w:left="171" w:firstLine="28" w:firstLineChars="14"/>
              <w:rPr>
                <w:rFonts w:ascii="Arial" w:hAnsi="Arial" w:eastAsia="Times New Roman" w:cs="Arial"/>
                <w:sz w:val="20"/>
                <w:szCs w:val="20"/>
              </w:rPr>
            </w:pPr>
            <w:r w:rsidRPr="00A325F7">
              <w:rPr>
                <w:rFonts w:ascii="Arial" w:hAnsi="Arial"/>
                <w:sz w:val="20"/>
              </w:rPr>
              <w:t>d. HFT- en AFS-effecten die voldoen aan de definitie van activa van niveau 2, met haircuts</w:t>
            </w:r>
          </w:p>
        </w:tc>
        <w:tc>
          <w:tcPr>
            <w:tcW w:w="2745" w:type="dxa"/>
            <w:tcBorders>
              <w:left w:val="nil"/>
              <w:right w:val="nil"/>
            </w:tcBorders>
            <w:noWrap/>
          </w:tcPr>
          <w:p w:rsidRPr="00A325F7" w:rsidR="00511E87" w:rsidP="00B85722" w:rsidRDefault="00511E87" w14:paraId="20F622D0" w14:textId="77777777">
            <w:pPr>
              <w:jc w:val="right"/>
              <w:rPr>
                <w:rFonts w:ascii="Arial" w:hAnsi="Arial" w:eastAsia="Times New Roman" w:cs="Arial"/>
                <w:sz w:val="20"/>
                <w:szCs w:val="20"/>
                <w:lang w:eastAsia="en-GB"/>
              </w:rPr>
            </w:pPr>
          </w:p>
        </w:tc>
      </w:tr>
      <w:tr w:rsidRPr="00A325F7" w:rsidR="00511E87" w:rsidTr="00B85722" w14:paraId="46426283" w14:textId="77777777">
        <w:trPr>
          <w:trHeight w:val="300"/>
        </w:trPr>
        <w:tc>
          <w:tcPr>
            <w:tcW w:w="6804" w:type="dxa"/>
            <w:tcBorders>
              <w:left w:val="nil"/>
              <w:bottom w:val="single" w:color="auto" w:sz="4" w:space="0"/>
              <w:right w:val="nil"/>
            </w:tcBorders>
            <w:noWrap/>
          </w:tcPr>
          <w:p w:rsidRPr="00A325F7" w:rsidR="00511E87" w:rsidP="00B85722" w:rsidRDefault="00511E87" w14:paraId="75C04BCA" w14:textId="77777777">
            <w:pPr>
              <w:ind w:left="171" w:firstLine="28" w:firstLineChars="14"/>
              <w:rPr>
                <w:rFonts w:ascii="Arial" w:hAnsi="Arial" w:eastAsia="Times New Roman" w:cs="Arial"/>
                <w:sz w:val="20"/>
                <w:szCs w:val="20"/>
              </w:rPr>
            </w:pPr>
            <w:r w:rsidRPr="00A325F7">
              <w:rPr>
                <w:rFonts w:ascii="Arial" w:hAnsi="Arial"/>
                <w:sz w:val="20"/>
              </w:rPr>
              <w:t>e. Indicator voor HFT- en AFS-effecten (som van de posten 11.a en 11.b, min de som van de posten 11.c en 11.d)</w:t>
            </w:r>
          </w:p>
        </w:tc>
        <w:tc>
          <w:tcPr>
            <w:tcW w:w="2745" w:type="dxa"/>
            <w:tcBorders>
              <w:left w:val="nil"/>
              <w:bottom w:val="single" w:color="auto" w:sz="4" w:space="0"/>
              <w:right w:val="nil"/>
            </w:tcBorders>
            <w:noWrap/>
          </w:tcPr>
          <w:p w:rsidRPr="00A325F7" w:rsidR="00511E87" w:rsidP="00B85722" w:rsidRDefault="00511E87" w14:paraId="6D28834F" w14:textId="77777777">
            <w:pPr>
              <w:jc w:val="right"/>
              <w:rPr>
                <w:rFonts w:ascii="Arial" w:hAnsi="Arial" w:eastAsia="Times New Roman" w:cs="Arial"/>
                <w:sz w:val="20"/>
                <w:szCs w:val="20"/>
                <w:lang w:eastAsia="en-GB"/>
              </w:rPr>
            </w:pPr>
          </w:p>
        </w:tc>
      </w:tr>
      <w:tr w:rsidRPr="00A325F7" w:rsidR="00511E87" w:rsidTr="00B85722" w14:paraId="7DB1A454" w14:textId="77777777">
        <w:trPr>
          <w:trHeight w:val="300"/>
        </w:trPr>
        <w:tc>
          <w:tcPr>
            <w:tcW w:w="6804" w:type="dxa"/>
            <w:tcBorders>
              <w:left w:val="nil"/>
              <w:bottom w:val="nil"/>
              <w:right w:val="nil"/>
            </w:tcBorders>
            <w:noWrap/>
          </w:tcPr>
          <w:p w:rsidRPr="00A325F7" w:rsidR="00511E87" w:rsidP="00B85722" w:rsidRDefault="00511E87" w14:paraId="7BCA1C5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13AD62BD" w14:textId="77777777">
            <w:pPr>
              <w:jc w:val="center"/>
              <w:rPr>
                <w:rFonts w:ascii="Arial" w:hAnsi="Arial" w:eastAsia="Times New Roman" w:cs="Arial"/>
                <w:b/>
                <w:bCs/>
                <w:sz w:val="20"/>
                <w:szCs w:val="20"/>
                <w:lang w:eastAsia="en-GB"/>
              </w:rPr>
            </w:pPr>
          </w:p>
        </w:tc>
      </w:tr>
      <w:tr w:rsidRPr="00A325F7" w:rsidR="00511E87" w:rsidTr="00B85722" w14:paraId="6950FF61"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22FA2926" w14:textId="77777777">
            <w:pPr>
              <w:rPr>
                <w:rFonts w:ascii="Arial" w:hAnsi="Arial" w:eastAsia="Times New Roman" w:cs="Arial"/>
                <w:b/>
                <w:bCs/>
                <w:sz w:val="20"/>
                <w:szCs w:val="20"/>
              </w:rPr>
            </w:pPr>
            <w:r w:rsidRPr="00A325F7">
              <w:rPr>
                <w:rFonts w:ascii="Arial" w:hAnsi="Arial"/>
                <w:b/>
                <w:sz w:val="20"/>
              </w:rPr>
              <w:t>Afdeling 12 – Activa van niveau 3</w:t>
            </w:r>
          </w:p>
        </w:tc>
        <w:tc>
          <w:tcPr>
            <w:tcW w:w="2745" w:type="dxa"/>
            <w:tcBorders>
              <w:top w:val="nil"/>
              <w:left w:val="nil"/>
              <w:bottom w:val="single" w:color="auto" w:sz="4" w:space="0"/>
              <w:right w:val="nil"/>
            </w:tcBorders>
            <w:hideMark/>
          </w:tcPr>
          <w:p w:rsidRPr="00A325F7" w:rsidR="00511E87" w:rsidP="00B85722" w:rsidRDefault="00511E87" w14:paraId="72094961"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30CFA6D5" w14:textId="77777777">
        <w:trPr>
          <w:trHeight w:val="300"/>
        </w:trPr>
        <w:tc>
          <w:tcPr>
            <w:tcW w:w="6804" w:type="dxa"/>
            <w:tcBorders>
              <w:left w:val="nil"/>
              <w:bottom w:val="single" w:color="auto" w:sz="4" w:space="0"/>
              <w:right w:val="nil"/>
            </w:tcBorders>
            <w:noWrap/>
            <w:hideMark/>
          </w:tcPr>
          <w:p w:rsidRPr="00A325F7" w:rsidR="00511E87" w:rsidP="00B85722" w:rsidRDefault="00511E87" w14:paraId="636210DD" w14:textId="77777777">
            <w:pPr>
              <w:ind w:firstLine="200" w:firstLineChars="100"/>
              <w:rPr>
                <w:rFonts w:ascii="Arial" w:hAnsi="Arial" w:eastAsia="Times New Roman" w:cs="Arial"/>
                <w:sz w:val="20"/>
                <w:szCs w:val="20"/>
              </w:rPr>
            </w:pPr>
            <w:r w:rsidRPr="00A325F7">
              <w:rPr>
                <w:rFonts w:ascii="Arial" w:hAnsi="Arial"/>
                <w:sz w:val="20"/>
              </w:rPr>
              <w:t xml:space="preserve">a. Indicator voor activa van niveau 3, met inbegrip van verzekeringsdochterondernemingen </w:t>
            </w:r>
          </w:p>
        </w:tc>
        <w:tc>
          <w:tcPr>
            <w:tcW w:w="2745" w:type="dxa"/>
            <w:tcBorders>
              <w:left w:val="nil"/>
              <w:bottom w:val="single" w:color="auto" w:sz="4" w:space="0"/>
              <w:right w:val="nil"/>
            </w:tcBorders>
            <w:noWrap/>
            <w:hideMark/>
          </w:tcPr>
          <w:p w:rsidRPr="00A325F7" w:rsidR="00511E87" w:rsidP="00B85722" w:rsidRDefault="00511E87" w14:paraId="442DEC51"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AAFE80C" w14:textId="77777777">
        <w:trPr>
          <w:trHeight w:val="300"/>
        </w:trPr>
        <w:tc>
          <w:tcPr>
            <w:tcW w:w="6804" w:type="dxa"/>
            <w:tcBorders>
              <w:left w:val="nil"/>
              <w:bottom w:val="nil"/>
              <w:right w:val="nil"/>
            </w:tcBorders>
            <w:noWrap/>
          </w:tcPr>
          <w:p w:rsidRPr="00A325F7" w:rsidR="00511E87" w:rsidP="00B85722" w:rsidRDefault="00511E87" w14:paraId="29401731"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A325F7" w:rsidR="00511E87" w:rsidP="00B85722" w:rsidRDefault="00511E87" w14:paraId="1AC6762A" w14:textId="77777777">
            <w:pPr>
              <w:jc w:val="right"/>
              <w:rPr>
                <w:rFonts w:ascii="Arial" w:hAnsi="Arial" w:eastAsia="Times New Roman" w:cs="Arial"/>
                <w:sz w:val="20"/>
                <w:szCs w:val="20"/>
                <w:lang w:eastAsia="en-GB"/>
              </w:rPr>
            </w:pPr>
          </w:p>
        </w:tc>
      </w:tr>
      <w:tr w:rsidRPr="00A325F7" w:rsidR="00511E87" w:rsidTr="00B85722" w14:paraId="6106B9E3" w14:textId="77777777">
        <w:trPr>
          <w:trHeight w:val="300"/>
        </w:trPr>
        <w:tc>
          <w:tcPr>
            <w:tcW w:w="6804" w:type="dxa"/>
            <w:tcBorders>
              <w:top w:val="nil"/>
              <w:left w:val="nil"/>
              <w:bottom w:val="nil"/>
              <w:right w:val="nil"/>
            </w:tcBorders>
            <w:noWrap/>
          </w:tcPr>
          <w:p w:rsidRPr="00A325F7" w:rsidR="00511E87" w:rsidP="00B85722" w:rsidRDefault="00511E87" w14:paraId="5965F670" w14:textId="77777777">
            <w:pPr>
              <w:ind w:firstLine="221" w:firstLineChars="100"/>
              <w:rPr>
                <w:rFonts w:ascii="Arial" w:hAnsi="Arial" w:eastAsia="Times New Roman" w:cs="Arial"/>
                <w:sz w:val="20"/>
                <w:szCs w:val="20"/>
              </w:rPr>
            </w:pPr>
            <w:r w:rsidRPr="00A325F7">
              <w:rPr>
                <w:rFonts w:asciiTheme="majorHAnsi" w:hAnsiTheme="majorHAnsi"/>
                <w:b/>
                <w:i/>
                <w:caps/>
              </w:rPr>
              <w:t>Indicatoren voor rechtsgebiedoverschrijdende activiteit</w:t>
            </w:r>
          </w:p>
        </w:tc>
        <w:tc>
          <w:tcPr>
            <w:tcW w:w="2745" w:type="dxa"/>
            <w:tcBorders>
              <w:top w:val="nil"/>
              <w:left w:val="nil"/>
              <w:bottom w:val="nil"/>
              <w:right w:val="nil"/>
            </w:tcBorders>
            <w:noWrap/>
          </w:tcPr>
          <w:p w:rsidRPr="00A325F7" w:rsidR="00511E87" w:rsidP="00B85722" w:rsidRDefault="00511E87" w14:paraId="37AC1DF9" w14:textId="77777777">
            <w:pPr>
              <w:jc w:val="right"/>
              <w:rPr>
                <w:rFonts w:ascii="Arial" w:hAnsi="Arial" w:eastAsia="Times New Roman" w:cs="Arial"/>
                <w:sz w:val="20"/>
                <w:szCs w:val="20"/>
                <w:lang w:eastAsia="en-GB"/>
              </w:rPr>
            </w:pPr>
          </w:p>
        </w:tc>
      </w:tr>
      <w:tr w:rsidRPr="00A325F7" w:rsidR="00511E87" w:rsidTr="00B85722" w14:paraId="7141ADED" w14:textId="77777777">
        <w:trPr>
          <w:trHeight w:val="300"/>
        </w:trPr>
        <w:tc>
          <w:tcPr>
            <w:tcW w:w="6804" w:type="dxa"/>
            <w:tcBorders>
              <w:top w:val="nil"/>
              <w:left w:val="nil"/>
              <w:bottom w:val="single" w:color="auto" w:sz="4" w:space="0"/>
              <w:right w:val="nil"/>
            </w:tcBorders>
            <w:noWrap/>
          </w:tcPr>
          <w:p w:rsidRPr="00A325F7" w:rsidR="00511E87" w:rsidP="00B85722" w:rsidRDefault="00511E87" w14:paraId="5A1630E6"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A325F7" w:rsidR="00511E87" w:rsidP="00B85722" w:rsidRDefault="00511E87" w14:paraId="205ED5ED" w14:textId="77777777">
            <w:pPr>
              <w:jc w:val="right"/>
              <w:rPr>
                <w:rFonts w:ascii="Arial" w:hAnsi="Arial" w:eastAsia="Times New Roman" w:cs="Arial"/>
                <w:sz w:val="20"/>
                <w:szCs w:val="20"/>
                <w:lang w:eastAsia="en-GB"/>
              </w:rPr>
            </w:pPr>
          </w:p>
        </w:tc>
      </w:tr>
      <w:tr w:rsidRPr="00A325F7" w:rsidR="00511E87" w:rsidTr="00B85722" w14:paraId="1CC93835" w14:textId="77777777">
        <w:trPr>
          <w:trHeight w:val="300"/>
        </w:trPr>
        <w:tc>
          <w:tcPr>
            <w:tcW w:w="6804" w:type="dxa"/>
            <w:tcBorders>
              <w:left w:val="nil"/>
              <w:bottom w:val="single" w:color="auto" w:sz="4" w:space="0"/>
              <w:right w:val="nil"/>
            </w:tcBorders>
            <w:noWrap/>
            <w:hideMark/>
          </w:tcPr>
          <w:p w:rsidRPr="00A325F7" w:rsidR="00511E87" w:rsidP="00B85722" w:rsidRDefault="00511E87" w14:paraId="7FBA4C36" w14:textId="77777777">
            <w:pPr>
              <w:rPr>
                <w:rFonts w:ascii="Arial" w:hAnsi="Arial" w:eastAsia="Times New Roman" w:cs="Arial"/>
                <w:b/>
                <w:bCs/>
                <w:sz w:val="20"/>
                <w:szCs w:val="20"/>
              </w:rPr>
            </w:pPr>
            <w:r w:rsidRPr="00A325F7">
              <w:rPr>
                <w:rFonts w:ascii="Arial" w:hAnsi="Arial"/>
                <w:b/>
                <w:sz w:val="20"/>
              </w:rPr>
              <w:t>Afdeling 13 – Rechtsgebiedoverschrijdende vorderingen</w:t>
            </w:r>
          </w:p>
        </w:tc>
        <w:tc>
          <w:tcPr>
            <w:tcW w:w="2745" w:type="dxa"/>
            <w:tcBorders>
              <w:left w:val="nil"/>
              <w:bottom w:val="single" w:color="auto" w:sz="4" w:space="0"/>
              <w:right w:val="nil"/>
            </w:tcBorders>
            <w:hideMark/>
          </w:tcPr>
          <w:p w:rsidRPr="00A325F7" w:rsidR="00511E87" w:rsidP="00B85722" w:rsidRDefault="00511E87" w14:paraId="290AC235"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7F987244" w14:textId="77777777">
        <w:trPr>
          <w:trHeight w:val="300"/>
        </w:trPr>
        <w:tc>
          <w:tcPr>
            <w:tcW w:w="6804" w:type="dxa"/>
            <w:tcBorders>
              <w:left w:val="nil"/>
              <w:right w:val="nil"/>
            </w:tcBorders>
            <w:noWrap/>
            <w:hideMark/>
          </w:tcPr>
          <w:p w:rsidRPr="00A325F7" w:rsidR="00511E87" w:rsidP="00B85722" w:rsidRDefault="00511E87" w14:paraId="6E7E11A2" w14:textId="77777777">
            <w:pPr>
              <w:ind w:firstLine="200" w:firstLineChars="100"/>
              <w:rPr>
                <w:rFonts w:ascii="Arial" w:hAnsi="Arial" w:eastAsia="Times New Roman" w:cs="Arial"/>
                <w:sz w:val="20"/>
                <w:szCs w:val="20"/>
              </w:rPr>
            </w:pPr>
            <w:r w:rsidRPr="00A325F7">
              <w:rPr>
                <w:rFonts w:ascii="Arial" w:hAnsi="Arial"/>
                <w:sz w:val="20"/>
              </w:rPr>
              <w:lastRenderedPageBreak/>
              <w:t>a. Totale buitenlandse vorderingen op basis van uiteindelijk risico</w:t>
            </w:r>
          </w:p>
        </w:tc>
        <w:tc>
          <w:tcPr>
            <w:tcW w:w="2745" w:type="dxa"/>
            <w:tcBorders>
              <w:left w:val="nil"/>
              <w:right w:val="nil"/>
            </w:tcBorders>
            <w:noWrap/>
            <w:hideMark/>
          </w:tcPr>
          <w:p w:rsidRPr="00A325F7" w:rsidR="00511E87" w:rsidP="00B85722" w:rsidRDefault="00511E87" w14:paraId="75775F8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8BAC6FD" w14:textId="77777777">
        <w:trPr>
          <w:trHeight w:val="300"/>
        </w:trPr>
        <w:tc>
          <w:tcPr>
            <w:tcW w:w="6804" w:type="dxa"/>
            <w:tcBorders>
              <w:left w:val="nil"/>
              <w:right w:val="nil"/>
            </w:tcBorders>
            <w:noWrap/>
            <w:hideMark/>
          </w:tcPr>
          <w:p w:rsidRPr="00A325F7" w:rsidR="00511E87" w:rsidP="00B85722" w:rsidRDefault="00511E87" w14:paraId="16648BC6" w14:textId="77777777">
            <w:pPr>
              <w:ind w:firstLine="200" w:firstLineChars="100"/>
              <w:rPr>
                <w:rFonts w:ascii="Arial" w:hAnsi="Arial" w:eastAsia="Times New Roman" w:cs="Arial"/>
                <w:sz w:val="20"/>
                <w:szCs w:val="20"/>
              </w:rPr>
            </w:pPr>
            <w:r w:rsidRPr="00A325F7">
              <w:rPr>
                <w:rFonts w:ascii="Arial" w:hAnsi="Arial"/>
                <w:sz w:val="20"/>
              </w:rPr>
              <w:t>b. Buitenlandse derivatenvorderingen op basis van uiteindelijk risico</w:t>
            </w:r>
          </w:p>
        </w:tc>
        <w:tc>
          <w:tcPr>
            <w:tcW w:w="2745" w:type="dxa"/>
            <w:tcBorders>
              <w:left w:val="nil"/>
              <w:right w:val="nil"/>
            </w:tcBorders>
            <w:noWrap/>
            <w:hideMark/>
          </w:tcPr>
          <w:p w:rsidRPr="00A325F7" w:rsidR="00511E87" w:rsidP="00B85722" w:rsidRDefault="00511E87" w14:paraId="2A52E227"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C2C7DC5" w14:textId="77777777">
        <w:trPr>
          <w:gridAfter w:val="1"/>
          <w:wAfter w:w="2745" w:type="dxa"/>
          <w:trHeight w:val="300"/>
        </w:trPr>
        <w:tc>
          <w:tcPr>
            <w:tcW w:w="6804" w:type="dxa"/>
            <w:tcBorders>
              <w:left w:val="nil"/>
              <w:bottom w:val="single" w:color="auto" w:sz="4" w:space="0"/>
              <w:right w:val="nil"/>
            </w:tcBorders>
            <w:hideMark/>
          </w:tcPr>
          <w:p w:rsidRPr="00A325F7" w:rsidR="00511E87" w:rsidP="00B85722" w:rsidRDefault="00511E87" w14:paraId="4070A310" w14:textId="77777777">
            <w:pPr>
              <w:ind w:firstLine="200" w:firstLineChars="100"/>
              <w:rPr>
                <w:rFonts w:ascii="Arial" w:hAnsi="Arial" w:eastAsia="Times New Roman" w:cs="Arial"/>
                <w:sz w:val="20"/>
                <w:szCs w:val="20"/>
              </w:rPr>
            </w:pPr>
            <w:r w:rsidRPr="00A325F7">
              <w:rPr>
                <w:rFonts w:ascii="Arial" w:hAnsi="Arial"/>
                <w:sz w:val="20"/>
              </w:rPr>
              <w:t>c. Indicator voor rechtsgebiedoverschrijdende vorderingen (som van de posten 13.a en 13.b)</w:t>
            </w:r>
          </w:p>
        </w:tc>
      </w:tr>
      <w:tr w:rsidRPr="00A325F7" w:rsidR="00511E87" w:rsidTr="00B85722" w14:paraId="18B4C821" w14:textId="77777777">
        <w:trPr>
          <w:trHeight w:val="300"/>
        </w:trPr>
        <w:tc>
          <w:tcPr>
            <w:tcW w:w="6804" w:type="dxa"/>
            <w:tcBorders>
              <w:left w:val="nil"/>
              <w:bottom w:val="nil"/>
              <w:right w:val="nil"/>
            </w:tcBorders>
            <w:noWrap/>
          </w:tcPr>
          <w:p w:rsidRPr="00A325F7" w:rsidR="00511E87" w:rsidP="00B85722" w:rsidRDefault="00511E87" w14:paraId="11E1CA0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1E114C9C" w14:textId="77777777">
            <w:pPr>
              <w:jc w:val="center"/>
              <w:rPr>
                <w:rFonts w:ascii="Arial" w:hAnsi="Arial" w:eastAsia="Times New Roman" w:cs="Arial"/>
                <w:b/>
                <w:bCs/>
                <w:sz w:val="20"/>
                <w:szCs w:val="20"/>
                <w:lang w:eastAsia="en-GB"/>
              </w:rPr>
            </w:pPr>
          </w:p>
        </w:tc>
      </w:tr>
      <w:tr w:rsidRPr="00A325F7" w:rsidR="00511E87" w:rsidTr="00B85722" w14:paraId="12089D3B"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6A6E4A17" w14:textId="77777777">
            <w:pPr>
              <w:rPr>
                <w:rFonts w:ascii="Arial" w:hAnsi="Arial" w:eastAsia="Times New Roman" w:cs="Arial"/>
                <w:b/>
                <w:bCs/>
                <w:sz w:val="20"/>
                <w:szCs w:val="20"/>
              </w:rPr>
            </w:pPr>
            <w:r w:rsidRPr="00A325F7">
              <w:rPr>
                <w:rFonts w:ascii="Arial" w:hAnsi="Arial"/>
                <w:b/>
                <w:sz w:val="20"/>
              </w:rPr>
              <w:t>Afdeling 14 – Rechtsgebiedoverschrijdende passiva</w:t>
            </w:r>
          </w:p>
        </w:tc>
        <w:tc>
          <w:tcPr>
            <w:tcW w:w="2745" w:type="dxa"/>
            <w:tcBorders>
              <w:top w:val="nil"/>
              <w:left w:val="nil"/>
              <w:right w:val="nil"/>
            </w:tcBorders>
            <w:hideMark/>
          </w:tcPr>
          <w:p w:rsidRPr="00A325F7" w:rsidR="00511E87" w:rsidP="00B85722" w:rsidRDefault="00511E87" w14:paraId="241D45B9"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4DA6923F" w14:textId="77777777">
        <w:trPr>
          <w:gridAfter w:val="1"/>
          <w:wAfter w:w="2745" w:type="dxa"/>
          <w:trHeight w:val="300"/>
        </w:trPr>
        <w:tc>
          <w:tcPr>
            <w:tcW w:w="6804" w:type="dxa"/>
            <w:tcBorders>
              <w:left w:val="nil"/>
              <w:right w:val="nil"/>
            </w:tcBorders>
            <w:noWrap/>
            <w:hideMark/>
          </w:tcPr>
          <w:p w:rsidRPr="00A325F7" w:rsidR="00511E87" w:rsidP="00B85722" w:rsidRDefault="00511E87" w14:paraId="6F849DCC" w14:textId="77777777">
            <w:pPr>
              <w:ind w:left="171" w:firstLine="28" w:firstLineChars="14"/>
              <w:rPr>
                <w:rFonts w:ascii="Arial" w:hAnsi="Arial" w:eastAsia="Times New Roman" w:cs="Arial"/>
                <w:sz w:val="20"/>
                <w:szCs w:val="20"/>
              </w:rPr>
            </w:pPr>
            <w:r w:rsidRPr="00A325F7">
              <w:rPr>
                <w:rFonts w:ascii="Arial" w:hAnsi="Arial"/>
                <w:sz w:val="20"/>
              </w:rPr>
              <w:t>a. Buitenlandse passiva op basis van onmiddellijk risico, exclusief derivaten en inclusief lokale passiva in lokale valuta</w:t>
            </w:r>
          </w:p>
        </w:tc>
      </w:tr>
      <w:tr w:rsidRPr="00A325F7" w:rsidR="00511E87" w:rsidTr="00B85722" w14:paraId="142FAF6A" w14:textId="77777777">
        <w:trPr>
          <w:trHeight w:val="300"/>
        </w:trPr>
        <w:tc>
          <w:tcPr>
            <w:tcW w:w="6804" w:type="dxa"/>
            <w:tcBorders>
              <w:left w:val="nil"/>
              <w:right w:val="nil"/>
            </w:tcBorders>
            <w:noWrap/>
            <w:hideMark/>
          </w:tcPr>
          <w:p w:rsidRPr="00A325F7" w:rsidR="00511E87" w:rsidP="00B85722" w:rsidRDefault="00511E87" w14:paraId="0A454D89" w14:textId="77777777">
            <w:pPr>
              <w:ind w:firstLine="200" w:firstLineChars="100"/>
              <w:rPr>
                <w:rFonts w:ascii="Arial" w:hAnsi="Arial" w:eastAsia="Times New Roman" w:cs="Arial"/>
                <w:sz w:val="20"/>
                <w:szCs w:val="20"/>
              </w:rPr>
            </w:pPr>
            <w:r w:rsidRPr="00A325F7">
              <w:rPr>
                <w:rFonts w:ascii="Arial" w:hAnsi="Arial"/>
                <w:sz w:val="20"/>
              </w:rPr>
              <w:t>b. Buitenlandse derivatenpassiva op basis van onmiddellijk risico</w:t>
            </w:r>
          </w:p>
        </w:tc>
        <w:tc>
          <w:tcPr>
            <w:tcW w:w="2745" w:type="dxa"/>
            <w:tcBorders>
              <w:left w:val="nil"/>
              <w:right w:val="nil"/>
            </w:tcBorders>
            <w:noWrap/>
            <w:hideMark/>
          </w:tcPr>
          <w:p w:rsidRPr="00A325F7" w:rsidR="00511E87" w:rsidP="00B85722" w:rsidRDefault="00511E87" w14:paraId="1FBC41A9"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FF48D20" w14:textId="77777777">
        <w:trPr>
          <w:gridAfter w:val="1"/>
          <w:wAfter w:w="2745" w:type="dxa"/>
          <w:trHeight w:val="300"/>
        </w:trPr>
        <w:tc>
          <w:tcPr>
            <w:tcW w:w="6804" w:type="dxa"/>
            <w:tcBorders>
              <w:left w:val="nil"/>
              <w:bottom w:val="single" w:color="auto" w:sz="4" w:space="0"/>
              <w:right w:val="nil"/>
            </w:tcBorders>
            <w:hideMark/>
          </w:tcPr>
          <w:p w:rsidRPr="00A325F7" w:rsidR="00511E87" w:rsidP="00B85722" w:rsidRDefault="00511E87" w14:paraId="04691FC5" w14:textId="77777777">
            <w:pPr>
              <w:ind w:firstLine="200" w:firstLineChars="100"/>
              <w:rPr>
                <w:rFonts w:ascii="Arial" w:hAnsi="Arial" w:eastAsia="Times New Roman" w:cs="Arial"/>
                <w:sz w:val="20"/>
                <w:szCs w:val="20"/>
              </w:rPr>
            </w:pPr>
            <w:r w:rsidRPr="00A325F7">
              <w:rPr>
                <w:rFonts w:ascii="Arial" w:hAnsi="Arial"/>
                <w:sz w:val="20"/>
              </w:rPr>
              <w:t>c. Indicator voor rechtsgebiedoverschrijdende passiva (som van de posten 14.a en 14.b)</w:t>
            </w:r>
          </w:p>
        </w:tc>
      </w:tr>
      <w:tr w:rsidRPr="00A325F7" w:rsidR="00511E87" w:rsidTr="00B85722" w14:paraId="17E4AE20" w14:textId="77777777">
        <w:trPr>
          <w:trHeight w:val="300"/>
        </w:trPr>
        <w:tc>
          <w:tcPr>
            <w:tcW w:w="6804" w:type="dxa"/>
            <w:tcBorders>
              <w:left w:val="nil"/>
              <w:bottom w:val="nil"/>
              <w:right w:val="nil"/>
            </w:tcBorders>
            <w:noWrap/>
          </w:tcPr>
          <w:p w:rsidRPr="00A325F7" w:rsidR="00511E87" w:rsidP="00B85722" w:rsidRDefault="00511E87" w14:paraId="73D6E62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16495F96" w14:textId="77777777">
            <w:pPr>
              <w:jc w:val="center"/>
              <w:rPr>
                <w:rFonts w:ascii="Arial" w:hAnsi="Arial" w:eastAsia="Times New Roman" w:cs="Arial"/>
                <w:b/>
                <w:bCs/>
                <w:sz w:val="20"/>
                <w:szCs w:val="20"/>
                <w:lang w:eastAsia="en-GB"/>
              </w:rPr>
            </w:pPr>
          </w:p>
        </w:tc>
      </w:tr>
      <w:tr w:rsidRPr="00A325F7" w:rsidR="00511E87" w:rsidTr="00B85722" w14:paraId="76FA88BC" w14:textId="77777777">
        <w:trPr>
          <w:trHeight w:val="300"/>
        </w:trPr>
        <w:tc>
          <w:tcPr>
            <w:tcW w:w="6804" w:type="dxa"/>
            <w:tcBorders>
              <w:top w:val="nil"/>
              <w:left w:val="nil"/>
              <w:bottom w:val="nil"/>
              <w:right w:val="nil"/>
            </w:tcBorders>
            <w:noWrap/>
          </w:tcPr>
          <w:p w:rsidRPr="00A325F7" w:rsidR="00511E87" w:rsidP="00B85722" w:rsidRDefault="00511E87" w14:paraId="3AF8B0AE" w14:textId="77777777">
            <w:pPr>
              <w:keepNext/>
              <w:keepLines/>
              <w:spacing w:before="47"/>
              <w:outlineLvl w:val="5"/>
              <w:rPr>
                <w:rFonts w:ascii="Arial" w:hAnsi="Arial" w:eastAsia="Times New Roman" w:cs="Arial"/>
                <w:b/>
                <w:bCs/>
                <w:i/>
                <w:iCs/>
                <w:caps/>
                <w:color w:val="172B39" w:themeColor="accent1" w:themeShade="80"/>
                <w:sz w:val="20"/>
                <w:szCs w:val="20"/>
              </w:rPr>
            </w:pPr>
            <w:r w:rsidRPr="00A325F7">
              <w:rPr>
                <w:rFonts w:asciiTheme="majorHAnsi" w:hAnsiTheme="majorHAnsi"/>
                <w:b/>
                <w:i/>
                <w:caps/>
              </w:rPr>
              <w:t>NEVENGEGEVENS</w:t>
            </w:r>
          </w:p>
        </w:tc>
        <w:tc>
          <w:tcPr>
            <w:tcW w:w="2745" w:type="dxa"/>
            <w:tcBorders>
              <w:top w:val="nil"/>
              <w:left w:val="nil"/>
              <w:bottom w:val="nil"/>
              <w:right w:val="nil"/>
            </w:tcBorders>
          </w:tcPr>
          <w:p w:rsidRPr="00A325F7" w:rsidR="00511E87" w:rsidP="00B85722" w:rsidRDefault="00511E87" w14:paraId="719EDFBF" w14:textId="77777777">
            <w:pPr>
              <w:jc w:val="center"/>
              <w:rPr>
                <w:rFonts w:ascii="Arial" w:hAnsi="Arial" w:eastAsia="Times New Roman" w:cs="Arial"/>
                <w:b/>
                <w:bCs/>
                <w:sz w:val="20"/>
                <w:szCs w:val="20"/>
                <w:lang w:eastAsia="en-GB"/>
              </w:rPr>
            </w:pPr>
          </w:p>
        </w:tc>
      </w:tr>
      <w:tr w:rsidRPr="00A325F7" w:rsidR="00511E87" w:rsidTr="00B85722" w14:paraId="7944FE3E" w14:textId="77777777">
        <w:trPr>
          <w:trHeight w:val="300"/>
        </w:trPr>
        <w:tc>
          <w:tcPr>
            <w:tcW w:w="6804" w:type="dxa"/>
            <w:tcBorders>
              <w:top w:val="nil"/>
              <w:left w:val="nil"/>
              <w:bottom w:val="single" w:color="auto" w:sz="4" w:space="0"/>
              <w:right w:val="nil"/>
            </w:tcBorders>
            <w:noWrap/>
          </w:tcPr>
          <w:p w:rsidRPr="00A325F7" w:rsidR="00511E87" w:rsidP="00B85722" w:rsidRDefault="00511E87" w14:paraId="045C994C"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A325F7" w:rsidR="00511E87" w:rsidP="00B85722" w:rsidRDefault="00511E87" w14:paraId="6F71BBF8" w14:textId="77777777">
            <w:pPr>
              <w:jc w:val="center"/>
              <w:rPr>
                <w:rFonts w:ascii="Arial" w:hAnsi="Arial" w:eastAsia="Times New Roman" w:cs="Arial"/>
                <w:b/>
                <w:bCs/>
                <w:sz w:val="20"/>
                <w:szCs w:val="20"/>
                <w:lang w:eastAsia="en-GB"/>
              </w:rPr>
            </w:pPr>
          </w:p>
        </w:tc>
      </w:tr>
      <w:tr w:rsidRPr="00A325F7" w:rsidR="00511E87" w:rsidTr="00B85722" w14:paraId="4FE0B48A" w14:textId="77777777">
        <w:trPr>
          <w:trHeight w:val="300"/>
        </w:trPr>
        <w:tc>
          <w:tcPr>
            <w:tcW w:w="6804" w:type="dxa"/>
            <w:tcBorders>
              <w:left w:val="nil"/>
              <w:bottom w:val="single" w:color="auto" w:sz="4" w:space="0"/>
              <w:right w:val="nil"/>
            </w:tcBorders>
            <w:noWrap/>
            <w:hideMark/>
          </w:tcPr>
          <w:p w:rsidRPr="00A325F7" w:rsidR="00511E87" w:rsidP="00B85722" w:rsidRDefault="00511E87" w14:paraId="66DA991E" w14:textId="77777777">
            <w:pPr>
              <w:rPr>
                <w:rFonts w:ascii="Arial" w:hAnsi="Arial" w:eastAsia="Times New Roman" w:cs="Arial"/>
                <w:b/>
                <w:bCs/>
                <w:sz w:val="20"/>
                <w:szCs w:val="20"/>
              </w:rPr>
            </w:pPr>
            <w:r w:rsidRPr="00A325F7">
              <w:rPr>
                <w:rFonts w:ascii="Arial" w:hAnsi="Arial"/>
                <w:b/>
                <w:sz w:val="20"/>
              </w:rPr>
              <w:t>Afdeling 15 – Nevenindicatoren</w:t>
            </w:r>
          </w:p>
        </w:tc>
        <w:tc>
          <w:tcPr>
            <w:tcW w:w="2745" w:type="dxa"/>
            <w:tcBorders>
              <w:left w:val="nil"/>
              <w:bottom w:val="single" w:color="auto" w:sz="4" w:space="0"/>
              <w:right w:val="nil"/>
            </w:tcBorders>
            <w:hideMark/>
          </w:tcPr>
          <w:p w:rsidRPr="00A325F7" w:rsidR="00511E87" w:rsidP="00B85722" w:rsidRDefault="00511E87" w14:paraId="6B30F2D5"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40537A06" w14:textId="77777777">
        <w:trPr>
          <w:trHeight w:val="300"/>
        </w:trPr>
        <w:tc>
          <w:tcPr>
            <w:tcW w:w="6804" w:type="dxa"/>
            <w:tcBorders>
              <w:left w:val="nil"/>
              <w:right w:val="nil"/>
            </w:tcBorders>
            <w:noWrap/>
            <w:hideMark/>
          </w:tcPr>
          <w:p w:rsidRPr="00A325F7" w:rsidR="00511E87" w:rsidP="00B85722" w:rsidRDefault="00511E87" w14:paraId="7A7ADFFB" w14:textId="77777777">
            <w:pPr>
              <w:ind w:firstLine="200" w:firstLineChars="100"/>
              <w:rPr>
                <w:rFonts w:ascii="Arial" w:hAnsi="Arial" w:eastAsia="Times New Roman" w:cs="Arial"/>
                <w:sz w:val="20"/>
                <w:szCs w:val="20"/>
              </w:rPr>
            </w:pPr>
            <w:r w:rsidRPr="00A325F7">
              <w:rPr>
                <w:rFonts w:ascii="Arial" w:hAnsi="Arial"/>
                <w:sz w:val="20"/>
              </w:rPr>
              <w:t>a. Totaal passiva</w:t>
            </w:r>
          </w:p>
        </w:tc>
        <w:tc>
          <w:tcPr>
            <w:tcW w:w="2745" w:type="dxa"/>
            <w:tcBorders>
              <w:left w:val="nil"/>
              <w:right w:val="nil"/>
            </w:tcBorders>
            <w:noWrap/>
            <w:hideMark/>
          </w:tcPr>
          <w:p w:rsidRPr="00A325F7" w:rsidR="00511E87" w:rsidP="00B85722" w:rsidRDefault="00511E87" w14:paraId="56EF95D2"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96015E6" w14:textId="77777777">
        <w:trPr>
          <w:trHeight w:val="300"/>
        </w:trPr>
        <w:tc>
          <w:tcPr>
            <w:tcW w:w="6804" w:type="dxa"/>
            <w:tcBorders>
              <w:left w:val="nil"/>
              <w:right w:val="nil"/>
            </w:tcBorders>
            <w:noWrap/>
            <w:hideMark/>
          </w:tcPr>
          <w:p w:rsidRPr="00A325F7" w:rsidR="00511E87" w:rsidP="00B85722" w:rsidRDefault="00511E87" w14:paraId="5D7CFEC3" w14:textId="77777777">
            <w:pPr>
              <w:ind w:firstLine="200" w:firstLineChars="100"/>
              <w:rPr>
                <w:rFonts w:ascii="Arial" w:hAnsi="Arial" w:eastAsia="Times New Roman" w:cs="Arial"/>
                <w:sz w:val="20"/>
                <w:szCs w:val="20"/>
              </w:rPr>
            </w:pPr>
            <w:r w:rsidRPr="00A325F7">
              <w:rPr>
                <w:rFonts w:ascii="Arial" w:hAnsi="Arial"/>
                <w:sz w:val="20"/>
              </w:rPr>
              <w:t>b. Retailfinanciering</w:t>
            </w:r>
          </w:p>
        </w:tc>
        <w:tc>
          <w:tcPr>
            <w:tcW w:w="2745" w:type="dxa"/>
            <w:tcBorders>
              <w:left w:val="nil"/>
              <w:right w:val="nil"/>
            </w:tcBorders>
            <w:noWrap/>
            <w:hideMark/>
          </w:tcPr>
          <w:p w:rsidRPr="00A325F7" w:rsidR="00511E87" w:rsidP="00B85722" w:rsidRDefault="00511E87" w14:paraId="1F465CBA"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957D1F2" w14:textId="77777777">
        <w:trPr>
          <w:gridAfter w:val="1"/>
          <w:wAfter w:w="2745" w:type="dxa"/>
          <w:trHeight w:val="540"/>
        </w:trPr>
        <w:tc>
          <w:tcPr>
            <w:tcW w:w="6804" w:type="dxa"/>
            <w:tcBorders>
              <w:left w:val="nil"/>
              <w:right w:val="nil"/>
            </w:tcBorders>
            <w:noWrap/>
            <w:hideMark/>
          </w:tcPr>
          <w:p w:rsidRPr="00A325F7" w:rsidR="00511E87" w:rsidP="00B85722" w:rsidRDefault="00511E87" w14:paraId="2634F997" w14:textId="77777777">
            <w:pPr>
              <w:ind w:left="171"/>
              <w:rPr>
                <w:rFonts w:ascii="Arial" w:hAnsi="Arial" w:eastAsia="Times New Roman" w:cs="Arial"/>
                <w:sz w:val="20"/>
                <w:szCs w:val="20"/>
              </w:rPr>
            </w:pPr>
            <w:r w:rsidRPr="00A325F7">
              <w:rPr>
                <w:rFonts w:ascii="Arial" w:hAnsi="Arial"/>
                <w:sz w:val="20"/>
              </w:rPr>
              <w:t>c. Ratio voor de afhankelijkheid van wholesalefinanciering (verschil tussen de posten 15.a en 15.b, gedeeld door 15.a)</w:t>
            </w:r>
          </w:p>
        </w:tc>
      </w:tr>
      <w:tr w:rsidRPr="00A325F7" w:rsidR="00511E87" w:rsidTr="00B85722" w14:paraId="12859995" w14:textId="77777777">
        <w:trPr>
          <w:trHeight w:val="300"/>
        </w:trPr>
        <w:tc>
          <w:tcPr>
            <w:tcW w:w="6804" w:type="dxa"/>
            <w:tcBorders>
              <w:left w:val="nil"/>
              <w:right w:val="nil"/>
            </w:tcBorders>
            <w:noWrap/>
            <w:hideMark/>
          </w:tcPr>
          <w:p w:rsidRPr="00A325F7" w:rsidR="00511E87" w:rsidP="00B85722" w:rsidRDefault="00511E87" w14:paraId="191E24AE" w14:textId="77777777">
            <w:pPr>
              <w:ind w:firstLine="200" w:firstLineChars="100"/>
              <w:rPr>
                <w:rFonts w:ascii="Arial" w:hAnsi="Arial" w:eastAsia="Times New Roman" w:cs="Arial"/>
                <w:sz w:val="20"/>
                <w:szCs w:val="20"/>
              </w:rPr>
            </w:pPr>
            <w:r w:rsidRPr="00A325F7">
              <w:rPr>
                <w:rFonts w:ascii="Arial" w:hAnsi="Arial"/>
                <w:sz w:val="20"/>
              </w:rPr>
              <w:t>d. Totaal bruto inkomsten</w:t>
            </w:r>
          </w:p>
        </w:tc>
        <w:tc>
          <w:tcPr>
            <w:tcW w:w="2745" w:type="dxa"/>
            <w:tcBorders>
              <w:left w:val="nil"/>
              <w:right w:val="nil"/>
            </w:tcBorders>
            <w:noWrap/>
            <w:hideMark/>
          </w:tcPr>
          <w:p w:rsidRPr="00A325F7" w:rsidR="00511E87" w:rsidP="00B85722" w:rsidRDefault="00511E87" w14:paraId="3471F30A"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876134F" w14:textId="77777777">
        <w:trPr>
          <w:trHeight w:val="300"/>
        </w:trPr>
        <w:tc>
          <w:tcPr>
            <w:tcW w:w="6804" w:type="dxa"/>
            <w:tcBorders>
              <w:left w:val="nil"/>
              <w:right w:val="nil"/>
            </w:tcBorders>
            <w:noWrap/>
            <w:hideMark/>
          </w:tcPr>
          <w:p w:rsidRPr="00A325F7" w:rsidR="00511E87" w:rsidP="00B85722" w:rsidRDefault="00511E87" w14:paraId="2A619F87" w14:textId="77777777">
            <w:pPr>
              <w:ind w:firstLine="200" w:firstLineChars="100"/>
              <w:rPr>
                <w:rFonts w:ascii="Arial" w:hAnsi="Arial" w:eastAsia="Times New Roman" w:cs="Arial"/>
                <w:sz w:val="20"/>
                <w:szCs w:val="20"/>
              </w:rPr>
            </w:pPr>
            <w:r w:rsidRPr="00A325F7">
              <w:rPr>
                <w:rFonts w:ascii="Arial" w:hAnsi="Arial"/>
                <w:sz w:val="20"/>
              </w:rPr>
              <w:t>e. Totaal netto inkomsten</w:t>
            </w:r>
          </w:p>
        </w:tc>
        <w:tc>
          <w:tcPr>
            <w:tcW w:w="2745" w:type="dxa"/>
            <w:tcBorders>
              <w:left w:val="nil"/>
              <w:right w:val="nil"/>
            </w:tcBorders>
            <w:noWrap/>
            <w:hideMark/>
          </w:tcPr>
          <w:p w:rsidRPr="00A325F7" w:rsidR="00511E87" w:rsidP="00B85722" w:rsidRDefault="00511E87" w14:paraId="7E31D2E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1CA9F5DB" w14:textId="77777777">
        <w:trPr>
          <w:trHeight w:val="300"/>
        </w:trPr>
        <w:tc>
          <w:tcPr>
            <w:tcW w:w="6804" w:type="dxa"/>
            <w:tcBorders>
              <w:left w:val="nil"/>
              <w:right w:val="nil"/>
            </w:tcBorders>
            <w:noWrap/>
            <w:hideMark/>
          </w:tcPr>
          <w:p w:rsidRPr="00A325F7" w:rsidR="00511E87" w:rsidP="00B85722" w:rsidRDefault="00511E87" w14:paraId="44CF9A89" w14:textId="77777777">
            <w:pPr>
              <w:ind w:firstLine="200" w:firstLineChars="100"/>
              <w:rPr>
                <w:rFonts w:ascii="Arial" w:hAnsi="Arial" w:eastAsia="Times New Roman" w:cs="Arial"/>
                <w:sz w:val="20"/>
                <w:szCs w:val="20"/>
              </w:rPr>
            </w:pPr>
            <w:r w:rsidRPr="00A325F7">
              <w:rPr>
                <w:rFonts w:ascii="Arial" w:hAnsi="Arial"/>
                <w:sz w:val="20"/>
              </w:rPr>
              <w:t>f. Buitenlandse netto inkomsten</w:t>
            </w:r>
          </w:p>
        </w:tc>
        <w:tc>
          <w:tcPr>
            <w:tcW w:w="2745" w:type="dxa"/>
            <w:tcBorders>
              <w:left w:val="nil"/>
              <w:right w:val="nil"/>
            </w:tcBorders>
            <w:noWrap/>
            <w:hideMark/>
          </w:tcPr>
          <w:p w:rsidRPr="00A325F7" w:rsidR="00511E87" w:rsidP="00B85722" w:rsidRDefault="00511E87" w14:paraId="6B6855A1"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CE175E9" w14:textId="77777777">
        <w:trPr>
          <w:trHeight w:val="300"/>
        </w:trPr>
        <w:tc>
          <w:tcPr>
            <w:tcW w:w="6804" w:type="dxa"/>
            <w:tcBorders>
              <w:left w:val="nil"/>
              <w:right w:val="nil"/>
            </w:tcBorders>
            <w:noWrap/>
          </w:tcPr>
          <w:p w:rsidRPr="00A325F7" w:rsidR="00511E87" w:rsidP="00B85722" w:rsidRDefault="00511E87" w14:paraId="3F49897B" w14:textId="77777777">
            <w:pPr>
              <w:ind w:left="171"/>
              <w:rPr>
                <w:rFonts w:ascii="Arial" w:hAnsi="Arial" w:eastAsia="Times New Roman" w:cs="Arial"/>
                <w:sz w:val="20"/>
                <w:szCs w:val="20"/>
              </w:rPr>
            </w:pPr>
            <w:r w:rsidRPr="00A325F7">
              <w:rPr>
                <w:rFonts w:ascii="Arial" w:hAnsi="Arial"/>
                <w:sz w:val="20"/>
              </w:rPr>
              <w:t>g. Bruto waarde van contanten uitgeleend en bruto reële waarde van effecten uitgeleend bij SFT’s</w:t>
            </w:r>
          </w:p>
        </w:tc>
        <w:tc>
          <w:tcPr>
            <w:tcW w:w="2745" w:type="dxa"/>
            <w:tcBorders>
              <w:left w:val="nil"/>
              <w:right w:val="nil"/>
            </w:tcBorders>
            <w:noWrap/>
          </w:tcPr>
          <w:p w:rsidRPr="00A325F7" w:rsidR="00511E87" w:rsidP="00B85722" w:rsidRDefault="00511E87" w14:paraId="032C12FF" w14:textId="77777777">
            <w:pPr>
              <w:jc w:val="right"/>
              <w:rPr>
                <w:rFonts w:ascii="Arial" w:hAnsi="Arial" w:eastAsia="Times New Roman" w:cs="Arial"/>
                <w:sz w:val="20"/>
                <w:szCs w:val="20"/>
                <w:lang w:eastAsia="en-GB"/>
              </w:rPr>
            </w:pPr>
          </w:p>
        </w:tc>
      </w:tr>
      <w:tr w:rsidRPr="00A325F7" w:rsidR="00511E87" w:rsidTr="00B85722" w14:paraId="5BCC2554" w14:textId="77777777">
        <w:trPr>
          <w:trHeight w:val="300"/>
        </w:trPr>
        <w:tc>
          <w:tcPr>
            <w:tcW w:w="6804" w:type="dxa"/>
            <w:tcBorders>
              <w:left w:val="nil"/>
              <w:right w:val="nil"/>
            </w:tcBorders>
            <w:noWrap/>
          </w:tcPr>
          <w:p w:rsidRPr="00A325F7" w:rsidR="00511E87" w:rsidP="00B85722" w:rsidRDefault="00511E87" w14:paraId="00754B1C" w14:textId="77777777">
            <w:pPr>
              <w:ind w:left="171"/>
              <w:rPr>
                <w:rFonts w:ascii="Arial" w:hAnsi="Arial" w:eastAsia="Times New Roman" w:cs="Arial"/>
                <w:sz w:val="20"/>
                <w:szCs w:val="20"/>
              </w:rPr>
            </w:pPr>
            <w:r w:rsidRPr="00A325F7">
              <w:rPr>
                <w:rFonts w:ascii="Arial" w:hAnsi="Arial"/>
                <w:sz w:val="20"/>
              </w:rPr>
              <w:t>h. Bruto waarde van contanten geleend en bruto reële waarde van effecten geleend bij SFT’s</w:t>
            </w:r>
          </w:p>
        </w:tc>
        <w:tc>
          <w:tcPr>
            <w:tcW w:w="2745" w:type="dxa"/>
            <w:tcBorders>
              <w:left w:val="nil"/>
              <w:right w:val="nil"/>
            </w:tcBorders>
            <w:noWrap/>
          </w:tcPr>
          <w:p w:rsidRPr="00A325F7" w:rsidR="00511E87" w:rsidP="00B85722" w:rsidRDefault="00511E87" w14:paraId="2ECF2506" w14:textId="77777777">
            <w:pPr>
              <w:jc w:val="right"/>
              <w:rPr>
                <w:rFonts w:ascii="Arial" w:hAnsi="Arial" w:eastAsia="Times New Roman" w:cs="Arial"/>
                <w:sz w:val="20"/>
                <w:szCs w:val="20"/>
                <w:lang w:eastAsia="en-GB"/>
              </w:rPr>
            </w:pPr>
          </w:p>
        </w:tc>
      </w:tr>
      <w:tr w:rsidRPr="00A325F7" w:rsidR="00511E87" w:rsidTr="00B85722" w14:paraId="674B4758" w14:textId="77777777">
        <w:trPr>
          <w:trHeight w:val="300"/>
        </w:trPr>
        <w:tc>
          <w:tcPr>
            <w:tcW w:w="6804" w:type="dxa"/>
            <w:tcBorders>
              <w:left w:val="nil"/>
              <w:right w:val="nil"/>
            </w:tcBorders>
            <w:noWrap/>
          </w:tcPr>
          <w:p w:rsidRPr="00A325F7" w:rsidR="00511E87" w:rsidP="00B85722" w:rsidRDefault="00511E87" w14:paraId="41C0FE2A" w14:textId="77777777">
            <w:pPr>
              <w:ind w:left="171"/>
              <w:rPr>
                <w:rFonts w:ascii="Arial" w:hAnsi="Arial" w:eastAsia="Times New Roman" w:cs="Arial"/>
                <w:sz w:val="20"/>
                <w:szCs w:val="20"/>
              </w:rPr>
            </w:pPr>
            <w:r w:rsidRPr="00A325F7">
              <w:rPr>
                <w:rFonts w:ascii="Arial" w:hAnsi="Arial"/>
                <w:sz w:val="20"/>
              </w:rPr>
              <w:t>i. Bruto positieve reële waarde van over the counter (OTC)-derivatentransacties</w:t>
            </w:r>
          </w:p>
        </w:tc>
        <w:tc>
          <w:tcPr>
            <w:tcW w:w="2745" w:type="dxa"/>
            <w:tcBorders>
              <w:left w:val="nil"/>
              <w:right w:val="nil"/>
            </w:tcBorders>
            <w:noWrap/>
          </w:tcPr>
          <w:p w:rsidRPr="00A325F7" w:rsidR="00511E87" w:rsidP="00B85722" w:rsidRDefault="00511E87" w14:paraId="23E36FF8" w14:textId="77777777">
            <w:pPr>
              <w:jc w:val="right"/>
              <w:rPr>
                <w:rFonts w:ascii="Arial" w:hAnsi="Arial" w:eastAsia="Times New Roman" w:cs="Arial"/>
                <w:sz w:val="20"/>
                <w:szCs w:val="20"/>
                <w:lang w:eastAsia="en-GB"/>
              </w:rPr>
            </w:pPr>
          </w:p>
        </w:tc>
      </w:tr>
      <w:tr w:rsidRPr="00A325F7" w:rsidR="00511E87" w:rsidTr="00B85722" w14:paraId="638C7C17" w14:textId="77777777">
        <w:trPr>
          <w:trHeight w:val="300"/>
        </w:trPr>
        <w:tc>
          <w:tcPr>
            <w:tcW w:w="6804" w:type="dxa"/>
            <w:tcBorders>
              <w:left w:val="nil"/>
              <w:bottom w:val="single" w:color="auto" w:sz="4" w:space="0"/>
              <w:right w:val="nil"/>
            </w:tcBorders>
            <w:noWrap/>
          </w:tcPr>
          <w:p w:rsidRPr="00A325F7" w:rsidR="00511E87" w:rsidP="00B85722" w:rsidRDefault="00511E87" w14:paraId="4DFCFB65" w14:textId="77777777">
            <w:pPr>
              <w:ind w:left="171"/>
              <w:rPr>
                <w:rFonts w:ascii="Arial" w:hAnsi="Arial" w:eastAsia="Times New Roman" w:cs="Arial"/>
                <w:sz w:val="20"/>
                <w:szCs w:val="20"/>
              </w:rPr>
            </w:pPr>
            <w:r w:rsidRPr="00A325F7">
              <w:rPr>
                <w:rFonts w:ascii="Arial" w:hAnsi="Arial"/>
                <w:sz w:val="20"/>
              </w:rPr>
              <w:t>j. Bruto negatieve reële waarde van OTC-derivatentransacties</w:t>
            </w:r>
          </w:p>
        </w:tc>
        <w:tc>
          <w:tcPr>
            <w:tcW w:w="2745" w:type="dxa"/>
            <w:tcBorders>
              <w:left w:val="nil"/>
              <w:bottom w:val="single" w:color="auto" w:sz="4" w:space="0"/>
              <w:right w:val="nil"/>
            </w:tcBorders>
            <w:noWrap/>
          </w:tcPr>
          <w:p w:rsidRPr="00A325F7" w:rsidR="00511E87" w:rsidP="00B85722" w:rsidRDefault="00511E87" w14:paraId="7D453844" w14:textId="77777777">
            <w:pPr>
              <w:jc w:val="right"/>
              <w:rPr>
                <w:rFonts w:ascii="Arial" w:hAnsi="Arial" w:eastAsia="Times New Roman" w:cs="Arial"/>
                <w:sz w:val="20"/>
                <w:szCs w:val="20"/>
                <w:lang w:eastAsia="en-GB"/>
              </w:rPr>
            </w:pPr>
          </w:p>
        </w:tc>
      </w:tr>
      <w:tr w:rsidRPr="00A325F7" w:rsidR="00511E87" w:rsidTr="00B85722" w14:paraId="161F9576" w14:textId="77777777">
        <w:trPr>
          <w:trHeight w:val="300"/>
        </w:trPr>
        <w:tc>
          <w:tcPr>
            <w:tcW w:w="6804" w:type="dxa"/>
            <w:tcBorders>
              <w:left w:val="nil"/>
              <w:bottom w:val="single" w:color="auto" w:sz="4" w:space="0"/>
              <w:right w:val="nil"/>
            </w:tcBorders>
            <w:noWrap/>
            <w:hideMark/>
          </w:tcPr>
          <w:p w:rsidRPr="00A325F7" w:rsidR="00511E87" w:rsidP="00B85722" w:rsidRDefault="00511E87" w14:paraId="1F817412" w14:textId="77777777">
            <w:pPr>
              <w:rPr>
                <w:rFonts w:ascii="Arial" w:hAnsi="Arial" w:eastAsia="Times New Roman" w:cs="Arial"/>
                <w:sz w:val="20"/>
                <w:szCs w:val="20"/>
              </w:rPr>
            </w:pPr>
            <w:r w:rsidRPr="00A325F7">
              <w:rPr>
                <w:rFonts w:ascii="Arial" w:hAnsi="Arial"/>
                <w:sz w:val="20"/>
              </w:rPr>
              <w:t> </w:t>
            </w:r>
          </w:p>
        </w:tc>
        <w:tc>
          <w:tcPr>
            <w:tcW w:w="2745" w:type="dxa"/>
            <w:tcBorders>
              <w:left w:val="nil"/>
              <w:bottom w:val="single" w:color="auto" w:sz="4" w:space="0"/>
              <w:right w:val="nil"/>
            </w:tcBorders>
            <w:hideMark/>
          </w:tcPr>
          <w:p w:rsidRPr="00A325F7" w:rsidR="00511E87" w:rsidP="00B85722" w:rsidRDefault="00511E87" w14:paraId="444E97BA" w14:textId="77777777">
            <w:pPr>
              <w:jc w:val="center"/>
              <w:rPr>
                <w:rFonts w:ascii="Arial" w:hAnsi="Arial" w:eastAsia="Times New Roman" w:cs="Arial"/>
                <w:b/>
                <w:bCs/>
                <w:sz w:val="20"/>
                <w:szCs w:val="20"/>
              </w:rPr>
            </w:pPr>
            <w:r w:rsidRPr="00A325F7">
              <w:rPr>
                <w:rFonts w:ascii="Arial" w:hAnsi="Arial"/>
                <w:b/>
                <w:sz w:val="20"/>
              </w:rPr>
              <w:t>Bedrag in enkelvoudige eenheden</w:t>
            </w:r>
          </w:p>
        </w:tc>
      </w:tr>
      <w:tr w:rsidRPr="00A325F7" w:rsidR="00511E87" w:rsidTr="00B85722" w14:paraId="5D748C7D" w14:textId="77777777">
        <w:trPr>
          <w:trHeight w:val="300"/>
        </w:trPr>
        <w:tc>
          <w:tcPr>
            <w:tcW w:w="6804" w:type="dxa"/>
            <w:tcBorders>
              <w:left w:val="nil"/>
              <w:bottom w:val="single" w:color="auto" w:sz="4" w:space="0"/>
              <w:right w:val="nil"/>
            </w:tcBorders>
            <w:noWrap/>
            <w:hideMark/>
          </w:tcPr>
          <w:p w:rsidRPr="00A325F7" w:rsidR="00511E87" w:rsidP="00B85722" w:rsidRDefault="00511E87" w14:paraId="54B59001" w14:textId="77777777">
            <w:pPr>
              <w:ind w:firstLine="200" w:firstLineChars="100"/>
              <w:rPr>
                <w:rFonts w:ascii="Arial" w:hAnsi="Arial" w:eastAsia="Times New Roman" w:cs="Arial"/>
                <w:sz w:val="20"/>
                <w:szCs w:val="20"/>
              </w:rPr>
            </w:pPr>
            <w:r w:rsidRPr="00A325F7">
              <w:rPr>
                <w:rFonts w:ascii="Arial" w:hAnsi="Arial"/>
                <w:sz w:val="20"/>
              </w:rPr>
              <w:t xml:space="preserve">k. Aantal rechtsgebieden </w:t>
            </w:r>
          </w:p>
        </w:tc>
        <w:tc>
          <w:tcPr>
            <w:tcW w:w="2745" w:type="dxa"/>
            <w:tcBorders>
              <w:left w:val="nil"/>
              <w:bottom w:val="single" w:color="auto" w:sz="4" w:space="0"/>
              <w:right w:val="nil"/>
            </w:tcBorders>
            <w:noWrap/>
            <w:hideMark/>
          </w:tcPr>
          <w:p w:rsidRPr="00A325F7" w:rsidR="00511E87" w:rsidP="00B85722" w:rsidRDefault="00511E87" w14:paraId="546262C9"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7F2D58A9" w14:textId="77777777">
        <w:trPr>
          <w:trHeight w:val="300"/>
        </w:trPr>
        <w:tc>
          <w:tcPr>
            <w:tcW w:w="6804" w:type="dxa"/>
            <w:tcBorders>
              <w:left w:val="nil"/>
              <w:bottom w:val="nil"/>
              <w:right w:val="nil"/>
            </w:tcBorders>
            <w:noWrap/>
          </w:tcPr>
          <w:p w:rsidRPr="00A325F7" w:rsidR="00511E87" w:rsidP="00B85722" w:rsidRDefault="00511E87" w14:paraId="5B3E7E9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078B1EE8" w14:textId="77777777">
            <w:pPr>
              <w:jc w:val="center"/>
              <w:rPr>
                <w:rFonts w:ascii="Arial" w:hAnsi="Arial" w:eastAsia="Times New Roman" w:cs="Arial"/>
                <w:b/>
                <w:bCs/>
                <w:sz w:val="20"/>
                <w:szCs w:val="20"/>
                <w:lang w:eastAsia="en-GB"/>
              </w:rPr>
            </w:pPr>
          </w:p>
        </w:tc>
      </w:tr>
      <w:tr w:rsidRPr="00A325F7" w:rsidR="00511E87" w:rsidTr="00B85722" w14:paraId="41F61258"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09AF35F2" w14:textId="77777777">
            <w:pPr>
              <w:rPr>
                <w:rFonts w:ascii="Arial" w:hAnsi="Arial" w:eastAsia="Times New Roman" w:cs="Arial"/>
                <w:b/>
                <w:bCs/>
                <w:sz w:val="20"/>
                <w:szCs w:val="20"/>
              </w:rPr>
            </w:pPr>
            <w:r w:rsidRPr="00A325F7">
              <w:rPr>
                <w:rFonts w:ascii="Arial" w:hAnsi="Arial"/>
                <w:b/>
                <w:sz w:val="20"/>
              </w:rPr>
              <w:t>Afdeling 16 – Nevenposten</w:t>
            </w:r>
          </w:p>
        </w:tc>
        <w:tc>
          <w:tcPr>
            <w:tcW w:w="2745" w:type="dxa"/>
            <w:tcBorders>
              <w:top w:val="nil"/>
              <w:left w:val="nil"/>
              <w:bottom w:val="single" w:color="auto" w:sz="4" w:space="0"/>
              <w:right w:val="nil"/>
            </w:tcBorders>
            <w:hideMark/>
          </w:tcPr>
          <w:p w:rsidRPr="00A325F7" w:rsidR="00511E87" w:rsidP="00B85722" w:rsidRDefault="00511E87" w14:paraId="21B543C8"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1CF7746E" w14:textId="77777777">
        <w:trPr>
          <w:trHeight w:val="300"/>
        </w:trPr>
        <w:tc>
          <w:tcPr>
            <w:tcW w:w="6804" w:type="dxa"/>
            <w:tcBorders>
              <w:left w:val="nil"/>
              <w:right w:val="nil"/>
            </w:tcBorders>
            <w:noWrap/>
            <w:hideMark/>
          </w:tcPr>
          <w:p w:rsidRPr="00A325F7" w:rsidR="00511E87" w:rsidP="00B85722" w:rsidRDefault="00511E87" w14:paraId="182A86C6" w14:textId="77777777">
            <w:pPr>
              <w:ind w:firstLine="200" w:firstLineChars="100"/>
              <w:rPr>
                <w:rFonts w:ascii="Arial" w:hAnsi="Arial" w:eastAsia="Times New Roman" w:cs="Arial"/>
                <w:sz w:val="20"/>
                <w:szCs w:val="20"/>
              </w:rPr>
            </w:pPr>
            <w:r w:rsidRPr="00A325F7">
              <w:rPr>
                <w:rFonts w:ascii="Arial" w:hAnsi="Arial"/>
                <w:sz w:val="20"/>
              </w:rPr>
              <w:t>a. Tot einde looptijd aangehouden effecten</w:t>
            </w:r>
          </w:p>
        </w:tc>
        <w:tc>
          <w:tcPr>
            <w:tcW w:w="2745" w:type="dxa"/>
            <w:tcBorders>
              <w:left w:val="nil"/>
              <w:right w:val="nil"/>
            </w:tcBorders>
            <w:noWrap/>
            <w:hideMark/>
          </w:tcPr>
          <w:p w:rsidRPr="00A325F7" w:rsidR="00511E87" w:rsidP="00B85722" w:rsidRDefault="00511E87" w14:paraId="32811460"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18355EB" w14:textId="77777777">
        <w:trPr>
          <w:trHeight w:val="300"/>
        </w:trPr>
        <w:tc>
          <w:tcPr>
            <w:tcW w:w="6804" w:type="dxa"/>
            <w:tcBorders>
              <w:left w:val="nil"/>
              <w:right w:val="nil"/>
            </w:tcBorders>
            <w:noWrap/>
            <w:hideMark/>
          </w:tcPr>
          <w:p w:rsidRPr="00A325F7" w:rsidR="00511E87" w:rsidP="00B85722" w:rsidRDefault="00511E87" w14:paraId="5C3A535C" w14:textId="77777777">
            <w:pPr>
              <w:ind w:firstLine="200" w:firstLineChars="100"/>
              <w:rPr>
                <w:rFonts w:ascii="Arial" w:hAnsi="Arial" w:eastAsia="Times New Roman" w:cs="Arial"/>
                <w:sz w:val="20"/>
                <w:szCs w:val="20"/>
              </w:rPr>
            </w:pPr>
            <w:r w:rsidRPr="00A325F7">
              <w:rPr>
                <w:rFonts w:ascii="Arial" w:hAnsi="Arial"/>
                <w:sz w:val="20"/>
              </w:rPr>
              <w:t>b. In het rapportagejaar gedane betalingen</w:t>
            </w:r>
          </w:p>
        </w:tc>
        <w:tc>
          <w:tcPr>
            <w:tcW w:w="2745" w:type="dxa"/>
            <w:tcBorders>
              <w:left w:val="nil"/>
              <w:right w:val="nil"/>
            </w:tcBorders>
            <w:noWrap/>
            <w:hideMark/>
          </w:tcPr>
          <w:p w:rsidRPr="00A325F7" w:rsidR="00511E87" w:rsidP="00B85722" w:rsidRDefault="00511E87" w14:paraId="449CE17D" w14:textId="77777777">
            <w:pPr>
              <w:ind w:firstLine="200" w:firstLineChars="100"/>
              <w:rPr>
                <w:rFonts w:ascii="Arial" w:hAnsi="Arial" w:eastAsia="Times New Roman" w:cs="Arial"/>
                <w:sz w:val="20"/>
                <w:szCs w:val="20"/>
              </w:rPr>
            </w:pPr>
            <w:r w:rsidRPr="00A325F7">
              <w:rPr>
                <w:rFonts w:ascii="Arial" w:hAnsi="Arial"/>
                <w:sz w:val="20"/>
              </w:rPr>
              <w:t> </w:t>
            </w:r>
          </w:p>
        </w:tc>
      </w:tr>
      <w:tr w:rsidRPr="00A325F7" w:rsidR="00511E87" w:rsidTr="00B85722" w14:paraId="725B30C8" w14:textId="77777777">
        <w:trPr>
          <w:trHeight w:val="300"/>
        </w:trPr>
        <w:tc>
          <w:tcPr>
            <w:tcW w:w="6804" w:type="dxa"/>
            <w:tcBorders>
              <w:left w:val="nil"/>
              <w:right w:val="nil"/>
            </w:tcBorders>
            <w:noWrap/>
            <w:hideMark/>
          </w:tcPr>
          <w:p w:rsidRPr="00A325F7" w:rsidR="00511E87" w:rsidP="00B85722" w:rsidRDefault="00511E87" w14:paraId="36840C96" w14:textId="77777777">
            <w:pPr>
              <w:ind w:firstLine="400" w:firstLineChars="200"/>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Braziliaanse real (BRL)</w:t>
            </w:r>
          </w:p>
        </w:tc>
        <w:tc>
          <w:tcPr>
            <w:tcW w:w="2745" w:type="dxa"/>
            <w:tcBorders>
              <w:left w:val="nil"/>
              <w:right w:val="nil"/>
            </w:tcBorders>
            <w:noWrap/>
            <w:hideMark/>
          </w:tcPr>
          <w:p w:rsidRPr="00A325F7" w:rsidR="00511E87" w:rsidP="00B85722" w:rsidRDefault="00511E87" w14:paraId="02E3A5C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228303C" w14:textId="77777777">
        <w:trPr>
          <w:trHeight w:val="300"/>
        </w:trPr>
        <w:tc>
          <w:tcPr>
            <w:tcW w:w="6804" w:type="dxa"/>
            <w:tcBorders>
              <w:left w:val="nil"/>
              <w:right w:val="nil"/>
            </w:tcBorders>
            <w:noWrap/>
            <w:hideMark/>
          </w:tcPr>
          <w:p w:rsidRPr="00A325F7" w:rsidR="00511E87" w:rsidP="00B85722" w:rsidRDefault="00511E87" w14:paraId="2F6B6E08" w14:textId="77777777">
            <w:pPr>
              <w:ind w:firstLine="400" w:firstLineChars="200"/>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Mexicaanse peso (MXN)</w:t>
            </w:r>
          </w:p>
        </w:tc>
        <w:tc>
          <w:tcPr>
            <w:tcW w:w="2745" w:type="dxa"/>
            <w:tcBorders>
              <w:left w:val="nil"/>
              <w:right w:val="nil"/>
            </w:tcBorders>
            <w:noWrap/>
            <w:hideMark/>
          </w:tcPr>
          <w:p w:rsidRPr="00A325F7" w:rsidR="00511E87" w:rsidP="00B85722" w:rsidRDefault="00511E87" w14:paraId="4768FFB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368BEDF" w14:textId="77777777">
        <w:trPr>
          <w:trHeight w:val="300"/>
        </w:trPr>
        <w:tc>
          <w:tcPr>
            <w:tcW w:w="6804" w:type="dxa"/>
            <w:tcBorders>
              <w:left w:val="nil"/>
              <w:right w:val="nil"/>
            </w:tcBorders>
            <w:noWrap/>
            <w:hideMark/>
          </w:tcPr>
          <w:p w:rsidRPr="00A325F7" w:rsidR="00511E87" w:rsidP="00B85722" w:rsidRDefault="00511E87" w14:paraId="7ACF2C35" w14:textId="77777777">
            <w:pPr>
              <w:ind w:firstLine="400" w:firstLineChars="200"/>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Noorse kroon (NOK)</w:t>
            </w:r>
          </w:p>
        </w:tc>
        <w:tc>
          <w:tcPr>
            <w:tcW w:w="2745" w:type="dxa"/>
            <w:tcBorders>
              <w:left w:val="nil"/>
              <w:right w:val="nil"/>
            </w:tcBorders>
            <w:noWrap/>
            <w:hideMark/>
          </w:tcPr>
          <w:p w:rsidRPr="00A325F7" w:rsidR="00511E87" w:rsidP="00B85722" w:rsidRDefault="00511E87" w14:paraId="78DFF93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7B9BD0A" w14:textId="77777777">
        <w:trPr>
          <w:trHeight w:val="300"/>
        </w:trPr>
        <w:tc>
          <w:tcPr>
            <w:tcW w:w="6804" w:type="dxa"/>
            <w:tcBorders>
              <w:left w:val="nil"/>
              <w:right w:val="nil"/>
            </w:tcBorders>
            <w:noWrap/>
            <w:hideMark/>
          </w:tcPr>
          <w:p w:rsidRPr="00A325F7" w:rsidR="00511E87" w:rsidP="00B85722" w:rsidRDefault="00511E87" w14:paraId="246F4FA6" w14:textId="77777777">
            <w:pPr>
              <w:ind w:firstLine="400" w:firstLineChars="200"/>
              <w:rPr>
                <w:rFonts w:ascii="Arial" w:hAnsi="Arial" w:eastAsia="Times New Roman" w:cs="Arial"/>
                <w:sz w:val="20"/>
                <w:szCs w:val="20"/>
              </w:rPr>
            </w:pPr>
            <w:r w:rsidRPr="00A325F7">
              <w:rPr>
                <w:rFonts w:ascii="Arial" w:hAnsi="Arial"/>
                <w:sz w:val="20"/>
                <w:lang w:eastAsia="en-GB"/>
              </w:rPr>
              <w:t xml:space="preserve">(4) </w:t>
            </w:r>
            <w:r w:rsidRPr="00A325F7">
              <w:rPr>
                <w:rFonts w:ascii="Arial" w:hAnsi="Arial"/>
                <w:sz w:val="20"/>
              </w:rPr>
              <w:t>Russische roebel (RUB)</w:t>
            </w:r>
          </w:p>
        </w:tc>
        <w:tc>
          <w:tcPr>
            <w:tcW w:w="2745" w:type="dxa"/>
            <w:tcBorders>
              <w:left w:val="nil"/>
              <w:right w:val="nil"/>
            </w:tcBorders>
            <w:noWrap/>
            <w:hideMark/>
          </w:tcPr>
          <w:p w:rsidRPr="00A325F7" w:rsidR="00511E87" w:rsidP="00B85722" w:rsidRDefault="00511E87" w14:paraId="5D4F5697"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71912D7" w14:textId="77777777">
        <w:trPr>
          <w:trHeight w:val="300"/>
        </w:trPr>
        <w:tc>
          <w:tcPr>
            <w:tcW w:w="6804" w:type="dxa"/>
            <w:tcBorders>
              <w:left w:val="nil"/>
              <w:right w:val="nil"/>
            </w:tcBorders>
            <w:noWrap/>
            <w:hideMark/>
          </w:tcPr>
          <w:p w:rsidRPr="00A325F7" w:rsidR="00511E87" w:rsidP="00B85722" w:rsidRDefault="00511E87" w14:paraId="3B960ED6" w14:textId="77777777">
            <w:pPr>
              <w:ind w:firstLine="400" w:firstLineChars="200"/>
              <w:rPr>
                <w:rFonts w:ascii="Arial" w:hAnsi="Arial" w:eastAsia="Times New Roman" w:cs="Arial"/>
                <w:sz w:val="20"/>
                <w:szCs w:val="20"/>
              </w:rPr>
            </w:pPr>
            <w:r w:rsidRPr="00A325F7">
              <w:rPr>
                <w:rFonts w:ascii="Arial" w:hAnsi="Arial"/>
                <w:sz w:val="20"/>
                <w:lang w:eastAsia="en-GB"/>
              </w:rPr>
              <w:t xml:space="preserve">(5) </w:t>
            </w:r>
            <w:r w:rsidRPr="00A325F7">
              <w:rPr>
                <w:rFonts w:ascii="Arial" w:hAnsi="Arial"/>
                <w:sz w:val="20"/>
              </w:rPr>
              <w:t>Singaporedollar (SGD)</w:t>
            </w:r>
          </w:p>
        </w:tc>
        <w:tc>
          <w:tcPr>
            <w:tcW w:w="2745" w:type="dxa"/>
            <w:tcBorders>
              <w:left w:val="nil"/>
              <w:right w:val="nil"/>
            </w:tcBorders>
            <w:noWrap/>
            <w:hideMark/>
          </w:tcPr>
          <w:p w:rsidRPr="00A325F7" w:rsidR="00511E87" w:rsidP="00B85722" w:rsidRDefault="00511E87" w14:paraId="06C3F84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2343A96" w14:textId="77777777">
        <w:trPr>
          <w:trHeight w:val="300"/>
        </w:trPr>
        <w:tc>
          <w:tcPr>
            <w:tcW w:w="6804" w:type="dxa"/>
            <w:tcBorders>
              <w:left w:val="nil"/>
              <w:bottom w:val="single" w:color="auto" w:sz="4" w:space="0"/>
              <w:right w:val="nil"/>
            </w:tcBorders>
            <w:noWrap/>
            <w:hideMark/>
          </w:tcPr>
          <w:p w:rsidRPr="00A325F7" w:rsidR="00511E87" w:rsidP="00B85722" w:rsidRDefault="00511E87" w14:paraId="07F4816C" w14:textId="77777777">
            <w:pPr>
              <w:ind w:firstLine="400" w:firstLineChars="200"/>
              <w:rPr>
                <w:rFonts w:ascii="Arial" w:hAnsi="Arial" w:eastAsia="Times New Roman" w:cs="Arial"/>
                <w:sz w:val="20"/>
                <w:szCs w:val="20"/>
              </w:rPr>
            </w:pPr>
            <w:r w:rsidRPr="00A325F7">
              <w:rPr>
                <w:rFonts w:ascii="Arial" w:hAnsi="Arial"/>
                <w:sz w:val="20"/>
                <w:lang w:eastAsia="en-GB"/>
              </w:rPr>
              <w:t xml:space="preserve">(6) </w:t>
            </w:r>
            <w:r w:rsidRPr="00A325F7">
              <w:rPr>
                <w:rFonts w:ascii="Arial" w:hAnsi="Arial"/>
                <w:sz w:val="20"/>
              </w:rPr>
              <w:t>Zuid-Koreaanse won (KRW)</w:t>
            </w:r>
          </w:p>
        </w:tc>
        <w:tc>
          <w:tcPr>
            <w:tcW w:w="2745" w:type="dxa"/>
            <w:tcBorders>
              <w:left w:val="nil"/>
              <w:bottom w:val="single" w:color="auto" w:sz="4" w:space="0"/>
              <w:right w:val="nil"/>
            </w:tcBorders>
            <w:noWrap/>
            <w:hideMark/>
          </w:tcPr>
          <w:p w:rsidRPr="00A325F7" w:rsidR="00511E87" w:rsidP="00B85722" w:rsidRDefault="00511E87" w14:paraId="4A15D25E"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069872A" w14:textId="77777777">
        <w:trPr>
          <w:trHeight w:val="403"/>
        </w:trPr>
        <w:tc>
          <w:tcPr>
            <w:tcW w:w="6804" w:type="dxa"/>
            <w:tcBorders>
              <w:left w:val="nil"/>
              <w:bottom w:val="nil"/>
              <w:right w:val="nil"/>
            </w:tcBorders>
            <w:noWrap/>
            <w:hideMark/>
          </w:tcPr>
          <w:p w:rsidRPr="00A325F7" w:rsidR="00511E87" w:rsidP="00B85722" w:rsidRDefault="00511E87" w14:paraId="68B86F8C" w14:textId="77777777">
            <w:pPr>
              <w:rPr>
                <w:rFonts w:ascii="Arial" w:hAnsi="Arial" w:eastAsia="Times New Roman" w:cs="Arial"/>
                <w:sz w:val="20"/>
                <w:szCs w:val="20"/>
              </w:rPr>
            </w:pPr>
            <w:r w:rsidRPr="00A325F7">
              <w:rPr>
                <w:rFonts w:ascii="Arial" w:hAnsi="Arial"/>
                <w:sz w:val="20"/>
              </w:rPr>
              <w:t> </w:t>
            </w:r>
          </w:p>
        </w:tc>
        <w:tc>
          <w:tcPr>
            <w:tcW w:w="2745" w:type="dxa"/>
            <w:tcBorders>
              <w:left w:val="nil"/>
              <w:bottom w:val="nil"/>
              <w:right w:val="nil"/>
            </w:tcBorders>
            <w:noWrap/>
            <w:hideMark/>
          </w:tcPr>
          <w:p w:rsidRPr="00A325F7" w:rsidR="00511E87" w:rsidP="00B85722" w:rsidRDefault="00511E87" w14:paraId="069C2CA6" w14:textId="77777777">
            <w:pPr>
              <w:rPr>
                <w:rFonts w:ascii="Arial" w:hAnsi="Arial" w:eastAsia="Times New Roman" w:cs="Arial"/>
                <w:sz w:val="20"/>
                <w:szCs w:val="20"/>
              </w:rPr>
            </w:pPr>
            <w:r w:rsidRPr="00A325F7">
              <w:rPr>
                <w:rFonts w:ascii="Arial" w:hAnsi="Arial"/>
                <w:sz w:val="20"/>
              </w:rPr>
              <w:t> </w:t>
            </w:r>
          </w:p>
        </w:tc>
      </w:tr>
      <w:tr w:rsidRPr="00A325F7" w:rsidR="00511E87" w:rsidTr="00B85722" w14:paraId="27214331" w14:textId="77777777">
        <w:trPr>
          <w:trHeight w:val="403"/>
        </w:trPr>
        <w:tc>
          <w:tcPr>
            <w:tcW w:w="6804" w:type="dxa"/>
            <w:tcBorders>
              <w:top w:val="nil"/>
              <w:left w:val="nil"/>
              <w:bottom w:val="nil"/>
              <w:right w:val="nil"/>
            </w:tcBorders>
            <w:noWrap/>
            <w:hideMark/>
          </w:tcPr>
          <w:p w:rsidRPr="00A325F7" w:rsidR="00511E87" w:rsidP="00B85722" w:rsidRDefault="00511E87" w14:paraId="5B732C33" w14:textId="77777777">
            <w:pPr>
              <w:rPr>
                <w:rFonts w:asciiTheme="majorHAnsi" w:hAnsiTheme="majorHAnsi" w:eastAsiaTheme="majorEastAsia" w:cstheme="majorBidi"/>
                <w:b/>
                <w:bCs/>
                <w:i/>
                <w:iCs/>
                <w:caps/>
                <w:spacing w:val="-2"/>
              </w:rPr>
            </w:pPr>
            <w:r w:rsidRPr="00A325F7">
              <w:rPr>
                <w:rFonts w:asciiTheme="majorHAnsi" w:hAnsiTheme="majorHAnsi"/>
                <w:b/>
                <w:i/>
                <w:caps/>
              </w:rPr>
              <w:t> Pro-memorieposten</w:t>
            </w:r>
          </w:p>
        </w:tc>
        <w:tc>
          <w:tcPr>
            <w:tcW w:w="2745" w:type="dxa"/>
            <w:tcBorders>
              <w:top w:val="nil"/>
              <w:left w:val="nil"/>
              <w:bottom w:val="nil"/>
              <w:right w:val="nil"/>
            </w:tcBorders>
            <w:noWrap/>
            <w:hideMark/>
          </w:tcPr>
          <w:p w:rsidRPr="00A325F7" w:rsidR="00511E87" w:rsidP="00B85722" w:rsidRDefault="00511E87" w14:paraId="6C73877A" w14:textId="77777777">
            <w:pPr>
              <w:rPr>
                <w:rFonts w:ascii="Arial" w:hAnsi="Arial" w:eastAsia="Times New Roman" w:cs="Arial"/>
                <w:b/>
                <w:bCs/>
                <w:sz w:val="24"/>
                <w:szCs w:val="24"/>
              </w:rPr>
            </w:pPr>
            <w:r w:rsidRPr="00A325F7">
              <w:rPr>
                <w:rFonts w:ascii="Arial" w:hAnsi="Arial"/>
                <w:b/>
                <w:sz w:val="24"/>
              </w:rPr>
              <w:t> </w:t>
            </w:r>
          </w:p>
        </w:tc>
      </w:tr>
      <w:tr w:rsidRPr="00A325F7" w:rsidR="00511E87" w:rsidTr="00B85722" w14:paraId="61D0AAE7" w14:textId="77777777">
        <w:trPr>
          <w:trHeight w:val="403"/>
        </w:trPr>
        <w:tc>
          <w:tcPr>
            <w:tcW w:w="6804" w:type="dxa"/>
            <w:tcBorders>
              <w:top w:val="nil"/>
              <w:left w:val="nil"/>
              <w:bottom w:val="single" w:color="auto" w:sz="4" w:space="0"/>
              <w:right w:val="nil"/>
            </w:tcBorders>
            <w:noWrap/>
            <w:hideMark/>
          </w:tcPr>
          <w:p w:rsidRPr="00A325F7" w:rsidR="00511E87" w:rsidP="00B85722" w:rsidRDefault="00511E87" w14:paraId="421B699F" w14:textId="77777777">
            <w:pPr>
              <w:rPr>
                <w:rFonts w:ascii="Arial" w:hAnsi="Arial" w:eastAsia="Times New Roman" w:cs="Arial"/>
                <w:b/>
                <w:bCs/>
                <w:sz w:val="24"/>
                <w:szCs w:val="24"/>
              </w:rPr>
            </w:pPr>
            <w:r w:rsidRPr="00A325F7">
              <w:rPr>
                <w:rFonts w:ascii="Arial" w:hAnsi="Arial"/>
                <w:b/>
                <w:sz w:val="24"/>
              </w:rPr>
              <w:t> </w:t>
            </w:r>
          </w:p>
        </w:tc>
        <w:tc>
          <w:tcPr>
            <w:tcW w:w="2745" w:type="dxa"/>
            <w:tcBorders>
              <w:top w:val="nil"/>
              <w:left w:val="nil"/>
              <w:bottom w:val="single" w:color="auto" w:sz="4" w:space="0"/>
              <w:right w:val="nil"/>
            </w:tcBorders>
            <w:noWrap/>
            <w:hideMark/>
          </w:tcPr>
          <w:p w:rsidRPr="00A325F7" w:rsidR="00511E87" w:rsidP="00B85722" w:rsidRDefault="00511E87" w14:paraId="30AFC2CB" w14:textId="77777777">
            <w:pPr>
              <w:rPr>
                <w:rFonts w:ascii="Arial" w:hAnsi="Arial" w:eastAsia="Times New Roman" w:cs="Arial"/>
                <w:b/>
                <w:bCs/>
                <w:sz w:val="24"/>
                <w:szCs w:val="24"/>
              </w:rPr>
            </w:pPr>
            <w:r w:rsidRPr="00A325F7">
              <w:rPr>
                <w:rFonts w:ascii="Arial" w:hAnsi="Arial"/>
                <w:b/>
                <w:sz w:val="24"/>
              </w:rPr>
              <w:t> </w:t>
            </w:r>
          </w:p>
        </w:tc>
      </w:tr>
      <w:tr w:rsidRPr="00A325F7" w:rsidR="00511E87" w:rsidTr="00B85722" w14:paraId="3749B191" w14:textId="77777777">
        <w:trPr>
          <w:trHeight w:val="300"/>
        </w:trPr>
        <w:tc>
          <w:tcPr>
            <w:tcW w:w="6804" w:type="dxa"/>
            <w:tcBorders>
              <w:left w:val="nil"/>
              <w:right w:val="nil"/>
            </w:tcBorders>
            <w:noWrap/>
            <w:hideMark/>
          </w:tcPr>
          <w:p w:rsidRPr="00A325F7" w:rsidR="00511E87" w:rsidP="00B85722" w:rsidRDefault="00511E87" w14:paraId="1D3952DC" w14:textId="77777777">
            <w:pPr>
              <w:rPr>
                <w:rFonts w:ascii="Arial" w:hAnsi="Arial" w:eastAsia="Times New Roman" w:cs="Arial"/>
                <w:b/>
                <w:bCs/>
                <w:sz w:val="20"/>
                <w:szCs w:val="20"/>
              </w:rPr>
            </w:pPr>
            <w:r w:rsidRPr="00A325F7">
              <w:rPr>
                <w:rFonts w:ascii="Arial" w:hAnsi="Arial"/>
                <w:b/>
                <w:sz w:val="20"/>
              </w:rPr>
              <w:lastRenderedPageBreak/>
              <w:t>Afdeling 17 – Posten met betrekking tot omvang</w:t>
            </w:r>
          </w:p>
        </w:tc>
        <w:tc>
          <w:tcPr>
            <w:tcW w:w="2745" w:type="dxa"/>
            <w:tcBorders>
              <w:left w:val="nil"/>
              <w:right w:val="nil"/>
            </w:tcBorders>
            <w:hideMark/>
          </w:tcPr>
          <w:p w:rsidRPr="00A325F7" w:rsidR="00511E87" w:rsidP="00B85722" w:rsidRDefault="00511E87" w14:paraId="3B2C8DD3"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780358B1" w14:textId="77777777">
        <w:trPr>
          <w:gridAfter w:val="1"/>
          <w:wAfter w:w="2745" w:type="dxa"/>
          <w:trHeight w:val="300"/>
        </w:trPr>
        <w:tc>
          <w:tcPr>
            <w:tcW w:w="6804" w:type="dxa"/>
            <w:tcBorders>
              <w:left w:val="nil"/>
              <w:right w:val="nil"/>
            </w:tcBorders>
            <w:noWrap/>
            <w:hideMark/>
          </w:tcPr>
          <w:p w:rsidRPr="00A325F7" w:rsidR="00511E87" w:rsidP="00B85722" w:rsidRDefault="00511E87" w14:paraId="212DE051" w14:textId="77777777">
            <w:pPr>
              <w:ind w:left="171" w:firstLine="28" w:firstLineChars="14"/>
              <w:rPr>
                <w:rFonts w:ascii="Arial" w:hAnsi="Arial" w:eastAsia="Times New Roman" w:cs="Arial"/>
                <w:sz w:val="20"/>
                <w:szCs w:val="20"/>
              </w:rPr>
            </w:pPr>
            <w:r w:rsidRPr="00A325F7">
              <w:rPr>
                <w:rFonts w:ascii="Arial" w:hAnsi="Arial"/>
                <w:sz w:val="20"/>
              </w:rPr>
              <w:t>a. Blootstelling van verzekeringsdochterondernemingen die reeds vallen onder het prudentiële wettelijke consolidatiebereik</w:t>
            </w:r>
          </w:p>
        </w:tc>
      </w:tr>
      <w:tr w:rsidRPr="00A325F7" w:rsidR="00511E87" w:rsidTr="00B85722" w14:paraId="14FAF16F" w14:textId="77777777">
        <w:trPr>
          <w:trHeight w:val="300"/>
        </w:trPr>
        <w:tc>
          <w:tcPr>
            <w:tcW w:w="6804" w:type="dxa"/>
            <w:tcBorders>
              <w:left w:val="nil"/>
              <w:right w:val="nil"/>
            </w:tcBorders>
            <w:noWrap/>
            <w:hideMark/>
          </w:tcPr>
          <w:p w:rsidRPr="00A325F7" w:rsidR="00511E87" w:rsidP="00B85722" w:rsidRDefault="00511E87" w14:paraId="336E7344" w14:textId="77777777">
            <w:pPr>
              <w:ind w:firstLine="200" w:firstLineChars="100"/>
              <w:rPr>
                <w:rFonts w:ascii="Arial" w:hAnsi="Arial" w:eastAsia="Times New Roman" w:cs="Arial"/>
                <w:sz w:val="20"/>
                <w:szCs w:val="20"/>
              </w:rPr>
            </w:pPr>
            <w:r w:rsidRPr="00A325F7">
              <w:rPr>
                <w:rFonts w:ascii="Arial" w:hAnsi="Arial"/>
                <w:sz w:val="20"/>
              </w:rPr>
              <w:t xml:space="preserve">b. Gemiddelde kwartaalwaarde van totaal blootstellingen </w:t>
            </w:r>
          </w:p>
        </w:tc>
        <w:tc>
          <w:tcPr>
            <w:tcW w:w="2745" w:type="dxa"/>
            <w:tcBorders>
              <w:left w:val="nil"/>
              <w:right w:val="nil"/>
            </w:tcBorders>
            <w:noWrap/>
            <w:hideMark/>
          </w:tcPr>
          <w:p w:rsidRPr="00A325F7" w:rsidR="00511E87" w:rsidP="00B85722" w:rsidRDefault="00511E87" w14:paraId="2F48C003"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76F171FB" w14:textId="77777777">
        <w:trPr>
          <w:trHeight w:val="300"/>
        </w:trPr>
        <w:tc>
          <w:tcPr>
            <w:tcW w:w="6804" w:type="dxa"/>
            <w:tcBorders>
              <w:left w:val="nil"/>
              <w:bottom w:val="single" w:color="auto" w:sz="4" w:space="0"/>
              <w:right w:val="nil"/>
            </w:tcBorders>
            <w:noWrap/>
            <w:hideMark/>
          </w:tcPr>
          <w:p w:rsidRPr="00A325F7" w:rsidR="00511E87" w:rsidP="00B85722" w:rsidRDefault="00511E87" w14:paraId="7A0CE798" w14:textId="77777777">
            <w:pPr>
              <w:ind w:firstLine="200" w:firstLineChars="100"/>
              <w:rPr>
                <w:rFonts w:ascii="Arial" w:hAnsi="Arial" w:eastAsia="Times New Roman" w:cs="Arial"/>
                <w:sz w:val="20"/>
                <w:szCs w:val="20"/>
              </w:rPr>
            </w:pPr>
            <w:r w:rsidRPr="00A325F7">
              <w:rPr>
                <w:rFonts w:ascii="Arial" w:hAnsi="Arial"/>
                <w:sz w:val="20"/>
              </w:rPr>
              <w:t xml:space="preserve">c. Gemiddelde maandwaarde van totaal blootstellingen </w:t>
            </w:r>
          </w:p>
        </w:tc>
        <w:tc>
          <w:tcPr>
            <w:tcW w:w="2745" w:type="dxa"/>
            <w:tcBorders>
              <w:left w:val="nil"/>
              <w:bottom w:val="single" w:color="auto" w:sz="4" w:space="0"/>
              <w:right w:val="nil"/>
            </w:tcBorders>
            <w:noWrap/>
            <w:hideMark/>
          </w:tcPr>
          <w:p w:rsidRPr="00A325F7" w:rsidR="00511E87" w:rsidP="00B85722" w:rsidRDefault="00511E87" w14:paraId="5C1D9BDE"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65D92F3" w14:textId="77777777">
        <w:trPr>
          <w:trHeight w:val="300"/>
        </w:trPr>
        <w:tc>
          <w:tcPr>
            <w:tcW w:w="6804" w:type="dxa"/>
            <w:tcBorders>
              <w:left w:val="nil"/>
              <w:bottom w:val="nil"/>
              <w:right w:val="nil"/>
            </w:tcBorders>
            <w:noWrap/>
          </w:tcPr>
          <w:p w:rsidRPr="00A325F7" w:rsidR="00511E87" w:rsidP="00B85722" w:rsidRDefault="00511E87" w14:paraId="27AE9E5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70FC9E9B" w14:textId="77777777">
            <w:pPr>
              <w:jc w:val="center"/>
              <w:rPr>
                <w:rFonts w:ascii="Arial" w:hAnsi="Arial" w:eastAsia="Times New Roman" w:cs="Arial"/>
                <w:b/>
                <w:bCs/>
                <w:sz w:val="20"/>
                <w:szCs w:val="20"/>
                <w:lang w:eastAsia="en-GB"/>
              </w:rPr>
            </w:pPr>
          </w:p>
        </w:tc>
      </w:tr>
      <w:tr w:rsidRPr="00A325F7" w:rsidR="00511E87" w:rsidTr="00B85722" w14:paraId="32F8D564" w14:textId="77777777">
        <w:trPr>
          <w:trHeight w:val="300"/>
        </w:trPr>
        <w:tc>
          <w:tcPr>
            <w:tcW w:w="6804" w:type="dxa"/>
            <w:tcBorders>
              <w:top w:val="nil"/>
              <w:left w:val="nil"/>
              <w:right w:val="nil"/>
            </w:tcBorders>
            <w:noWrap/>
            <w:hideMark/>
          </w:tcPr>
          <w:p w:rsidRPr="00A325F7" w:rsidR="00511E87" w:rsidP="00B85722" w:rsidRDefault="00511E87" w14:paraId="6EDB4AD1" w14:textId="77777777">
            <w:pPr>
              <w:rPr>
                <w:rFonts w:ascii="Arial" w:hAnsi="Arial" w:eastAsia="Times New Roman" w:cs="Arial"/>
                <w:b/>
                <w:bCs/>
                <w:sz w:val="20"/>
                <w:szCs w:val="20"/>
              </w:rPr>
            </w:pPr>
            <w:r w:rsidRPr="00A325F7">
              <w:rPr>
                <w:rFonts w:ascii="Arial" w:hAnsi="Arial"/>
                <w:b/>
                <w:sz w:val="20"/>
              </w:rPr>
              <w:t>Afdeling 18 – Posten met betrekking tot verwevenheid</w:t>
            </w:r>
          </w:p>
        </w:tc>
        <w:tc>
          <w:tcPr>
            <w:tcW w:w="2745" w:type="dxa"/>
            <w:tcBorders>
              <w:top w:val="nil"/>
              <w:left w:val="nil"/>
              <w:right w:val="nil"/>
            </w:tcBorders>
            <w:hideMark/>
          </w:tcPr>
          <w:p w:rsidRPr="00A325F7" w:rsidR="00511E87" w:rsidP="00B85722" w:rsidRDefault="00511E87" w14:paraId="6DD22C42"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4570D931" w14:textId="77777777">
        <w:trPr>
          <w:trHeight w:val="300"/>
        </w:trPr>
        <w:tc>
          <w:tcPr>
            <w:tcW w:w="6804" w:type="dxa"/>
            <w:tcBorders>
              <w:left w:val="nil"/>
              <w:right w:val="nil"/>
            </w:tcBorders>
            <w:noWrap/>
            <w:hideMark/>
          </w:tcPr>
          <w:p w:rsidRPr="00A325F7" w:rsidR="00511E87" w:rsidP="00B85722" w:rsidRDefault="00511E87" w14:paraId="0F1F2915" w14:textId="77777777">
            <w:pPr>
              <w:ind w:firstLine="200" w:firstLineChars="100"/>
              <w:rPr>
                <w:rFonts w:ascii="Arial" w:hAnsi="Arial" w:eastAsia="Times New Roman" w:cs="Arial"/>
                <w:sz w:val="20"/>
                <w:szCs w:val="20"/>
              </w:rPr>
            </w:pPr>
            <w:r w:rsidRPr="00A325F7">
              <w:rPr>
                <w:rFonts w:ascii="Arial" w:hAnsi="Arial"/>
                <w:sz w:val="20"/>
              </w:rPr>
              <w:t>a. Indicator voor activa binnen het financiële stelsel (oude indicator)</w:t>
            </w:r>
          </w:p>
        </w:tc>
        <w:tc>
          <w:tcPr>
            <w:tcW w:w="2745" w:type="dxa"/>
            <w:tcBorders>
              <w:left w:val="nil"/>
              <w:right w:val="nil"/>
            </w:tcBorders>
            <w:noWrap/>
            <w:hideMark/>
          </w:tcPr>
          <w:p w:rsidRPr="00A325F7" w:rsidR="00511E87" w:rsidP="00B85722" w:rsidRDefault="00511E87" w14:paraId="3977D69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8E67968" w14:textId="77777777">
        <w:trPr>
          <w:trHeight w:val="300"/>
        </w:trPr>
        <w:tc>
          <w:tcPr>
            <w:tcW w:w="6804" w:type="dxa"/>
            <w:tcBorders>
              <w:left w:val="nil"/>
              <w:right w:val="nil"/>
            </w:tcBorders>
            <w:noWrap/>
            <w:hideMark/>
          </w:tcPr>
          <w:p w:rsidRPr="00A325F7" w:rsidR="00511E87" w:rsidP="00B85722" w:rsidRDefault="00511E87" w14:paraId="15490153" w14:textId="77777777">
            <w:pPr>
              <w:ind w:firstLine="200" w:firstLineChars="100"/>
              <w:rPr>
                <w:rFonts w:ascii="Arial" w:hAnsi="Arial" w:eastAsia="Times New Roman" w:cs="Arial"/>
                <w:sz w:val="20"/>
                <w:szCs w:val="20"/>
              </w:rPr>
            </w:pPr>
            <w:r w:rsidRPr="00A325F7">
              <w:rPr>
                <w:rFonts w:ascii="Arial" w:hAnsi="Arial"/>
                <w:sz w:val="20"/>
              </w:rPr>
              <w:t xml:space="preserve">b. Gemiddelde kwartaalwaarde van activa binnen het financiële stelsel </w:t>
            </w:r>
          </w:p>
        </w:tc>
        <w:tc>
          <w:tcPr>
            <w:tcW w:w="2745" w:type="dxa"/>
            <w:tcBorders>
              <w:left w:val="nil"/>
              <w:right w:val="nil"/>
            </w:tcBorders>
            <w:noWrap/>
            <w:hideMark/>
          </w:tcPr>
          <w:p w:rsidRPr="00A325F7" w:rsidR="00511E87" w:rsidP="00B85722" w:rsidRDefault="00511E87" w14:paraId="2CC47C6F"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5F2FC7A" w14:textId="77777777">
        <w:trPr>
          <w:trHeight w:val="300"/>
        </w:trPr>
        <w:tc>
          <w:tcPr>
            <w:tcW w:w="6804" w:type="dxa"/>
            <w:tcBorders>
              <w:left w:val="nil"/>
              <w:right w:val="nil"/>
            </w:tcBorders>
            <w:noWrap/>
            <w:hideMark/>
          </w:tcPr>
          <w:p w:rsidRPr="00A325F7" w:rsidR="00511E87" w:rsidP="00B85722" w:rsidRDefault="00511E87" w14:paraId="0CCC3E69" w14:textId="77777777">
            <w:pPr>
              <w:ind w:firstLine="200" w:firstLineChars="100"/>
              <w:rPr>
                <w:rFonts w:ascii="Arial" w:hAnsi="Arial" w:eastAsia="Times New Roman" w:cs="Arial"/>
                <w:sz w:val="20"/>
                <w:szCs w:val="20"/>
              </w:rPr>
            </w:pPr>
            <w:r w:rsidRPr="00A325F7">
              <w:rPr>
                <w:rFonts w:ascii="Arial" w:hAnsi="Arial"/>
                <w:sz w:val="20"/>
              </w:rPr>
              <w:t xml:space="preserve">c. Gemiddelde maandwaarde van activa binnen het financiële stelsel </w:t>
            </w:r>
          </w:p>
        </w:tc>
        <w:tc>
          <w:tcPr>
            <w:tcW w:w="2745" w:type="dxa"/>
            <w:tcBorders>
              <w:left w:val="nil"/>
              <w:right w:val="nil"/>
            </w:tcBorders>
            <w:noWrap/>
            <w:hideMark/>
          </w:tcPr>
          <w:p w:rsidRPr="00A325F7" w:rsidR="00511E87" w:rsidP="00B85722" w:rsidRDefault="00511E87" w14:paraId="1282FB65"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57D295EB" w14:textId="77777777">
        <w:trPr>
          <w:trHeight w:val="300"/>
        </w:trPr>
        <w:tc>
          <w:tcPr>
            <w:tcW w:w="6804" w:type="dxa"/>
            <w:tcBorders>
              <w:left w:val="nil"/>
              <w:right w:val="nil"/>
            </w:tcBorders>
            <w:noWrap/>
            <w:hideMark/>
          </w:tcPr>
          <w:p w:rsidRPr="00A325F7" w:rsidR="00511E87" w:rsidP="00B85722" w:rsidRDefault="00511E87" w14:paraId="15CCA34C" w14:textId="77777777">
            <w:pPr>
              <w:ind w:firstLine="200" w:firstLineChars="100"/>
              <w:rPr>
                <w:rFonts w:ascii="Arial" w:hAnsi="Arial" w:eastAsia="Times New Roman" w:cs="Arial"/>
                <w:sz w:val="20"/>
                <w:szCs w:val="20"/>
              </w:rPr>
            </w:pPr>
            <w:r w:rsidRPr="00A325F7">
              <w:rPr>
                <w:rFonts w:ascii="Arial" w:hAnsi="Arial"/>
                <w:sz w:val="20"/>
              </w:rPr>
              <w:t>d. Indicator voor passiva binnen het financiële stelsel (oude indicator)</w:t>
            </w:r>
          </w:p>
        </w:tc>
        <w:tc>
          <w:tcPr>
            <w:tcW w:w="2745" w:type="dxa"/>
            <w:tcBorders>
              <w:left w:val="nil"/>
              <w:right w:val="nil"/>
            </w:tcBorders>
            <w:noWrap/>
            <w:hideMark/>
          </w:tcPr>
          <w:p w:rsidRPr="00A325F7" w:rsidR="00511E87" w:rsidP="00B85722" w:rsidRDefault="00511E87" w14:paraId="66A15F51"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2B16788" w14:textId="77777777">
        <w:trPr>
          <w:trHeight w:val="300"/>
        </w:trPr>
        <w:tc>
          <w:tcPr>
            <w:tcW w:w="6804" w:type="dxa"/>
            <w:tcBorders>
              <w:left w:val="nil"/>
              <w:right w:val="nil"/>
            </w:tcBorders>
            <w:noWrap/>
            <w:hideMark/>
          </w:tcPr>
          <w:p w:rsidRPr="00A325F7" w:rsidR="00511E87" w:rsidP="00B85722" w:rsidRDefault="00511E87" w14:paraId="44CE3D00" w14:textId="77777777">
            <w:pPr>
              <w:ind w:firstLine="200" w:firstLineChars="100"/>
              <w:rPr>
                <w:rFonts w:ascii="Arial" w:hAnsi="Arial" w:eastAsia="Times New Roman" w:cs="Arial"/>
                <w:sz w:val="20"/>
                <w:szCs w:val="20"/>
              </w:rPr>
            </w:pPr>
            <w:r w:rsidRPr="00A325F7">
              <w:rPr>
                <w:rFonts w:ascii="Arial" w:hAnsi="Arial"/>
                <w:sz w:val="20"/>
              </w:rPr>
              <w:t xml:space="preserve">e. Gemiddelde kwartaalwaarde van passiva binnen het financiële stelsel </w:t>
            </w:r>
          </w:p>
        </w:tc>
        <w:tc>
          <w:tcPr>
            <w:tcW w:w="2745" w:type="dxa"/>
            <w:tcBorders>
              <w:left w:val="nil"/>
              <w:right w:val="nil"/>
            </w:tcBorders>
            <w:noWrap/>
            <w:hideMark/>
          </w:tcPr>
          <w:p w:rsidRPr="00A325F7" w:rsidR="00511E87" w:rsidP="00B85722" w:rsidRDefault="00511E87" w14:paraId="370700A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D59BB87" w14:textId="77777777">
        <w:trPr>
          <w:trHeight w:val="300"/>
        </w:trPr>
        <w:tc>
          <w:tcPr>
            <w:tcW w:w="6804" w:type="dxa"/>
            <w:tcBorders>
              <w:left w:val="nil"/>
              <w:right w:val="nil"/>
            </w:tcBorders>
            <w:noWrap/>
            <w:hideMark/>
          </w:tcPr>
          <w:p w:rsidRPr="00A325F7" w:rsidR="00511E87" w:rsidP="00B85722" w:rsidRDefault="00511E87" w14:paraId="0ADD83DB" w14:textId="77777777">
            <w:pPr>
              <w:ind w:firstLine="200" w:firstLineChars="100"/>
              <w:rPr>
                <w:rFonts w:ascii="Arial" w:hAnsi="Arial" w:eastAsia="Times New Roman" w:cs="Arial"/>
                <w:sz w:val="20"/>
                <w:szCs w:val="20"/>
              </w:rPr>
            </w:pPr>
            <w:r w:rsidRPr="00A325F7">
              <w:rPr>
                <w:rFonts w:ascii="Arial" w:hAnsi="Arial"/>
                <w:sz w:val="20"/>
              </w:rPr>
              <w:t xml:space="preserve">f. Gemiddelde maandwaarde van passiva binnen het financiële stelsel </w:t>
            </w:r>
          </w:p>
        </w:tc>
        <w:tc>
          <w:tcPr>
            <w:tcW w:w="2745" w:type="dxa"/>
            <w:tcBorders>
              <w:left w:val="nil"/>
              <w:right w:val="nil"/>
            </w:tcBorders>
            <w:noWrap/>
            <w:hideMark/>
          </w:tcPr>
          <w:p w:rsidRPr="00A325F7" w:rsidR="00511E87" w:rsidP="00B85722" w:rsidRDefault="00511E87" w14:paraId="6F182BE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DA9FF0E" w14:textId="77777777">
        <w:trPr>
          <w:trHeight w:val="300"/>
        </w:trPr>
        <w:tc>
          <w:tcPr>
            <w:tcW w:w="6804" w:type="dxa"/>
            <w:tcBorders>
              <w:left w:val="nil"/>
              <w:right w:val="nil"/>
            </w:tcBorders>
            <w:noWrap/>
            <w:hideMark/>
          </w:tcPr>
          <w:p w:rsidRPr="00A325F7" w:rsidR="00511E87" w:rsidP="00B85722" w:rsidRDefault="00511E87" w14:paraId="467BE5E9" w14:textId="77777777">
            <w:pPr>
              <w:ind w:firstLine="200" w:firstLineChars="100"/>
              <w:rPr>
                <w:rFonts w:ascii="Arial" w:hAnsi="Arial" w:eastAsia="Times New Roman" w:cs="Arial"/>
                <w:sz w:val="20"/>
                <w:szCs w:val="20"/>
              </w:rPr>
            </w:pPr>
            <w:r w:rsidRPr="00A325F7">
              <w:rPr>
                <w:rFonts w:ascii="Arial" w:hAnsi="Arial"/>
                <w:sz w:val="20"/>
              </w:rPr>
              <w:t>g. Indicator voor uitstaande effecten (oude indicator)</w:t>
            </w:r>
          </w:p>
        </w:tc>
        <w:tc>
          <w:tcPr>
            <w:tcW w:w="2745" w:type="dxa"/>
            <w:tcBorders>
              <w:left w:val="nil"/>
              <w:right w:val="nil"/>
            </w:tcBorders>
            <w:noWrap/>
            <w:hideMark/>
          </w:tcPr>
          <w:p w:rsidRPr="00A325F7" w:rsidR="00511E87" w:rsidP="00B85722" w:rsidRDefault="00511E87" w14:paraId="1A2FFA82"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16D8FAA8" w14:textId="77777777">
        <w:trPr>
          <w:trHeight w:val="300"/>
        </w:trPr>
        <w:tc>
          <w:tcPr>
            <w:tcW w:w="6804" w:type="dxa"/>
            <w:tcBorders>
              <w:left w:val="nil"/>
              <w:right w:val="nil"/>
            </w:tcBorders>
            <w:noWrap/>
            <w:hideMark/>
          </w:tcPr>
          <w:p w:rsidRPr="00A325F7" w:rsidR="00511E87" w:rsidP="00B85722" w:rsidRDefault="00511E87" w14:paraId="3DAA8DE8" w14:textId="77777777">
            <w:pPr>
              <w:ind w:firstLine="200" w:firstLineChars="100"/>
              <w:rPr>
                <w:rFonts w:ascii="Arial" w:hAnsi="Arial" w:eastAsia="Times New Roman" w:cs="Arial"/>
                <w:sz w:val="20"/>
                <w:szCs w:val="20"/>
              </w:rPr>
            </w:pPr>
            <w:r w:rsidRPr="00A325F7">
              <w:rPr>
                <w:rFonts w:ascii="Arial" w:hAnsi="Arial"/>
                <w:sz w:val="20"/>
              </w:rPr>
              <w:t xml:space="preserve">h. Gemiddelde kwartaalwaarde van uitstaande effecten </w:t>
            </w:r>
          </w:p>
        </w:tc>
        <w:tc>
          <w:tcPr>
            <w:tcW w:w="2745" w:type="dxa"/>
            <w:tcBorders>
              <w:left w:val="nil"/>
              <w:right w:val="nil"/>
            </w:tcBorders>
            <w:noWrap/>
            <w:hideMark/>
          </w:tcPr>
          <w:p w:rsidRPr="00A325F7" w:rsidR="00511E87" w:rsidP="00B85722" w:rsidRDefault="00511E87" w14:paraId="5312E49B"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BBAD66E" w14:textId="77777777">
        <w:trPr>
          <w:trHeight w:val="300"/>
        </w:trPr>
        <w:tc>
          <w:tcPr>
            <w:tcW w:w="6804" w:type="dxa"/>
            <w:tcBorders>
              <w:left w:val="nil"/>
              <w:bottom w:val="single" w:color="auto" w:sz="4" w:space="0"/>
              <w:right w:val="nil"/>
            </w:tcBorders>
            <w:noWrap/>
            <w:hideMark/>
          </w:tcPr>
          <w:p w:rsidRPr="00A325F7" w:rsidR="00511E87" w:rsidP="00B85722" w:rsidRDefault="00511E87" w14:paraId="1D14CB89" w14:textId="77777777">
            <w:pPr>
              <w:ind w:firstLine="200" w:firstLineChars="100"/>
              <w:rPr>
                <w:rFonts w:ascii="Arial" w:hAnsi="Arial" w:eastAsia="Times New Roman" w:cs="Arial"/>
                <w:sz w:val="20"/>
                <w:szCs w:val="20"/>
              </w:rPr>
            </w:pPr>
            <w:r w:rsidRPr="00A325F7">
              <w:rPr>
                <w:rFonts w:ascii="Arial" w:hAnsi="Arial"/>
                <w:sz w:val="20"/>
              </w:rPr>
              <w:t xml:space="preserve">i. Gemiddelde maandwaarde van uitstaande effecten </w:t>
            </w:r>
          </w:p>
        </w:tc>
        <w:tc>
          <w:tcPr>
            <w:tcW w:w="2745" w:type="dxa"/>
            <w:tcBorders>
              <w:left w:val="nil"/>
              <w:bottom w:val="single" w:color="auto" w:sz="4" w:space="0"/>
              <w:right w:val="nil"/>
            </w:tcBorders>
            <w:noWrap/>
            <w:hideMark/>
          </w:tcPr>
          <w:p w:rsidRPr="00A325F7" w:rsidR="00511E87" w:rsidP="00B85722" w:rsidRDefault="00511E87" w14:paraId="41D10BB4"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4863FA1B" w14:textId="77777777">
        <w:trPr>
          <w:trHeight w:val="300"/>
        </w:trPr>
        <w:tc>
          <w:tcPr>
            <w:tcW w:w="6804" w:type="dxa"/>
            <w:tcBorders>
              <w:left w:val="nil"/>
              <w:bottom w:val="nil"/>
              <w:right w:val="nil"/>
            </w:tcBorders>
            <w:noWrap/>
          </w:tcPr>
          <w:p w:rsidRPr="00A325F7" w:rsidR="00511E87" w:rsidP="00B85722" w:rsidRDefault="00511E87" w14:paraId="19C0EBD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19255614" w14:textId="77777777">
            <w:pPr>
              <w:jc w:val="center"/>
              <w:rPr>
                <w:rFonts w:ascii="Arial" w:hAnsi="Arial" w:eastAsia="Times New Roman" w:cs="Arial"/>
                <w:b/>
                <w:bCs/>
                <w:sz w:val="20"/>
                <w:szCs w:val="20"/>
                <w:lang w:eastAsia="en-GB"/>
              </w:rPr>
            </w:pPr>
          </w:p>
        </w:tc>
      </w:tr>
      <w:tr w:rsidRPr="00A325F7" w:rsidR="00511E87" w:rsidTr="00B85722" w14:paraId="451288A8" w14:textId="77777777">
        <w:trPr>
          <w:trHeight w:val="300"/>
        </w:trPr>
        <w:tc>
          <w:tcPr>
            <w:tcW w:w="6804" w:type="dxa"/>
            <w:tcBorders>
              <w:top w:val="nil"/>
              <w:left w:val="nil"/>
              <w:bottom w:val="single" w:color="auto" w:sz="4" w:space="0"/>
              <w:right w:val="nil"/>
            </w:tcBorders>
            <w:noWrap/>
            <w:hideMark/>
          </w:tcPr>
          <w:p w:rsidRPr="00A325F7" w:rsidR="00511E87" w:rsidP="00B85722" w:rsidRDefault="00511E87" w14:paraId="3E7ECA88" w14:textId="77777777">
            <w:pPr>
              <w:rPr>
                <w:rFonts w:ascii="Arial" w:hAnsi="Arial" w:eastAsia="Times New Roman" w:cs="Arial"/>
                <w:b/>
                <w:bCs/>
                <w:sz w:val="20"/>
                <w:szCs w:val="20"/>
              </w:rPr>
            </w:pPr>
            <w:r w:rsidRPr="00A325F7">
              <w:rPr>
                <w:rFonts w:ascii="Arial" w:hAnsi="Arial"/>
                <w:b/>
                <w:sz w:val="20"/>
              </w:rPr>
              <w:t>Afdeling 19 – Posten met betrekking tot substitueerbaarheid/financiële infrastructuur</w:t>
            </w:r>
          </w:p>
        </w:tc>
        <w:tc>
          <w:tcPr>
            <w:tcW w:w="2745" w:type="dxa"/>
            <w:tcBorders>
              <w:top w:val="nil"/>
              <w:left w:val="nil"/>
              <w:right w:val="nil"/>
            </w:tcBorders>
            <w:hideMark/>
          </w:tcPr>
          <w:p w:rsidRPr="00A325F7" w:rsidR="00511E87" w:rsidP="00B85722" w:rsidRDefault="00511E87" w14:paraId="212C8C63"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0507BE30" w14:textId="77777777">
        <w:trPr>
          <w:trHeight w:val="300"/>
        </w:trPr>
        <w:tc>
          <w:tcPr>
            <w:tcW w:w="6804" w:type="dxa"/>
            <w:tcBorders>
              <w:left w:val="nil"/>
              <w:right w:val="nil"/>
            </w:tcBorders>
            <w:noWrap/>
          </w:tcPr>
          <w:p w:rsidRPr="00A325F7" w:rsidR="00511E87" w:rsidP="00B85722" w:rsidRDefault="00511E87" w14:paraId="731174F0" w14:textId="77777777">
            <w:pPr>
              <w:ind w:left="171" w:firstLine="28" w:firstLineChars="14"/>
              <w:rPr>
                <w:rFonts w:ascii="Arial" w:hAnsi="Arial" w:eastAsia="Times New Roman" w:cs="Arial"/>
                <w:sz w:val="20"/>
                <w:szCs w:val="20"/>
              </w:rPr>
            </w:pPr>
            <w:r w:rsidRPr="00A325F7">
              <w:rPr>
                <w:rFonts w:ascii="Arial" w:hAnsi="Arial"/>
                <w:sz w:val="20"/>
              </w:rPr>
              <w:t>a. Handelsvolume effecten uitgegeven door soevereine staten, exclusief intragroepstransacties</w:t>
            </w:r>
          </w:p>
        </w:tc>
        <w:tc>
          <w:tcPr>
            <w:tcW w:w="2745" w:type="dxa"/>
            <w:tcBorders>
              <w:left w:val="nil"/>
              <w:right w:val="nil"/>
            </w:tcBorders>
            <w:noWrap/>
          </w:tcPr>
          <w:p w:rsidRPr="00A325F7" w:rsidR="00511E87" w:rsidP="00B85722" w:rsidRDefault="00511E87" w14:paraId="7FC00834" w14:textId="77777777">
            <w:pPr>
              <w:jc w:val="right"/>
              <w:rPr>
                <w:rFonts w:ascii="Arial" w:hAnsi="Arial" w:eastAsia="Times New Roman" w:cs="Arial"/>
                <w:sz w:val="20"/>
                <w:szCs w:val="20"/>
                <w:lang w:eastAsia="en-GB"/>
              </w:rPr>
            </w:pPr>
          </w:p>
        </w:tc>
      </w:tr>
      <w:tr w:rsidRPr="00A325F7" w:rsidR="00511E87" w:rsidTr="00B85722" w14:paraId="066B42F9" w14:textId="77777777">
        <w:trPr>
          <w:trHeight w:val="300"/>
        </w:trPr>
        <w:tc>
          <w:tcPr>
            <w:tcW w:w="6804" w:type="dxa"/>
            <w:tcBorders>
              <w:left w:val="nil"/>
              <w:right w:val="nil"/>
            </w:tcBorders>
            <w:noWrap/>
          </w:tcPr>
          <w:p w:rsidRPr="00A325F7" w:rsidR="00511E87" w:rsidP="00B85722" w:rsidRDefault="00511E87" w14:paraId="1517DE54" w14:textId="77777777">
            <w:pPr>
              <w:ind w:left="171"/>
              <w:rPr>
                <w:rFonts w:ascii="Arial" w:hAnsi="Arial" w:eastAsia="Times New Roman" w:cs="Arial"/>
                <w:sz w:val="20"/>
                <w:szCs w:val="20"/>
              </w:rPr>
            </w:pPr>
            <w:r w:rsidRPr="00A325F7">
              <w:rPr>
                <w:rFonts w:ascii="Arial" w:hAnsi="Arial"/>
                <w:sz w:val="20"/>
              </w:rPr>
              <w:t>b. Bij centrale tegenpartijen (CTP’s) gestorte initiële marge in opdracht van cliënten</w:t>
            </w:r>
          </w:p>
        </w:tc>
        <w:tc>
          <w:tcPr>
            <w:tcW w:w="2745" w:type="dxa"/>
            <w:tcBorders>
              <w:left w:val="nil"/>
              <w:right w:val="nil"/>
            </w:tcBorders>
            <w:noWrap/>
          </w:tcPr>
          <w:p w:rsidRPr="00A325F7" w:rsidR="00511E87" w:rsidP="00B85722" w:rsidRDefault="00511E87" w14:paraId="4FB8FA68" w14:textId="77777777">
            <w:pPr>
              <w:jc w:val="right"/>
              <w:rPr>
                <w:rFonts w:ascii="Arial" w:hAnsi="Arial" w:eastAsia="Times New Roman" w:cs="Arial"/>
                <w:sz w:val="20"/>
                <w:szCs w:val="20"/>
                <w:lang w:eastAsia="en-GB"/>
              </w:rPr>
            </w:pPr>
          </w:p>
        </w:tc>
      </w:tr>
      <w:tr w:rsidRPr="00A325F7" w:rsidR="00511E87" w:rsidTr="00B85722" w14:paraId="06F45F5C" w14:textId="77777777">
        <w:trPr>
          <w:trHeight w:val="300"/>
        </w:trPr>
        <w:tc>
          <w:tcPr>
            <w:tcW w:w="6804" w:type="dxa"/>
            <w:tcBorders>
              <w:left w:val="nil"/>
              <w:right w:val="nil"/>
            </w:tcBorders>
            <w:noWrap/>
          </w:tcPr>
          <w:p w:rsidRPr="00A325F7" w:rsidR="00511E87" w:rsidP="00B85722" w:rsidRDefault="00511E87" w14:paraId="5BF5001B" w14:textId="77777777">
            <w:pPr>
              <w:ind w:firstLine="200" w:firstLineChars="100"/>
              <w:rPr>
                <w:rFonts w:ascii="Arial" w:hAnsi="Arial" w:eastAsia="Times New Roman" w:cs="Arial"/>
                <w:sz w:val="20"/>
                <w:szCs w:val="20"/>
              </w:rPr>
            </w:pPr>
            <w:r w:rsidRPr="00A325F7">
              <w:rPr>
                <w:rFonts w:ascii="Arial" w:hAnsi="Arial"/>
                <w:sz w:val="20"/>
              </w:rPr>
              <w:t>c. Bij CTP’s gestorte initiële marge voor eigen rekening van de rapporterende groep</w:t>
            </w:r>
          </w:p>
        </w:tc>
        <w:tc>
          <w:tcPr>
            <w:tcW w:w="2745" w:type="dxa"/>
            <w:tcBorders>
              <w:left w:val="nil"/>
              <w:right w:val="nil"/>
            </w:tcBorders>
            <w:noWrap/>
          </w:tcPr>
          <w:p w:rsidRPr="00A325F7" w:rsidR="00511E87" w:rsidP="00B85722" w:rsidRDefault="00511E87" w14:paraId="6111E7BE" w14:textId="77777777">
            <w:pPr>
              <w:jc w:val="right"/>
              <w:rPr>
                <w:rFonts w:ascii="Arial" w:hAnsi="Arial" w:eastAsia="Times New Roman" w:cs="Arial"/>
                <w:sz w:val="20"/>
                <w:szCs w:val="20"/>
                <w:lang w:eastAsia="en-GB"/>
              </w:rPr>
            </w:pPr>
          </w:p>
        </w:tc>
      </w:tr>
      <w:tr w:rsidRPr="00A325F7" w:rsidR="00511E87" w:rsidTr="00B85722" w14:paraId="64AE238D" w14:textId="77777777">
        <w:trPr>
          <w:trHeight w:val="300"/>
        </w:trPr>
        <w:tc>
          <w:tcPr>
            <w:tcW w:w="6804" w:type="dxa"/>
            <w:tcBorders>
              <w:left w:val="nil"/>
              <w:right w:val="nil"/>
            </w:tcBorders>
            <w:noWrap/>
            <w:hideMark/>
          </w:tcPr>
          <w:p w:rsidRPr="00A325F7" w:rsidR="00511E87" w:rsidP="00B85722" w:rsidRDefault="00511E87" w14:paraId="67FAFF25" w14:textId="77777777">
            <w:pPr>
              <w:ind w:firstLine="200" w:firstLineChars="100"/>
              <w:rPr>
                <w:rFonts w:ascii="Arial" w:hAnsi="Arial" w:eastAsia="Times New Roman" w:cs="Arial"/>
                <w:sz w:val="20"/>
                <w:szCs w:val="20"/>
              </w:rPr>
            </w:pPr>
            <w:r w:rsidRPr="00A325F7">
              <w:rPr>
                <w:rFonts w:ascii="Arial" w:hAnsi="Arial"/>
                <w:sz w:val="20"/>
              </w:rPr>
              <w:t>d. Bijdragen aan het wanbetalingsfonds met betrekking tot CTP’s</w:t>
            </w:r>
          </w:p>
        </w:tc>
        <w:tc>
          <w:tcPr>
            <w:tcW w:w="2745" w:type="dxa"/>
            <w:tcBorders>
              <w:left w:val="nil"/>
              <w:right w:val="nil"/>
            </w:tcBorders>
            <w:noWrap/>
            <w:hideMark/>
          </w:tcPr>
          <w:p w:rsidRPr="00A325F7" w:rsidR="00511E87" w:rsidP="00B85722" w:rsidRDefault="00511E87" w14:paraId="231B2D86"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74FD27DE" w14:textId="77777777">
        <w:trPr>
          <w:trHeight w:val="300"/>
        </w:trPr>
        <w:tc>
          <w:tcPr>
            <w:tcW w:w="6804" w:type="dxa"/>
            <w:tcBorders>
              <w:left w:val="nil"/>
              <w:right w:val="nil"/>
            </w:tcBorders>
            <w:noWrap/>
            <w:hideMark/>
          </w:tcPr>
          <w:p w:rsidRPr="00A325F7" w:rsidR="00511E87" w:rsidP="00B85722" w:rsidRDefault="00511E87" w14:paraId="0796C912" w14:textId="77777777">
            <w:pPr>
              <w:ind w:firstLine="200" w:firstLineChars="100"/>
              <w:rPr>
                <w:rFonts w:ascii="Arial" w:hAnsi="Arial" w:eastAsia="Times New Roman" w:cs="Arial"/>
                <w:sz w:val="20"/>
                <w:szCs w:val="20"/>
              </w:rPr>
            </w:pPr>
            <w:r w:rsidRPr="00A325F7">
              <w:rPr>
                <w:rFonts w:ascii="Arial" w:hAnsi="Arial"/>
                <w:sz w:val="20"/>
              </w:rPr>
              <w:t>e. Andere faciliteiten voor CTP’s</w:t>
            </w:r>
          </w:p>
        </w:tc>
        <w:tc>
          <w:tcPr>
            <w:tcW w:w="2745" w:type="dxa"/>
            <w:tcBorders>
              <w:left w:val="nil"/>
              <w:right w:val="nil"/>
            </w:tcBorders>
            <w:noWrap/>
            <w:hideMark/>
          </w:tcPr>
          <w:p w:rsidRPr="00A325F7" w:rsidR="00511E87" w:rsidP="00B85722" w:rsidRDefault="00511E87" w14:paraId="3EAC59C8"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30E2641E" w14:textId="77777777">
        <w:trPr>
          <w:gridAfter w:val="1"/>
          <w:wAfter w:w="2745" w:type="dxa"/>
          <w:trHeight w:val="300"/>
        </w:trPr>
        <w:tc>
          <w:tcPr>
            <w:tcW w:w="6804" w:type="dxa"/>
            <w:tcBorders>
              <w:left w:val="nil"/>
              <w:right w:val="nil"/>
            </w:tcBorders>
            <w:noWrap/>
            <w:hideMark/>
          </w:tcPr>
          <w:p w:rsidRPr="00A325F7" w:rsidR="00511E87" w:rsidP="00B85722" w:rsidRDefault="00511E87" w14:paraId="2EEF642A" w14:textId="77777777">
            <w:pPr>
              <w:ind w:left="171"/>
              <w:rPr>
                <w:rFonts w:ascii="Arial" w:hAnsi="Arial" w:eastAsia="Times New Roman" w:cs="Arial"/>
                <w:sz w:val="20"/>
                <w:szCs w:val="20"/>
              </w:rPr>
            </w:pPr>
            <w:r w:rsidRPr="00A325F7">
              <w:rPr>
                <w:rFonts w:ascii="Arial" w:hAnsi="Arial"/>
                <w:sz w:val="20"/>
              </w:rPr>
              <w:t>f. Verlening van afwikkelingsdiensten in verband met centraal geclearde transacties</w:t>
            </w:r>
          </w:p>
        </w:tc>
      </w:tr>
      <w:tr w:rsidRPr="00A325F7" w:rsidR="00511E87" w:rsidTr="00B85722" w14:paraId="19586864" w14:textId="77777777">
        <w:trPr>
          <w:trHeight w:val="300"/>
        </w:trPr>
        <w:tc>
          <w:tcPr>
            <w:tcW w:w="6804" w:type="dxa"/>
            <w:tcBorders>
              <w:left w:val="nil"/>
              <w:right w:val="nil"/>
            </w:tcBorders>
            <w:noWrap/>
            <w:hideMark/>
          </w:tcPr>
          <w:p w:rsidRPr="00A325F7" w:rsidR="00511E87" w:rsidP="00B85722" w:rsidRDefault="00511E87" w14:paraId="7827A9F6" w14:textId="77777777">
            <w:pPr>
              <w:ind w:firstLine="200" w:firstLineChars="100"/>
              <w:rPr>
                <w:rFonts w:ascii="Arial" w:hAnsi="Arial" w:eastAsia="Times New Roman" w:cs="Arial"/>
                <w:sz w:val="20"/>
                <w:szCs w:val="20"/>
              </w:rPr>
            </w:pPr>
            <w:r w:rsidRPr="00A325F7">
              <w:rPr>
                <w:rFonts w:ascii="Arial" w:hAnsi="Arial"/>
                <w:sz w:val="20"/>
              </w:rPr>
              <w:t xml:space="preserve">g. Gemiddelde kwartaalwaarde van bewaring genomen activa </w:t>
            </w:r>
          </w:p>
        </w:tc>
        <w:tc>
          <w:tcPr>
            <w:tcW w:w="2745" w:type="dxa"/>
            <w:tcBorders>
              <w:left w:val="nil"/>
              <w:right w:val="nil"/>
            </w:tcBorders>
            <w:noWrap/>
            <w:hideMark/>
          </w:tcPr>
          <w:p w:rsidRPr="00A325F7" w:rsidR="00511E87" w:rsidP="00B85722" w:rsidRDefault="00511E87" w14:paraId="24B0451E"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2EEC50B8" w14:textId="77777777">
        <w:trPr>
          <w:trHeight w:val="300"/>
        </w:trPr>
        <w:tc>
          <w:tcPr>
            <w:tcW w:w="6804" w:type="dxa"/>
            <w:tcBorders>
              <w:left w:val="nil"/>
              <w:bottom w:val="single" w:color="auto" w:sz="4" w:space="0"/>
              <w:right w:val="nil"/>
            </w:tcBorders>
            <w:noWrap/>
            <w:hideMark/>
          </w:tcPr>
          <w:p w:rsidRPr="00A325F7" w:rsidR="00511E87" w:rsidP="00B85722" w:rsidRDefault="00511E87" w14:paraId="6FA98BA8" w14:textId="77777777">
            <w:pPr>
              <w:ind w:firstLine="200" w:firstLineChars="100"/>
              <w:rPr>
                <w:rFonts w:ascii="Arial" w:hAnsi="Arial" w:eastAsia="Times New Roman" w:cs="Arial"/>
                <w:sz w:val="20"/>
                <w:szCs w:val="20"/>
              </w:rPr>
            </w:pPr>
            <w:r w:rsidRPr="00A325F7">
              <w:rPr>
                <w:rFonts w:ascii="Arial" w:hAnsi="Arial"/>
                <w:sz w:val="20"/>
              </w:rPr>
              <w:t xml:space="preserve">h. Gemiddelde maandwaarde van bewaring genomen activa </w:t>
            </w:r>
          </w:p>
        </w:tc>
        <w:tc>
          <w:tcPr>
            <w:tcW w:w="2745" w:type="dxa"/>
            <w:tcBorders>
              <w:left w:val="nil"/>
              <w:bottom w:val="single" w:color="auto" w:sz="4" w:space="0"/>
              <w:right w:val="nil"/>
            </w:tcBorders>
            <w:noWrap/>
            <w:hideMark/>
          </w:tcPr>
          <w:p w:rsidRPr="00A325F7" w:rsidR="00511E87" w:rsidP="00B85722" w:rsidRDefault="00511E87" w14:paraId="565FA93C"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6266B920" w14:textId="77777777">
        <w:trPr>
          <w:trHeight w:val="300"/>
        </w:trPr>
        <w:tc>
          <w:tcPr>
            <w:tcW w:w="6804" w:type="dxa"/>
            <w:tcBorders>
              <w:left w:val="nil"/>
              <w:bottom w:val="nil"/>
              <w:right w:val="nil"/>
            </w:tcBorders>
            <w:noWrap/>
          </w:tcPr>
          <w:p w:rsidRPr="00A325F7" w:rsidR="00511E87" w:rsidP="00B85722" w:rsidRDefault="00511E87" w14:paraId="3AE1683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A325F7" w:rsidR="00511E87" w:rsidP="00B85722" w:rsidRDefault="00511E87" w14:paraId="74685A8D" w14:textId="77777777">
            <w:pPr>
              <w:jc w:val="center"/>
              <w:rPr>
                <w:rFonts w:ascii="Arial" w:hAnsi="Arial" w:eastAsia="Times New Roman" w:cs="Arial"/>
                <w:b/>
                <w:bCs/>
                <w:sz w:val="20"/>
                <w:szCs w:val="20"/>
                <w:lang w:eastAsia="en-GB"/>
              </w:rPr>
            </w:pPr>
          </w:p>
        </w:tc>
      </w:tr>
      <w:tr w:rsidRPr="00A325F7" w:rsidR="00511E87" w:rsidTr="00B85722" w14:paraId="70918D8E" w14:textId="77777777">
        <w:trPr>
          <w:trHeight w:val="300"/>
        </w:trPr>
        <w:tc>
          <w:tcPr>
            <w:tcW w:w="6804" w:type="dxa"/>
            <w:tcBorders>
              <w:top w:val="nil"/>
              <w:left w:val="nil"/>
              <w:right w:val="nil"/>
            </w:tcBorders>
            <w:noWrap/>
            <w:hideMark/>
          </w:tcPr>
          <w:p w:rsidRPr="00A325F7" w:rsidR="00511E87" w:rsidP="00B85722" w:rsidRDefault="00511E87" w14:paraId="19D8DBAA" w14:textId="77777777">
            <w:pPr>
              <w:rPr>
                <w:rFonts w:ascii="Arial" w:hAnsi="Arial" w:eastAsia="Times New Roman" w:cs="Arial"/>
                <w:b/>
                <w:bCs/>
                <w:sz w:val="20"/>
                <w:szCs w:val="20"/>
              </w:rPr>
            </w:pPr>
            <w:r w:rsidRPr="00A325F7">
              <w:rPr>
                <w:rFonts w:ascii="Arial" w:hAnsi="Arial"/>
                <w:b/>
                <w:sz w:val="20"/>
              </w:rPr>
              <w:t>Afdeling 20 – Posten met betrekking tot complexiteit</w:t>
            </w:r>
          </w:p>
        </w:tc>
        <w:tc>
          <w:tcPr>
            <w:tcW w:w="2745" w:type="dxa"/>
            <w:tcBorders>
              <w:top w:val="nil"/>
              <w:left w:val="nil"/>
              <w:right w:val="nil"/>
            </w:tcBorders>
            <w:hideMark/>
          </w:tcPr>
          <w:p w:rsidRPr="00A325F7" w:rsidR="00511E87" w:rsidP="00B85722" w:rsidRDefault="00511E87" w14:paraId="2F6FD6D6"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45D3C7AD" w14:textId="77777777">
        <w:trPr>
          <w:trHeight w:val="300"/>
        </w:trPr>
        <w:tc>
          <w:tcPr>
            <w:tcW w:w="6804" w:type="dxa"/>
            <w:tcBorders>
              <w:left w:val="nil"/>
              <w:right w:val="nil"/>
            </w:tcBorders>
            <w:noWrap/>
            <w:hideMark/>
          </w:tcPr>
          <w:p w:rsidRPr="00A325F7" w:rsidR="00511E87" w:rsidP="00B85722" w:rsidRDefault="00511E87" w14:paraId="1AF07B2C" w14:textId="77777777">
            <w:pPr>
              <w:ind w:firstLine="200" w:firstLineChars="100"/>
              <w:rPr>
                <w:rFonts w:ascii="Arial" w:hAnsi="Arial" w:eastAsia="Times New Roman" w:cs="Arial"/>
                <w:sz w:val="20"/>
                <w:szCs w:val="20"/>
              </w:rPr>
            </w:pPr>
            <w:r w:rsidRPr="00A325F7">
              <w:rPr>
                <w:rFonts w:ascii="Arial" w:hAnsi="Arial"/>
                <w:sz w:val="20"/>
              </w:rPr>
              <w:t>a. Indicator voor OTC-derivaten (oude indicator)</w:t>
            </w:r>
          </w:p>
        </w:tc>
        <w:tc>
          <w:tcPr>
            <w:tcW w:w="2745" w:type="dxa"/>
            <w:tcBorders>
              <w:left w:val="nil"/>
              <w:right w:val="nil"/>
            </w:tcBorders>
            <w:noWrap/>
            <w:hideMark/>
          </w:tcPr>
          <w:p w:rsidRPr="00A325F7" w:rsidR="00511E87" w:rsidP="00B85722" w:rsidRDefault="00511E87" w14:paraId="16B200C2" w14:textId="77777777">
            <w:pPr>
              <w:jc w:val="right"/>
              <w:rPr>
                <w:rFonts w:ascii="Arial" w:hAnsi="Arial" w:eastAsia="Times New Roman" w:cs="Arial"/>
                <w:sz w:val="20"/>
                <w:szCs w:val="20"/>
              </w:rPr>
            </w:pPr>
            <w:r w:rsidRPr="00A325F7">
              <w:rPr>
                <w:rFonts w:ascii="Arial" w:hAnsi="Arial"/>
                <w:sz w:val="20"/>
              </w:rPr>
              <w:t> </w:t>
            </w:r>
          </w:p>
        </w:tc>
      </w:tr>
      <w:tr w:rsidRPr="00A325F7" w:rsidR="00511E87" w:rsidTr="00B85722" w14:paraId="09EDEE08" w14:textId="77777777">
        <w:trPr>
          <w:trHeight w:val="300"/>
        </w:trPr>
        <w:tc>
          <w:tcPr>
            <w:tcW w:w="6804" w:type="dxa"/>
            <w:tcBorders>
              <w:left w:val="nil"/>
              <w:right w:val="nil"/>
            </w:tcBorders>
            <w:noWrap/>
          </w:tcPr>
          <w:p w:rsidRPr="00A325F7" w:rsidR="00511E87" w:rsidP="00B85722" w:rsidRDefault="00511E87" w14:paraId="68A01056" w14:textId="77777777">
            <w:pPr>
              <w:ind w:left="171" w:firstLine="28" w:firstLineChars="14"/>
              <w:rPr>
                <w:rFonts w:ascii="Arial" w:hAnsi="Arial" w:eastAsia="Times New Roman" w:cs="Arial"/>
                <w:sz w:val="20"/>
                <w:szCs w:val="20"/>
              </w:rPr>
            </w:pPr>
            <w:r w:rsidRPr="00A325F7">
              <w:rPr>
                <w:rFonts w:ascii="Arial" w:hAnsi="Arial"/>
                <w:sz w:val="20"/>
              </w:rPr>
              <w:t>b. Notioneel bedrag van OTC-derivaten, met inbegrip van verzekeringsdochterondernemingen:</w:t>
            </w:r>
          </w:p>
        </w:tc>
        <w:tc>
          <w:tcPr>
            <w:tcW w:w="2745" w:type="dxa"/>
            <w:tcBorders>
              <w:left w:val="nil"/>
              <w:right w:val="nil"/>
            </w:tcBorders>
            <w:noWrap/>
          </w:tcPr>
          <w:p w:rsidRPr="00A325F7" w:rsidR="00511E87" w:rsidP="00B85722" w:rsidRDefault="00511E87" w14:paraId="5F9FA0F0" w14:textId="77777777">
            <w:pPr>
              <w:jc w:val="right"/>
              <w:rPr>
                <w:rFonts w:ascii="Arial" w:hAnsi="Arial" w:eastAsia="Times New Roman" w:cs="Arial"/>
                <w:sz w:val="20"/>
                <w:szCs w:val="20"/>
                <w:lang w:eastAsia="en-GB"/>
              </w:rPr>
            </w:pPr>
          </w:p>
        </w:tc>
      </w:tr>
      <w:tr w:rsidRPr="00A325F7" w:rsidR="00511E87" w:rsidTr="00B85722" w14:paraId="64F8E0A0" w14:textId="77777777">
        <w:trPr>
          <w:trHeight w:val="300"/>
        </w:trPr>
        <w:tc>
          <w:tcPr>
            <w:tcW w:w="6804" w:type="dxa"/>
            <w:tcBorders>
              <w:left w:val="nil"/>
              <w:right w:val="nil"/>
            </w:tcBorders>
            <w:noWrap/>
          </w:tcPr>
          <w:p w:rsidRPr="00A325F7" w:rsidR="00511E87" w:rsidP="00B85722" w:rsidRDefault="00511E87" w14:paraId="07D17064" w14:textId="77777777">
            <w:pPr>
              <w:ind w:left="313"/>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gecleard via een CTP waarbij de groep (met inbegrip van verzekeringsdochterondernemingen) als financieel tussenpersoon optreedt (CTP-deel)</w:t>
            </w:r>
          </w:p>
        </w:tc>
        <w:tc>
          <w:tcPr>
            <w:tcW w:w="2745" w:type="dxa"/>
            <w:tcBorders>
              <w:left w:val="nil"/>
              <w:right w:val="nil"/>
            </w:tcBorders>
            <w:noWrap/>
          </w:tcPr>
          <w:p w:rsidRPr="00A325F7" w:rsidR="00511E87" w:rsidP="00B85722" w:rsidRDefault="00511E87" w14:paraId="08D16ABF" w14:textId="77777777">
            <w:pPr>
              <w:jc w:val="right"/>
              <w:rPr>
                <w:rFonts w:ascii="Arial" w:hAnsi="Arial" w:eastAsia="Times New Roman" w:cs="Arial"/>
                <w:sz w:val="20"/>
                <w:szCs w:val="20"/>
                <w:lang w:eastAsia="en-GB"/>
              </w:rPr>
            </w:pPr>
          </w:p>
        </w:tc>
      </w:tr>
      <w:tr w:rsidRPr="00A325F7" w:rsidR="00511E87" w:rsidTr="00B85722" w14:paraId="094A3BC1" w14:textId="77777777">
        <w:trPr>
          <w:trHeight w:val="300"/>
        </w:trPr>
        <w:tc>
          <w:tcPr>
            <w:tcW w:w="6804" w:type="dxa"/>
            <w:tcBorders>
              <w:left w:val="nil"/>
              <w:right w:val="nil"/>
            </w:tcBorders>
            <w:noWrap/>
          </w:tcPr>
          <w:p w:rsidRPr="00A325F7" w:rsidR="00511E87" w:rsidP="00B85722" w:rsidRDefault="00511E87" w14:paraId="3ACE3FA7" w14:textId="77777777">
            <w:pPr>
              <w:ind w:left="313" w:firstLine="58" w:firstLineChars="29"/>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 xml:space="preserve">gecleard via een CTP waarbij de groep (met inbegrip van verzekeringsdochterondernemingen) als financieel tussenpersoon optreedt (cliënt-deel) </w:t>
            </w:r>
          </w:p>
        </w:tc>
        <w:tc>
          <w:tcPr>
            <w:tcW w:w="2745" w:type="dxa"/>
            <w:tcBorders>
              <w:left w:val="nil"/>
              <w:right w:val="nil"/>
            </w:tcBorders>
            <w:noWrap/>
          </w:tcPr>
          <w:p w:rsidRPr="00A325F7" w:rsidR="00511E87" w:rsidP="00B85722" w:rsidRDefault="00511E87" w14:paraId="156CC83B" w14:textId="77777777">
            <w:pPr>
              <w:jc w:val="right"/>
              <w:rPr>
                <w:rFonts w:ascii="Arial" w:hAnsi="Arial" w:eastAsia="Times New Roman" w:cs="Arial"/>
                <w:sz w:val="20"/>
                <w:szCs w:val="20"/>
                <w:lang w:eastAsia="en-GB"/>
              </w:rPr>
            </w:pPr>
          </w:p>
        </w:tc>
      </w:tr>
      <w:tr w:rsidRPr="00A325F7" w:rsidR="00511E87" w:rsidTr="00B85722" w14:paraId="639E3A27" w14:textId="77777777">
        <w:trPr>
          <w:trHeight w:val="300"/>
        </w:trPr>
        <w:tc>
          <w:tcPr>
            <w:tcW w:w="6804" w:type="dxa"/>
            <w:tcBorders>
              <w:left w:val="nil"/>
              <w:right w:val="nil"/>
            </w:tcBorders>
            <w:noWrap/>
          </w:tcPr>
          <w:p w:rsidRPr="00A325F7" w:rsidR="00511E87" w:rsidP="00B85722" w:rsidRDefault="00511E87" w14:paraId="7FE3170D" w14:textId="77777777">
            <w:pPr>
              <w:ind w:left="313"/>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 xml:space="preserve">gecleard via een CTP waarbij de groep, met inbegrip van verzekeringsdochterondernemingen, als gemachtigde optreedt </w:t>
            </w:r>
          </w:p>
        </w:tc>
        <w:tc>
          <w:tcPr>
            <w:tcW w:w="2745" w:type="dxa"/>
            <w:tcBorders>
              <w:left w:val="nil"/>
              <w:right w:val="nil"/>
            </w:tcBorders>
            <w:noWrap/>
          </w:tcPr>
          <w:p w:rsidRPr="00A325F7" w:rsidR="00511E87" w:rsidP="00B85722" w:rsidRDefault="00511E87" w14:paraId="45F859EA" w14:textId="77777777">
            <w:pPr>
              <w:jc w:val="right"/>
              <w:rPr>
                <w:rFonts w:ascii="Arial" w:hAnsi="Arial" w:eastAsia="Times New Roman" w:cs="Arial"/>
                <w:sz w:val="20"/>
                <w:szCs w:val="20"/>
                <w:lang w:eastAsia="en-GB"/>
              </w:rPr>
            </w:pPr>
          </w:p>
        </w:tc>
      </w:tr>
      <w:tr w:rsidRPr="00A325F7" w:rsidR="00511E87" w:rsidTr="00B85722" w14:paraId="3B59336E" w14:textId="77777777">
        <w:trPr>
          <w:trHeight w:val="300"/>
        </w:trPr>
        <w:tc>
          <w:tcPr>
            <w:tcW w:w="6804" w:type="dxa"/>
            <w:tcBorders>
              <w:left w:val="nil"/>
              <w:right w:val="nil"/>
            </w:tcBorders>
            <w:noWrap/>
          </w:tcPr>
          <w:p w:rsidRPr="00A325F7" w:rsidR="00511E87" w:rsidP="00B85722" w:rsidRDefault="00511E87" w14:paraId="4829C355" w14:textId="77777777">
            <w:pPr>
              <w:ind w:left="313" w:hanging="1"/>
              <w:rPr>
                <w:rFonts w:ascii="Arial" w:hAnsi="Arial" w:eastAsia="Times New Roman" w:cs="Arial"/>
                <w:sz w:val="20"/>
                <w:szCs w:val="20"/>
              </w:rPr>
            </w:pPr>
            <w:r w:rsidRPr="00A325F7">
              <w:rPr>
                <w:rFonts w:ascii="Arial" w:hAnsi="Arial"/>
                <w:sz w:val="20"/>
                <w:lang w:eastAsia="en-GB"/>
              </w:rPr>
              <w:t xml:space="preserve">(4) </w:t>
            </w:r>
            <w:r w:rsidRPr="00A325F7">
              <w:rPr>
                <w:rFonts w:ascii="Arial" w:hAnsi="Arial"/>
                <w:sz w:val="20"/>
              </w:rPr>
              <w:t>gecleard via een CTP waarbij de groep, met inbegrip van verzekeringsdochterondernemingen, voor eigen rekening handelt</w:t>
            </w:r>
          </w:p>
        </w:tc>
        <w:tc>
          <w:tcPr>
            <w:tcW w:w="2745" w:type="dxa"/>
            <w:tcBorders>
              <w:left w:val="nil"/>
              <w:right w:val="nil"/>
            </w:tcBorders>
            <w:noWrap/>
          </w:tcPr>
          <w:p w:rsidRPr="00A325F7" w:rsidR="00511E87" w:rsidP="00B85722" w:rsidRDefault="00511E87" w14:paraId="05377391" w14:textId="77777777">
            <w:pPr>
              <w:jc w:val="right"/>
              <w:rPr>
                <w:rFonts w:ascii="Arial" w:hAnsi="Arial" w:eastAsia="Times New Roman" w:cs="Arial"/>
                <w:sz w:val="20"/>
                <w:szCs w:val="20"/>
                <w:lang w:eastAsia="en-GB"/>
              </w:rPr>
            </w:pPr>
          </w:p>
        </w:tc>
      </w:tr>
      <w:tr w:rsidRPr="00A325F7" w:rsidR="00511E87" w:rsidTr="00B85722" w14:paraId="07BB88B4" w14:textId="77777777">
        <w:trPr>
          <w:trHeight w:val="300"/>
        </w:trPr>
        <w:tc>
          <w:tcPr>
            <w:tcW w:w="6804" w:type="dxa"/>
            <w:tcBorders>
              <w:left w:val="nil"/>
              <w:right w:val="nil"/>
            </w:tcBorders>
            <w:noWrap/>
          </w:tcPr>
          <w:p w:rsidRPr="00A325F7" w:rsidR="00511E87" w:rsidP="00B85722" w:rsidRDefault="00511E87" w14:paraId="6816CDD0" w14:textId="77777777">
            <w:pPr>
              <w:ind w:left="171" w:firstLine="28" w:firstLineChars="14"/>
              <w:rPr>
                <w:rFonts w:ascii="Arial" w:hAnsi="Arial" w:eastAsia="Times New Roman" w:cs="Arial"/>
                <w:sz w:val="20"/>
                <w:szCs w:val="20"/>
              </w:rPr>
            </w:pPr>
            <w:r w:rsidRPr="00A325F7">
              <w:rPr>
                <w:rFonts w:ascii="Arial" w:hAnsi="Arial"/>
                <w:sz w:val="20"/>
              </w:rPr>
              <w:t>c. Via een centrale tegenpartij geclearde OTC-derivaten (uitzondering voor Libor-transitie)</w:t>
            </w:r>
          </w:p>
        </w:tc>
        <w:tc>
          <w:tcPr>
            <w:tcW w:w="2745" w:type="dxa"/>
            <w:tcBorders>
              <w:left w:val="nil"/>
              <w:right w:val="nil"/>
            </w:tcBorders>
            <w:noWrap/>
          </w:tcPr>
          <w:p w:rsidRPr="00A325F7" w:rsidR="00511E87" w:rsidP="00B85722" w:rsidRDefault="00511E87" w14:paraId="4DE29002" w14:textId="77777777">
            <w:pPr>
              <w:jc w:val="right"/>
              <w:rPr>
                <w:rFonts w:ascii="Arial" w:hAnsi="Arial" w:eastAsia="Times New Roman" w:cs="Arial"/>
                <w:sz w:val="20"/>
                <w:szCs w:val="20"/>
                <w:lang w:eastAsia="en-GB"/>
              </w:rPr>
            </w:pPr>
          </w:p>
        </w:tc>
      </w:tr>
      <w:tr w:rsidRPr="00A325F7" w:rsidR="00511E87" w:rsidTr="00B85722" w14:paraId="151EA581" w14:textId="77777777">
        <w:trPr>
          <w:trHeight w:val="300"/>
        </w:trPr>
        <w:tc>
          <w:tcPr>
            <w:tcW w:w="6804" w:type="dxa"/>
            <w:tcBorders>
              <w:left w:val="nil"/>
              <w:right w:val="nil"/>
            </w:tcBorders>
            <w:noWrap/>
          </w:tcPr>
          <w:p w:rsidRPr="00A325F7" w:rsidR="00511E87" w:rsidP="00B85722" w:rsidRDefault="00511E87" w14:paraId="40780B0D" w14:textId="77777777">
            <w:pPr>
              <w:ind w:left="171" w:firstLine="28" w:firstLineChars="14"/>
              <w:rPr>
                <w:rFonts w:ascii="Arial" w:hAnsi="Arial" w:eastAsia="Times New Roman" w:cs="Arial"/>
                <w:sz w:val="20"/>
                <w:szCs w:val="20"/>
              </w:rPr>
            </w:pPr>
            <w:r w:rsidRPr="00A325F7">
              <w:rPr>
                <w:rFonts w:ascii="Arial" w:hAnsi="Arial"/>
                <w:sz w:val="20"/>
              </w:rPr>
              <w:lastRenderedPageBreak/>
              <w:t xml:space="preserve">d. Gemiddelde kwartaalwaarde van het notioneel bedrag van OTC-derivaten </w:t>
            </w:r>
          </w:p>
        </w:tc>
        <w:tc>
          <w:tcPr>
            <w:tcW w:w="2745" w:type="dxa"/>
            <w:tcBorders>
              <w:left w:val="nil"/>
              <w:right w:val="nil"/>
            </w:tcBorders>
            <w:noWrap/>
          </w:tcPr>
          <w:p w:rsidRPr="00A325F7" w:rsidR="00511E87" w:rsidP="00B85722" w:rsidRDefault="00511E87" w14:paraId="584CCB43" w14:textId="77777777">
            <w:pPr>
              <w:jc w:val="right"/>
              <w:rPr>
                <w:rFonts w:ascii="Arial" w:hAnsi="Arial" w:eastAsia="Times New Roman" w:cs="Arial"/>
                <w:sz w:val="20"/>
                <w:szCs w:val="20"/>
                <w:lang w:eastAsia="en-GB"/>
              </w:rPr>
            </w:pPr>
          </w:p>
        </w:tc>
      </w:tr>
      <w:tr w:rsidRPr="00A325F7" w:rsidR="00511E87" w:rsidTr="00B85722" w14:paraId="3C6A11C9" w14:textId="77777777">
        <w:trPr>
          <w:trHeight w:val="300"/>
        </w:trPr>
        <w:tc>
          <w:tcPr>
            <w:tcW w:w="6804" w:type="dxa"/>
            <w:tcBorders>
              <w:left w:val="nil"/>
              <w:right w:val="nil"/>
            </w:tcBorders>
            <w:noWrap/>
          </w:tcPr>
          <w:p w:rsidRPr="00A325F7" w:rsidR="00511E87" w:rsidP="00B85722" w:rsidRDefault="00511E87" w14:paraId="53C0095F" w14:textId="77777777">
            <w:pPr>
              <w:ind w:left="171" w:firstLine="28" w:firstLineChars="14"/>
              <w:rPr>
                <w:rFonts w:ascii="Arial" w:hAnsi="Arial" w:eastAsia="Times New Roman" w:cs="Arial"/>
                <w:sz w:val="20"/>
                <w:szCs w:val="20"/>
              </w:rPr>
            </w:pPr>
            <w:r w:rsidRPr="00A325F7">
              <w:rPr>
                <w:rFonts w:ascii="Arial" w:hAnsi="Arial"/>
                <w:sz w:val="20"/>
              </w:rPr>
              <w:t xml:space="preserve">e. Gemiddelde maandwaarde van het notioneel bedrag van OTC-derivaten </w:t>
            </w:r>
          </w:p>
        </w:tc>
        <w:tc>
          <w:tcPr>
            <w:tcW w:w="2745" w:type="dxa"/>
            <w:tcBorders>
              <w:left w:val="nil"/>
              <w:right w:val="nil"/>
            </w:tcBorders>
            <w:noWrap/>
          </w:tcPr>
          <w:p w:rsidRPr="00A325F7" w:rsidR="00511E87" w:rsidP="00B85722" w:rsidRDefault="00511E87" w14:paraId="0934749B" w14:textId="77777777">
            <w:pPr>
              <w:jc w:val="right"/>
              <w:rPr>
                <w:rFonts w:ascii="Arial" w:hAnsi="Arial" w:eastAsia="Times New Roman" w:cs="Arial"/>
                <w:sz w:val="20"/>
                <w:szCs w:val="20"/>
                <w:lang w:eastAsia="en-GB"/>
              </w:rPr>
            </w:pPr>
          </w:p>
        </w:tc>
      </w:tr>
      <w:tr w:rsidRPr="00A325F7" w:rsidR="00511E87" w:rsidTr="00B85722" w14:paraId="76CF9C86" w14:textId="77777777">
        <w:trPr>
          <w:trHeight w:val="300"/>
        </w:trPr>
        <w:tc>
          <w:tcPr>
            <w:tcW w:w="6804" w:type="dxa"/>
            <w:tcBorders>
              <w:left w:val="nil"/>
              <w:right w:val="nil"/>
            </w:tcBorders>
            <w:noWrap/>
          </w:tcPr>
          <w:p w:rsidRPr="00A325F7" w:rsidR="00511E87" w:rsidP="00B85722" w:rsidRDefault="00511E87" w14:paraId="4C391DB1" w14:textId="77777777">
            <w:pPr>
              <w:ind w:firstLine="200" w:firstLineChars="100"/>
              <w:rPr>
                <w:rFonts w:ascii="Arial" w:hAnsi="Arial" w:eastAsia="Times New Roman" w:cs="Arial"/>
                <w:sz w:val="20"/>
                <w:szCs w:val="20"/>
              </w:rPr>
            </w:pPr>
            <w:r w:rsidRPr="00A325F7">
              <w:rPr>
                <w:rFonts w:ascii="Arial" w:hAnsi="Arial"/>
                <w:sz w:val="20"/>
              </w:rPr>
              <w:t xml:space="preserve">f. Gemiddelde kwartaalwaarde van voor handelsdoeleinden aangehouden en voor verkoop beschikbare effecten </w:t>
            </w:r>
          </w:p>
        </w:tc>
        <w:tc>
          <w:tcPr>
            <w:tcW w:w="2745" w:type="dxa"/>
            <w:tcBorders>
              <w:left w:val="nil"/>
              <w:right w:val="nil"/>
            </w:tcBorders>
            <w:noWrap/>
          </w:tcPr>
          <w:p w:rsidRPr="00A325F7" w:rsidR="00511E87" w:rsidP="00B85722" w:rsidRDefault="00511E87" w14:paraId="4634E8B1" w14:textId="77777777">
            <w:pPr>
              <w:jc w:val="right"/>
              <w:rPr>
                <w:rFonts w:ascii="Arial" w:hAnsi="Arial" w:eastAsia="Times New Roman" w:cs="Arial"/>
                <w:sz w:val="20"/>
                <w:szCs w:val="20"/>
                <w:lang w:eastAsia="en-GB"/>
              </w:rPr>
            </w:pPr>
          </w:p>
        </w:tc>
      </w:tr>
      <w:tr w:rsidRPr="00A325F7" w:rsidR="00511E87" w:rsidTr="00B85722" w14:paraId="2A11F4BF" w14:textId="77777777">
        <w:trPr>
          <w:trHeight w:val="300"/>
        </w:trPr>
        <w:tc>
          <w:tcPr>
            <w:tcW w:w="6804" w:type="dxa"/>
            <w:tcBorders>
              <w:left w:val="nil"/>
              <w:right w:val="nil"/>
            </w:tcBorders>
            <w:noWrap/>
          </w:tcPr>
          <w:p w:rsidRPr="00A325F7" w:rsidR="00511E87" w:rsidP="00B85722" w:rsidRDefault="00511E87" w14:paraId="15B4B2CC" w14:textId="77777777">
            <w:pPr>
              <w:ind w:firstLine="200" w:firstLineChars="100"/>
              <w:rPr>
                <w:rFonts w:ascii="Arial" w:hAnsi="Arial" w:eastAsia="Times New Roman" w:cs="Arial"/>
                <w:sz w:val="20"/>
                <w:szCs w:val="20"/>
              </w:rPr>
            </w:pPr>
            <w:r w:rsidRPr="00A325F7">
              <w:rPr>
                <w:rFonts w:ascii="Arial" w:hAnsi="Arial"/>
                <w:sz w:val="20"/>
              </w:rPr>
              <w:t xml:space="preserve">g. Gemiddelde maandwaarde van voor handelsdoeleinden aangehouden en voor verkoop beschikbare effecten </w:t>
            </w:r>
          </w:p>
        </w:tc>
        <w:tc>
          <w:tcPr>
            <w:tcW w:w="2745" w:type="dxa"/>
            <w:tcBorders>
              <w:left w:val="nil"/>
              <w:right w:val="nil"/>
            </w:tcBorders>
            <w:noWrap/>
          </w:tcPr>
          <w:p w:rsidRPr="00A325F7" w:rsidR="00511E87" w:rsidP="00B85722" w:rsidRDefault="00511E87" w14:paraId="503C0829" w14:textId="77777777">
            <w:pPr>
              <w:jc w:val="right"/>
              <w:rPr>
                <w:rFonts w:ascii="Arial" w:hAnsi="Arial" w:eastAsia="Times New Roman" w:cs="Arial"/>
                <w:sz w:val="20"/>
                <w:szCs w:val="20"/>
                <w:lang w:eastAsia="en-GB"/>
              </w:rPr>
            </w:pPr>
          </w:p>
        </w:tc>
      </w:tr>
      <w:tr w:rsidRPr="00A325F7" w:rsidR="00511E87" w:rsidTr="00B85722" w14:paraId="0A7C3331" w14:textId="77777777">
        <w:trPr>
          <w:trHeight w:val="300"/>
        </w:trPr>
        <w:tc>
          <w:tcPr>
            <w:tcW w:w="6804" w:type="dxa"/>
            <w:tcBorders>
              <w:left w:val="nil"/>
              <w:right w:val="nil"/>
            </w:tcBorders>
            <w:noWrap/>
          </w:tcPr>
          <w:p w:rsidRPr="00A325F7" w:rsidR="00511E87" w:rsidP="00B85722" w:rsidRDefault="00511E87" w14:paraId="0DE713CA" w14:textId="77777777">
            <w:pPr>
              <w:ind w:firstLine="200" w:firstLineChars="100"/>
              <w:rPr>
                <w:rFonts w:ascii="Arial" w:hAnsi="Arial" w:eastAsia="Times New Roman" w:cs="Arial"/>
                <w:sz w:val="20"/>
                <w:szCs w:val="20"/>
              </w:rPr>
            </w:pPr>
            <w:r w:rsidRPr="00A325F7">
              <w:rPr>
                <w:rFonts w:ascii="Arial" w:hAnsi="Arial"/>
                <w:sz w:val="20"/>
              </w:rPr>
              <w:t>h. Indicator voor activa van niveau 3 (oude indicator)</w:t>
            </w:r>
          </w:p>
        </w:tc>
        <w:tc>
          <w:tcPr>
            <w:tcW w:w="2745" w:type="dxa"/>
            <w:tcBorders>
              <w:left w:val="nil"/>
              <w:right w:val="nil"/>
            </w:tcBorders>
            <w:noWrap/>
          </w:tcPr>
          <w:p w:rsidRPr="00A325F7" w:rsidR="00511E87" w:rsidP="00B85722" w:rsidRDefault="00511E87" w14:paraId="74EEDC09" w14:textId="77777777">
            <w:pPr>
              <w:jc w:val="right"/>
              <w:rPr>
                <w:rFonts w:ascii="Arial" w:hAnsi="Arial" w:eastAsia="Times New Roman" w:cs="Arial"/>
                <w:sz w:val="20"/>
                <w:szCs w:val="20"/>
                <w:lang w:eastAsia="en-GB"/>
              </w:rPr>
            </w:pPr>
          </w:p>
        </w:tc>
      </w:tr>
      <w:tr w:rsidRPr="00A325F7" w:rsidR="00511E87" w:rsidTr="00B85722" w14:paraId="59261761" w14:textId="77777777">
        <w:trPr>
          <w:trHeight w:val="300"/>
        </w:trPr>
        <w:tc>
          <w:tcPr>
            <w:tcW w:w="6804" w:type="dxa"/>
            <w:tcBorders>
              <w:left w:val="nil"/>
              <w:right w:val="nil"/>
            </w:tcBorders>
            <w:noWrap/>
          </w:tcPr>
          <w:p w:rsidRPr="00A325F7" w:rsidR="00511E87" w:rsidP="00B85722" w:rsidRDefault="00511E87" w14:paraId="59C4A442" w14:textId="77777777">
            <w:pPr>
              <w:ind w:firstLine="200" w:firstLineChars="100"/>
              <w:rPr>
                <w:rFonts w:ascii="Arial" w:hAnsi="Arial" w:eastAsia="Times New Roman" w:cs="Arial"/>
                <w:sz w:val="20"/>
                <w:szCs w:val="20"/>
              </w:rPr>
            </w:pPr>
            <w:r w:rsidRPr="00A325F7">
              <w:rPr>
                <w:rFonts w:ascii="Arial" w:hAnsi="Arial"/>
                <w:sz w:val="20"/>
              </w:rPr>
              <w:t xml:space="preserve">i. Gemiddelde kwartaalwaarde van activa van niveau 3 </w:t>
            </w:r>
          </w:p>
        </w:tc>
        <w:tc>
          <w:tcPr>
            <w:tcW w:w="2745" w:type="dxa"/>
            <w:tcBorders>
              <w:left w:val="nil"/>
              <w:right w:val="nil"/>
            </w:tcBorders>
            <w:noWrap/>
          </w:tcPr>
          <w:p w:rsidRPr="00A325F7" w:rsidR="00511E87" w:rsidP="00B85722" w:rsidRDefault="00511E87" w14:paraId="67DE606D" w14:textId="77777777">
            <w:pPr>
              <w:jc w:val="right"/>
              <w:rPr>
                <w:rFonts w:ascii="Arial" w:hAnsi="Arial" w:eastAsia="Times New Roman" w:cs="Arial"/>
                <w:sz w:val="20"/>
                <w:szCs w:val="20"/>
                <w:lang w:eastAsia="en-GB"/>
              </w:rPr>
            </w:pPr>
          </w:p>
        </w:tc>
      </w:tr>
      <w:tr w:rsidRPr="00A325F7" w:rsidR="00511E87" w:rsidTr="00B85722" w14:paraId="26E43E48" w14:textId="77777777">
        <w:trPr>
          <w:trHeight w:val="300"/>
        </w:trPr>
        <w:tc>
          <w:tcPr>
            <w:tcW w:w="6804" w:type="dxa"/>
            <w:tcBorders>
              <w:left w:val="nil"/>
              <w:right w:val="nil"/>
            </w:tcBorders>
            <w:noWrap/>
          </w:tcPr>
          <w:p w:rsidRPr="00A325F7" w:rsidR="00511E87" w:rsidP="00B85722" w:rsidRDefault="00511E87" w14:paraId="255BBFA7" w14:textId="77777777">
            <w:pPr>
              <w:ind w:firstLine="200" w:firstLineChars="100"/>
              <w:rPr>
                <w:rFonts w:ascii="Arial" w:hAnsi="Arial" w:eastAsia="Times New Roman" w:cs="Arial"/>
                <w:sz w:val="20"/>
                <w:szCs w:val="20"/>
              </w:rPr>
            </w:pPr>
            <w:r w:rsidRPr="00A325F7">
              <w:rPr>
                <w:rFonts w:ascii="Arial" w:hAnsi="Arial"/>
                <w:sz w:val="20"/>
              </w:rPr>
              <w:t xml:space="preserve">j. Gemiddelde maandwaarde van activa van niveau 3  </w:t>
            </w:r>
          </w:p>
        </w:tc>
        <w:tc>
          <w:tcPr>
            <w:tcW w:w="2745" w:type="dxa"/>
            <w:tcBorders>
              <w:left w:val="nil"/>
              <w:right w:val="nil"/>
            </w:tcBorders>
            <w:noWrap/>
          </w:tcPr>
          <w:p w:rsidRPr="00A325F7" w:rsidR="00511E87" w:rsidP="00B85722" w:rsidRDefault="00511E87" w14:paraId="4BD43439" w14:textId="77777777">
            <w:pPr>
              <w:jc w:val="right"/>
              <w:rPr>
                <w:rFonts w:ascii="Arial" w:hAnsi="Arial" w:eastAsia="Times New Roman" w:cs="Arial"/>
                <w:sz w:val="20"/>
                <w:szCs w:val="20"/>
                <w:lang w:eastAsia="en-GB"/>
              </w:rPr>
            </w:pPr>
          </w:p>
        </w:tc>
      </w:tr>
      <w:tr w:rsidRPr="00A325F7" w:rsidR="00511E87" w:rsidTr="00B85722" w14:paraId="08DD1A8F" w14:textId="77777777">
        <w:trPr>
          <w:trHeight w:val="300"/>
        </w:trPr>
        <w:tc>
          <w:tcPr>
            <w:tcW w:w="6804" w:type="dxa"/>
            <w:tcBorders>
              <w:left w:val="nil"/>
              <w:right w:val="nil"/>
            </w:tcBorders>
            <w:noWrap/>
          </w:tcPr>
          <w:p w:rsidRPr="00A325F7" w:rsidR="00511E87" w:rsidP="00B85722" w:rsidRDefault="00511E87" w14:paraId="1D362640" w14:textId="77777777">
            <w:pPr>
              <w:ind w:firstLine="200" w:firstLineChars="100"/>
              <w:rPr>
                <w:rFonts w:ascii="Arial" w:hAnsi="Arial" w:eastAsia="Times New Roman" w:cs="Arial"/>
                <w:sz w:val="20"/>
                <w:szCs w:val="20"/>
              </w:rPr>
            </w:pPr>
            <w:r w:rsidRPr="00A325F7">
              <w:rPr>
                <w:rFonts w:ascii="Arial" w:hAnsi="Arial"/>
                <w:sz w:val="20"/>
              </w:rPr>
              <w:t>k. Activa van niveau 2, met inbegrip van verzekeringsdochterondernemingen</w:t>
            </w:r>
          </w:p>
        </w:tc>
        <w:tc>
          <w:tcPr>
            <w:tcW w:w="2745" w:type="dxa"/>
            <w:tcBorders>
              <w:left w:val="nil"/>
              <w:right w:val="nil"/>
            </w:tcBorders>
            <w:noWrap/>
          </w:tcPr>
          <w:p w:rsidRPr="00A325F7" w:rsidR="00511E87" w:rsidP="00B85722" w:rsidRDefault="00511E87" w14:paraId="416633C6" w14:textId="77777777">
            <w:pPr>
              <w:jc w:val="right"/>
              <w:rPr>
                <w:rFonts w:ascii="Arial" w:hAnsi="Arial" w:eastAsia="Times New Roman" w:cs="Arial"/>
                <w:sz w:val="20"/>
                <w:szCs w:val="20"/>
                <w:lang w:eastAsia="en-GB"/>
              </w:rPr>
            </w:pPr>
          </w:p>
        </w:tc>
      </w:tr>
      <w:tr w:rsidRPr="00A325F7" w:rsidR="00511E87" w:rsidTr="00B85722" w14:paraId="55B108C1" w14:textId="77777777">
        <w:trPr>
          <w:trHeight w:val="300"/>
        </w:trPr>
        <w:tc>
          <w:tcPr>
            <w:tcW w:w="6804" w:type="dxa"/>
            <w:tcBorders>
              <w:left w:val="nil"/>
              <w:right w:val="nil"/>
            </w:tcBorders>
            <w:noWrap/>
          </w:tcPr>
          <w:p w:rsidRPr="00A325F7" w:rsidR="00511E87" w:rsidP="00B85722" w:rsidRDefault="00511E87" w14:paraId="25509B72" w14:textId="77777777">
            <w:pPr>
              <w:ind w:left="454" w:hanging="141"/>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Activa van niveau 2, met inbegrip van verzekeringsdochterondernemingen, gecleard via een CTP</w:t>
            </w:r>
          </w:p>
        </w:tc>
        <w:tc>
          <w:tcPr>
            <w:tcW w:w="2745" w:type="dxa"/>
            <w:tcBorders>
              <w:left w:val="nil"/>
              <w:right w:val="nil"/>
            </w:tcBorders>
            <w:noWrap/>
          </w:tcPr>
          <w:p w:rsidRPr="00A325F7" w:rsidR="00511E87" w:rsidP="00B85722" w:rsidRDefault="00511E87" w14:paraId="2068206F" w14:textId="77777777">
            <w:pPr>
              <w:jc w:val="right"/>
              <w:rPr>
                <w:rFonts w:ascii="Arial" w:hAnsi="Arial" w:eastAsia="Times New Roman" w:cs="Arial"/>
                <w:sz w:val="20"/>
                <w:szCs w:val="20"/>
                <w:lang w:eastAsia="en-GB"/>
              </w:rPr>
            </w:pPr>
          </w:p>
        </w:tc>
      </w:tr>
      <w:tr w:rsidRPr="00A325F7" w:rsidR="00511E87" w:rsidTr="00B85722" w14:paraId="390C73E8" w14:textId="77777777">
        <w:trPr>
          <w:trHeight w:val="300"/>
        </w:trPr>
        <w:tc>
          <w:tcPr>
            <w:tcW w:w="6804" w:type="dxa"/>
            <w:tcBorders>
              <w:left w:val="nil"/>
              <w:right w:val="nil"/>
            </w:tcBorders>
            <w:noWrap/>
          </w:tcPr>
          <w:p w:rsidRPr="00A325F7" w:rsidR="00511E87" w:rsidP="00B85722" w:rsidRDefault="00511E87" w14:paraId="03A9CA6E" w14:textId="77777777">
            <w:pPr>
              <w:ind w:left="454" w:hanging="141"/>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Activa van niveau 2, met inbegrip van verzekeringsdochterondernemingen, bilateraal afgewikkeld</w:t>
            </w:r>
          </w:p>
        </w:tc>
        <w:tc>
          <w:tcPr>
            <w:tcW w:w="2745" w:type="dxa"/>
            <w:tcBorders>
              <w:left w:val="nil"/>
              <w:right w:val="nil"/>
            </w:tcBorders>
            <w:noWrap/>
          </w:tcPr>
          <w:p w:rsidRPr="00A325F7" w:rsidR="00511E87" w:rsidP="00B85722" w:rsidRDefault="00511E87" w14:paraId="23C78A2C" w14:textId="77777777">
            <w:pPr>
              <w:jc w:val="right"/>
              <w:rPr>
                <w:rFonts w:ascii="Arial" w:hAnsi="Arial" w:eastAsia="Times New Roman" w:cs="Arial"/>
                <w:sz w:val="20"/>
                <w:szCs w:val="20"/>
                <w:lang w:eastAsia="en-GB"/>
              </w:rPr>
            </w:pPr>
          </w:p>
        </w:tc>
      </w:tr>
      <w:tr w:rsidRPr="00A325F7" w:rsidR="00511E87" w:rsidTr="00B85722" w14:paraId="04D48059" w14:textId="77777777">
        <w:trPr>
          <w:trHeight w:val="300"/>
        </w:trPr>
        <w:tc>
          <w:tcPr>
            <w:tcW w:w="6804" w:type="dxa"/>
            <w:tcBorders>
              <w:left w:val="nil"/>
              <w:right w:val="nil"/>
            </w:tcBorders>
            <w:noWrap/>
          </w:tcPr>
          <w:p w:rsidRPr="00A325F7" w:rsidR="00511E87" w:rsidP="00B85722" w:rsidRDefault="00511E87" w14:paraId="2DC74E6B" w14:textId="77777777">
            <w:pPr>
              <w:ind w:firstLine="313"/>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Overige activa van niveau 2, met inbegrip van verzekeringsdochterondernemingen</w:t>
            </w:r>
          </w:p>
        </w:tc>
        <w:tc>
          <w:tcPr>
            <w:tcW w:w="2745" w:type="dxa"/>
            <w:tcBorders>
              <w:left w:val="nil"/>
              <w:right w:val="nil"/>
            </w:tcBorders>
            <w:noWrap/>
          </w:tcPr>
          <w:p w:rsidRPr="00A325F7" w:rsidR="00511E87" w:rsidP="00B85722" w:rsidRDefault="00511E87" w14:paraId="52182F1E" w14:textId="77777777">
            <w:pPr>
              <w:jc w:val="right"/>
              <w:rPr>
                <w:rFonts w:ascii="Arial" w:hAnsi="Arial" w:eastAsia="Times New Roman" w:cs="Arial"/>
                <w:sz w:val="20"/>
                <w:szCs w:val="20"/>
                <w:lang w:eastAsia="en-GB"/>
              </w:rPr>
            </w:pPr>
          </w:p>
        </w:tc>
      </w:tr>
      <w:tr w:rsidRPr="00A325F7" w:rsidR="00511E87" w:rsidTr="00B85722" w14:paraId="1640260E" w14:textId="77777777">
        <w:trPr>
          <w:trHeight w:val="300"/>
        </w:trPr>
        <w:tc>
          <w:tcPr>
            <w:tcW w:w="6804" w:type="dxa"/>
            <w:tcBorders>
              <w:left w:val="nil"/>
              <w:bottom w:val="single" w:color="auto" w:sz="4" w:space="0"/>
              <w:right w:val="nil"/>
            </w:tcBorders>
            <w:noWrap/>
          </w:tcPr>
          <w:p w:rsidRPr="00A325F7" w:rsidR="00511E87" w:rsidP="00B85722" w:rsidRDefault="00511E87" w14:paraId="674C7FC4" w14:textId="77777777">
            <w:pPr>
              <w:ind w:firstLine="200" w:firstLineChars="100"/>
              <w:rPr>
                <w:rFonts w:ascii="Arial" w:hAnsi="Arial" w:eastAsia="Times New Roman" w:cs="Arial"/>
                <w:sz w:val="20"/>
                <w:szCs w:val="20"/>
              </w:rPr>
            </w:pPr>
            <w:r w:rsidRPr="00A325F7">
              <w:rPr>
                <w:rFonts w:ascii="Arial" w:hAnsi="Arial"/>
                <w:sz w:val="20"/>
              </w:rPr>
              <w:t>l. Gemiddelde waarde van activa van niveau 2, met inbegrip van verzekeringsdochterondernemingen</w:t>
            </w:r>
          </w:p>
        </w:tc>
        <w:tc>
          <w:tcPr>
            <w:tcW w:w="2745" w:type="dxa"/>
            <w:tcBorders>
              <w:left w:val="nil"/>
              <w:bottom w:val="single" w:color="auto" w:sz="4" w:space="0"/>
              <w:right w:val="nil"/>
            </w:tcBorders>
            <w:noWrap/>
          </w:tcPr>
          <w:p w:rsidRPr="00A325F7" w:rsidR="00511E87" w:rsidP="00B85722" w:rsidRDefault="00511E87" w14:paraId="7CCE6D33" w14:textId="77777777">
            <w:pPr>
              <w:jc w:val="right"/>
              <w:rPr>
                <w:rFonts w:ascii="Arial" w:hAnsi="Arial" w:eastAsia="Times New Roman" w:cs="Arial"/>
                <w:sz w:val="20"/>
                <w:szCs w:val="20"/>
                <w:lang w:eastAsia="en-GB"/>
              </w:rPr>
            </w:pPr>
          </w:p>
        </w:tc>
      </w:tr>
      <w:tr w:rsidRPr="00A325F7" w:rsidR="00511E87" w:rsidTr="00B85722" w14:paraId="76DCF211" w14:textId="77777777">
        <w:trPr>
          <w:trHeight w:val="300"/>
        </w:trPr>
        <w:tc>
          <w:tcPr>
            <w:tcW w:w="6804" w:type="dxa"/>
            <w:tcBorders>
              <w:left w:val="nil"/>
              <w:bottom w:val="nil"/>
              <w:right w:val="nil"/>
            </w:tcBorders>
            <w:noWrap/>
          </w:tcPr>
          <w:p w:rsidRPr="00A325F7" w:rsidR="00511E87" w:rsidP="00B85722" w:rsidRDefault="00511E87" w14:paraId="3600A98C"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A325F7" w:rsidR="00511E87" w:rsidP="00B85722" w:rsidRDefault="00511E87" w14:paraId="52753E1E" w14:textId="77777777">
            <w:pPr>
              <w:jc w:val="center"/>
              <w:rPr>
                <w:rFonts w:ascii="Arial" w:hAnsi="Arial" w:eastAsia="Times New Roman" w:cs="Arial"/>
                <w:b/>
                <w:bCs/>
                <w:sz w:val="20"/>
                <w:szCs w:val="20"/>
                <w:lang w:eastAsia="en-GB"/>
              </w:rPr>
            </w:pPr>
          </w:p>
        </w:tc>
      </w:tr>
      <w:tr w:rsidRPr="00A325F7" w:rsidR="00511E87" w:rsidTr="00B85722" w14:paraId="7B31119A" w14:textId="77777777">
        <w:trPr>
          <w:trHeight w:val="300"/>
        </w:trPr>
        <w:tc>
          <w:tcPr>
            <w:tcW w:w="6804" w:type="dxa"/>
            <w:tcBorders>
              <w:top w:val="nil"/>
              <w:left w:val="nil"/>
              <w:right w:val="nil"/>
            </w:tcBorders>
            <w:noWrap/>
          </w:tcPr>
          <w:p w:rsidRPr="00A325F7" w:rsidR="00511E87" w:rsidP="00B85722" w:rsidRDefault="00511E87" w14:paraId="153F68F8" w14:textId="77777777">
            <w:pPr>
              <w:rPr>
                <w:rFonts w:ascii="Arial" w:hAnsi="Arial" w:eastAsia="Times New Roman" w:cs="Arial"/>
                <w:sz w:val="20"/>
                <w:szCs w:val="20"/>
              </w:rPr>
            </w:pPr>
            <w:r w:rsidRPr="00A325F7">
              <w:rPr>
                <w:rFonts w:ascii="Arial" w:hAnsi="Arial"/>
                <w:b/>
                <w:sz w:val="20"/>
              </w:rPr>
              <w:t>Afdeling 21 – Posten met betrekking tot rechtsgebiedoverschrijdende activiteit</w:t>
            </w:r>
          </w:p>
        </w:tc>
        <w:tc>
          <w:tcPr>
            <w:tcW w:w="2745" w:type="dxa"/>
            <w:tcBorders>
              <w:top w:val="nil"/>
              <w:left w:val="nil"/>
              <w:right w:val="nil"/>
            </w:tcBorders>
            <w:noWrap/>
          </w:tcPr>
          <w:p w:rsidRPr="00A325F7" w:rsidR="00511E87" w:rsidP="00B85722" w:rsidRDefault="00511E87" w14:paraId="3CAAB00F" w14:textId="77777777">
            <w:pPr>
              <w:jc w:val="center"/>
              <w:rPr>
                <w:rFonts w:ascii="Arial" w:hAnsi="Arial" w:eastAsia="Times New Roman" w:cs="Arial"/>
                <w:b/>
                <w:bCs/>
                <w:sz w:val="20"/>
                <w:szCs w:val="20"/>
              </w:rPr>
            </w:pPr>
            <w:r w:rsidRPr="00A325F7">
              <w:rPr>
                <w:rFonts w:ascii="Arial" w:hAnsi="Arial"/>
                <w:b/>
                <w:sz w:val="20"/>
              </w:rPr>
              <w:t>Bedrag</w:t>
            </w:r>
          </w:p>
        </w:tc>
      </w:tr>
      <w:tr w:rsidRPr="00A325F7" w:rsidR="00511E87" w:rsidTr="00B85722" w14:paraId="1B7BE06D" w14:textId="77777777">
        <w:trPr>
          <w:trHeight w:val="300"/>
        </w:trPr>
        <w:tc>
          <w:tcPr>
            <w:tcW w:w="6804" w:type="dxa"/>
            <w:tcBorders>
              <w:left w:val="nil"/>
              <w:right w:val="nil"/>
            </w:tcBorders>
            <w:noWrap/>
          </w:tcPr>
          <w:p w:rsidRPr="00A325F7" w:rsidR="00511E87" w:rsidP="00B85722" w:rsidRDefault="00511E87" w14:paraId="247D3F34" w14:textId="77777777">
            <w:pPr>
              <w:rPr>
                <w:rFonts w:ascii="Arial" w:hAnsi="Arial" w:eastAsia="Times New Roman" w:cs="Arial"/>
                <w:sz w:val="20"/>
                <w:szCs w:val="20"/>
              </w:rPr>
            </w:pPr>
            <w:r w:rsidRPr="00A325F7">
              <w:rPr>
                <w:rFonts w:ascii="Arial" w:hAnsi="Arial"/>
                <w:sz w:val="20"/>
              </w:rPr>
              <w:t>a. Indicator voor rechtsgebiedoverschrijdende passiva (oude indicator)</w:t>
            </w:r>
          </w:p>
        </w:tc>
        <w:tc>
          <w:tcPr>
            <w:tcW w:w="2745" w:type="dxa"/>
            <w:tcBorders>
              <w:left w:val="nil"/>
              <w:right w:val="nil"/>
            </w:tcBorders>
            <w:noWrap/>
          </w:tcPr>
          <w:p w:rsidRPr="00A325F7" w:rsidR="00511E87" w:rsidP="00B85722" w:rsidRDefault="00511E87" w14:paraId="73EE63E9" w14:textId="77777777">
            <w:pPr>
              <w:jc w:val="right"/>
              <w:rPr>
                <w:rFonts w:ascii="Arial" w:hAnsi="Arial" w:eastAsia="Times New Roman" w:cs="Arial"/>
                <w:sz w:val="20"/>
                <w:szCs w:val="20"/>
                <w:lang w:eastAsia="en-GB"/>
              </w:rPr>
            </w:pPr>
          </w:p>
        </w:tc>
      </w:tr>
      <w:tr w:rsidRPr="00A325F7" w:rsidR="00511E87" w:rsidTr="00B85722" w14:paraId="3B3B3923" w14:textId="77777777">
        <w:trPr>
          <w:trHeight w:val="300"/>
        </w:trPr>
        <w:tc>
          <w:tcPr>
            <w:tcW w:w="6804" w:type="dxa"/>
            <w:tcBorders>
              <w:left w:val="nil"/>
              <w:right w:val="nil"/>
            </w:tcBorders>
            <w:noWrap/>
          </w:tcPr>
          <w:p w:rsidRPr="00A325F7" w:rsidR="00511E87" w:rsidP="00B85722" w:rsidRDefault="00511E87" w14:paraId="7A5D75F5" w14:textId="77777777">
            <w:pPr>
              <w:ind w:left="313"/>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Buitenlandse passiva (exclusief derivaten en lokale passiva in lokale valuta)</w:t>
            </w:r>
          </w:p>
        </w:tc>
        <w:tc>
          <w:tcPr>
            <w:tcW w:w="2745" w:type="dxa"/>
            <w:tcBorders>
              <w:left w:val="nil"/>
              <w:right w:val="nil"/>
            </w:tcBorders>
            <w:noWrap/>
          </w:tcPr>
          <w:p w:rsidRPr="00A325F7" w:rsidR="00511E87" w:rsidP="00B85722" w:rsidRDefault="00511E87" w14:paraId="6E833954" w14:textId="77777777">
            <w:pPr>
              <w:jc w:val="right"/>
              <w:rPr>
                <w:rFonts w:ascii="Arial" w:hAnsi="Arial" w:eastAsia="Times New Roman" w:cs="Arial"/>
                <w:sz w:val="20"/>
                <w:szCs w:val="20"/>
                <w:lang w:eastAsia="en-GB"/>
              </w:rPr>
            </w:pPr>
          </w:p>
        </w:tc>
      </w:tr>
      <w:tr w:rsidRPr="00A325F7" w:rsidR="00511E87" w:rsidTr="00B85722" w14:paraId="167E2DCD" w14:textId="77777777">
        <w:trPr>
          <w:trHeight w:val="300"/>
        </w:trPr>
        <w:tc>
          <w:tcPr>
            <w:tcW w:w="6804" w:type="dxa"/>
            <w:tcBorders>
              <w:left w:val="nil"/>
              <w:right w:val="nil"/>
            </w:tcBorders>
            <w:noWrap/>
          </w:tcPr>
          <w:p w:rsidRPr="00A325F7" w:rsidR="00511E87" w:rsidP="00B85722" w:rsidRDefault="00511E87" w14:paraId="6A0BC3A9" w14:textId="77777777">
            <w:pPr>
              <w:ind w:left="-2" w:leftChars="-1" w:firstLine="312" w:firstLineChars="156"/>
              <w:rPr>
                <w:rFonts w:ascii="Arial" w:hAnsi="Arial" w:eastAsia="Times New Roman" w:cs="Arial"/>
                <w:sz w:val="20"/>
                <w:szCs w:val="20"/>
              </w:rPr>
            </w:pPr>
            <w:r w:rsidRPr="00A325F7">
              <w:rPr>
                <w:rFonts w:ascii="Arial" w:hAnsi="Arial"/>
                <w:sz w:val="20"/>
                <w:lang w:eastAsia="en-GB"/>
              </w:rPr>
              <w:t xml:space="preserve">(2) </w:t>
            </w:r>
            <w:r w:rsidRPr="00A325F7">
              <w:rPr>
                <w:rFonts w:ascii="Arial" w:hAnsi="Arial"/>
                <w:sz w:val="20"/>
              </w:rPr>
              <w:t>Alle buitenlandse passiva aan verbonden kantoren als opgenomen in post 21.a.1)</w:t>
            </w:r>
          </w:p>
        </w:tc>
        <w:tc>
          <w:tcPr>
            <w:tcW w:w="2745" w:type="dxa"/>
            <w:tcBorders>
              <w:left w:val="nil"/>
              <w:right w:val="nil"/>
            </w:tcBorders>
            <w:noWrap/>
          </w:tcPr>
          <w:p w:rsidRPr="00A325F7" w:rsidR="00511E87" w:rsidP="00B85722" w:rsidRDefault="00511E87" w14:paraId="605E2354" w14:textId="77777777">
            <w:pPr>
              <w:jc w:val="right"/>
              <w:rPr>
                <w:rFonts w:ascii="Arial" w:hAnsi="Arial" w:eastAsia="Times New Roman" w:cs="Arial"/>
                <w:sz w:val="20"/>
                <w:szCs w:val="20"/>
                <w:lang w:eastAsia="en-GB"/>
              </w:rPr>
            </w:pPr>
          </w:p>
        </w:tc>
      </w:tr>
      <w:tr w:rsidRPr="00A325F7" w:rsidR="00511E87" w:rsidTr="00B85722" w14:paraId="250709D2" w14:textId="77777777">
        <w:trPr>
          <w:trHeight w:val="300"/>
        </w:trPr>
        <w:tc>
          <w:tcPr>
            <w:tcW w:w="6804" w:type="dxa"/>
            <w:tcBorders>
              <w:left w:val="nil"/>
              <w:right w:val="nil"/>
            </w:tcBorders>
            <w:noWrap/>
          </w:tcPr>
          <w:p w:rsidRPr="00A325F7" w:rsidR="00511E87" w:rsidP="00B85722" w:rsidRDefault="00511E87" w14:paraId="01AFD49D" w14:textId="77777777">
            <w:pPr>
              <w:ind w:left="-2" w:leftChars="-1" w:firstLine="312" w:firstLineChars="156"/>
              <w:rPr>
                <w:rFonts w:ascii="Arial" w:hAnsi="Arial" w:eastAsia="Times New Roman" w:cs="Arial"/>
                <w:sz w:val="20"/>
                <w:szCs w:val="20"/>
              </w:rPr>
            </w:pPr>
            <w:r w:rsidRPr="00A325F7">
              <w:rPr>
                <w:rFonts w:ascii="Arial" w:hAnsi="Arial"/>
                <w:sz w:val="20"/>
                <w:lang w:eastAsia="en-GB"/>
              </w:rPr>
              <w:t xml:space="preserve">(3) </w:t>
            </w:r>
            <w:r w:rsidRPr="00A325F7">
              <w:rPr>
                <w:rFonts w:ascii="Arial" w:hAnsi="Arial"/>
                <w:sz w:val="20"/>
              </w:rPr>
              <w:t>Lokale passiva in lokale valuta (exclusief derivatenactiviteit)</w:t>
            </w:r>
          </w:p>
        </w:tc>
        <w:tc>
          <w:tcPr>
            <w:tcW w:w="2745" w:type="dxa"/>
            <w:tcBorders>
              <w:left w:val="nil"/>
              <w:right w:val="nil"/>
            </w:tcBorders>
            <w:noWrap/>
          </w:tcPr>
          <w:p w:rsidRPr="00A325F7" w:rsidR="00511E87" w:rsidP="00B85722" w:rsidRDefault="00511E87" w14:paraId="517C34EB" w14:textId="77777777">
            <w:pPr>
              <w:jc w:val="right"/>
              <w:rPr>
                <w:rFonts w:ascii="Arial" w:hAnsi="Arial" w:eastAsia="Times New Roman" w:cs="Arial"/>
                <w:sz w:val="20"/>
                <w:szCs w:val="20"/>
                <w:lang w:eastAsia="en-GB"/>
              </w:rPr>
            </w:pPr>
          </w:p>
        </w:tc>
      </w:tr>
      <w:tr w:rsidRPr="00A325F7" w:rsidR="00511E87" w:rsidTr="00B85722" w14:paraId="6BCF59D9" w14:textId="77777777">
        <w:trPr>
          <w:trHeight w:val="300"/>
        </w:trPr>
        <w:tc>
          <w:tcPr>
            <w:tcW w:w="6804" w:type="dxa"/>
            <w:tcBorders>
              <w:left w:val="nil"/>
              <w:right w:val="nil"/>
            </w:tcBorders>
            <w:noWrap/>
          </w:tcPr>
          <w:p w:rsidRPr="00A325F7" w:rsidR="00511E87" w:rsidP="00B85722" w:rsidRDefault="00511E87" w14:paraId="1A107DBB" w14:textId="77777777">
            <w:pPr>
              <w:ind w:firstLine="200" w:firstLineChars="100"/>
              <w:rPr>
                <w:rFonts w:ascii="Arial" w:hAnsi="Arial" w:eastAsia="Times New Roman" w:cs="Arial"/>
                <w:sz w:val="20"/>
                <w:szCs w:val="20"/>
              </w:rPr>
            </w:pPr>
            <w:r w:rsidRPr="00A325F7">
              <w:rPr>
                <w:rFonts w:ascii="Arial" w:hAnsi="Arial"/>
                <w:sz w:val="20"/>
              </w:rPr>
              <w:t>b. Lokale passiva in lokale valuta (inclusief derivatenactiviteit)</w:t>
            </w:r>
          </w:p>
        </w:tc>
        <w:tc>
          <w:tcPr>
            <w:tcW w:w="2745" w:type="dxa"/>
            <w:tcBorders>
              <w:left w:val="nil"/>
              <w:right w:val="nil"/>
            </w:tcBorders>
            <w:noWrap/>
          </w:tcPr>
          <w:p w:rsidRPr="00A325F7" w:rsidR="00511E87" w:rsidP="00B85722" w:rsidRDefault="00511E87" w14:paraId="05B42A81" w14:textId="77777777">
            <w:pPr>
              <w:jc w:val="right"/>
              <w:rPr>
                <w:rFonts w:ascii="Arial" w:hAnsi="Arial" w:eastAsia="Times New Roman" w:cs="Arial"/>
                <w:sz w:val="20"/>
                <w:szCs w:val="20"/>
                <w:lang w:eastAsia="en-GB"/>
              </w:rPr>
            </w:pPr>
          </w:p>
        </w:tc>
      </w:tr>
      <w:tr w:rsidRPr="00A325F7" w:rsidR="00511E87" w:rsidTr="00B85722" w14:paraId="67BA6124" w14:textId="77777777">
        <w:trPr>
          <w:trHeight w:val="300"/>
        </w:trPr>
        <w:tc>
          <w:tcPr>
            <w:tcW w:w="6804" w:type="dxa"/>
            <w:tcBorders>
              <w:left w:val="nil"/>
              <w:right w:val="nil"/>
            </w:tcBorders>
            <w:noWrap/>
          </w:tcPr>
          <w:p w:rsidRPr="00A325F7" w:rsidR="00511E87" w:rsidP="00B85722" w:rsidRDefault="00511E87" w14:paraId="0CB6C283" w14:textId="77777777">
            <w:pPr>
              <w:ind w:left="171" w:firstLine="28" w:firstLineChars="14"/>
              <w:rPr>
                <w:rFonts w:ascii="Arial" w:hAnsi="Arial" w:eastAsia="Times New Roman" w:cs="Arial"/>
                <w:sz w:val="20"/>
                <w:szCs w:val="20"/>
              </w:rPr>
            </w:pPr>
            <w:r w:rsidRPr="00A325F7">
              <w:rPr>
                <w:rFonts w:ascii="Arial" w:hAnsi="Arial"/>
                <w:sz w:val="20"/>
              </w:rPr>
              <w:t>c. Rechtsgebiedoverschrijdende lokale vorderingen in lokale valuta (exclusief derivatenactiviteit)</w:t>
            </w:r>
          </w:p>
        </w:tc>
        <w:tc>
          <w:tcPr>
            <w:tcW w:w="2745" w:type="dxa"/>
            <w:tcBorders>
              <w:left w:val="nil"/>
              <w:right w:val="nil"/>
            </w:tcBorders>
            <w:noWrap/>
          </w:tcPr>
          <w:p w:rsidRPr="00A325F7" w:rsidR="00511E87" w:rsidP="00B85722" w:rsidRDefault="00511E87" w14:paraId="5A50C5A0" w14:textId="77777777">
            <w:pPr>
              <w:jc w:val="right"/>
              <w:rPr>
                <w:rFonts w:ascii="Arial" w:hAnsi="Arial" w:eastAsia="Times New Roman" w:cs="Arial"/>
                <w:sz w:val="20"/>
                <w:szCs w:val="20"/>
                <w:lang w:eastAsia="en-GB"/>
              </w:rPr>
            </w:pPr>
          </w:p>
        </w:tc>
      </w:tr>
      <w:tr w:rsidRPr="00A325F7" w:rsidR="00511E87" w:rsidTr="00B85722" w14:paraId="1F13323C" w14:textId="77777777">
        <w:trPr>
          <w:trHeight w:val="300"/>
        </w:trPr>
        <w:tc>
          <w:tcPr>
            <w:tcW w:w="6804" w:type="dxa"/>
            <w:tcBorders>
              <w:left w:val="nil"/>
              <w:right w:val="nil"/>
            </w:tcBorders>
            <w:noWrap/>
          </w:tcPr>
          <w:p w:rsidRPr="00A325F7" w:rsidR="00511E87" w:rsidP="00B85722" w:rsidRDefault="00511E87" w14:paraId="742D8FFF" w14:textId="77777777">
            <w:pPr>
              <w:ind w:left="171" w:firstLine="28" w:firstLineChars="14"/>
              <w:rPr>
                <w:rFonts w:ascii="Arial" w:hAnsi="Arial" w:eastAsia="Times New Roman" w:cs="Arial"/>
                <w:sz w:val="20"/>
                <w:szCs w:val="20"/>
              </w:rPr>
            </w:pPr>
            <w:r w:rsidRPr="00A325F7">
              <w:rPr>
                <w:rFonts w:ascii="Arial" w:hAnsi="Arial"/>
                <w:sz w:val="20"/>
              </w:rPr>
              <w:t>d. Rechtsgebiedoverschrijdende lokale vorderingen in lokale valuta (inclusief derivatenactiviteit)</w:t>
            </w:r>
          </w:p>
        </w:tc>
        <w:tc>
          <w:tcPr>
            <w:tcW w:w="2745" w:type="dxa"/>
            <w:tcBorders>
              <w:left w:val="nil"/>
              <w:right w:val="nil"/>
            </w:tcBorders>
            <w:noWrap/>
          </w:tcPr>
          <w:p w:rsidRPr="00A325F7" w:rsidR="00511E87" w:rsidP="00B85722" w:rsidRDefault="00511E87" w14:paraId="12FA1563" w14:textId="77777777">
            <w:pPr>
              <w:jc w:val="right"/>
              <w:rPr>
                <w:rFonts w:ascii="Arial" w:hAnsi="Arial" w:eastAsia="Times New Roman" w:cs="Arial"/>
                <w:sz w:val="20"/>
                <w:szCs w:val="20"/>
                <w:lang w:eastAsia="en-GB"/>
              </w:rPr>
            </w:pPr>
          </w:p>
        </w:tc>
      </w:tr>
      <w:tr w:rsidRPr="00A325F7" w:rsidR="00511E87" w:rsidTr="00B85722" w14:paraId="08D8ECE6" w14:textId="77777777">
        <w:trPr>
          <w:trHeight w:val="300"/>
        </w:trPr>
        <w:tc>
          <w:tcPr>
            <w:tcW w:w="6804" w:type="dxa"/>
            <w:tcBorders>
              <w:left w:val="nil"/>
              <w:right w:val="nil"/>
            </w:tcBorders>
            <w:noWrap/>
          </w:tcPr>
          <w:p w:rsidRPr="00A325F7" w:rsidR="00511E87" w:rsidP="00B85722" w:rsidRDefault="00511E87" w14:paraId="3E7AF546" w14:textId="77777777">
            <w:pPr>
              <w:ind w:left="171" w:firstLine="28" w:firstLineChars="14"/>
              <w:rPr>
                <w:rFonts w:ascii="Arial" w:hAnsi="Arial" w:eastAsia="Times New Roman" w:cs="Arial"/>
                <w:sz w:val="20"/>
                <w:szCs w:val="20"/>
              </w:rPr>
            </w:pPr>
            <w:r w:rsidRPr="00A325F7">
              <w:rPr>
                <w:rFonts w:ascii="Arial" w:hAnsi="Arial"/>
                <w:sz w:val="20"/>
              </w:rPr>
              <w:t>e. Totaal buitenlandse vorderingen op basis van uiteindelijk risico (waarbij het GAM als één enkel rechtsgebied wordt beschouwd)</w:t>
            </w:r>
          </w:p>
        </w:tc>
        <w:tc>
          <w:tcPr>
            <w:tcW w:w="2745" w:type="dxa"/>
            <w:tcBorders>
              <w:left w:val="nil"/>
              <w:right w:val="nil"/>
            </w:tcBorders>
            <w:noWrap/>
          </w:tcPr>
          <w:p w:rsidRPr="00A325F7" w:rsidR="00511E87" w:rsidP="00B85722" w:rsidRDefault="00511E87" w14:paraId="0E20513B" w14:textId="77777777">
            <w:pPr>
              <w:jc w:val="right"/>
              <w:rPr>
                <w:rFonts w:ascii="Arial" w:hAnsi="Arial" w:eastAsia="Times New Roman" w:cs="Arial"/>
                <w:sz w:val="20"/>
                <w:szCs w:val="20"/>
                <w:lang w:eastAsia="en-GB"/>
              </w:rPr>
            </w:pPr>
          </w:p>
        </w:tc>
      </w:tr>
      <w:tr w:rsidRPr="00A325F7" w:rsidR="00511E87" w:rsidTr="00B85722" w14:paraId="60510D58" w14:textId="77777777">
        <w:trPr>
          <w:trHeight w:val="300"/>
        </w:trPr>
        <w:tc>
          <w:tcPr>
            <w:tcW w:w="6804" w:type="dxa"/>
            <w:tcBorders>
              <w:left w:val="nil"/>
              <w:right w:val="nil"/>
            </w:tcBorders>
            <w:noWrap/>
          </w:tcPr>
          <w:p w:rsidRPr="00A325F7" w:rsidR="00511E87" w:rsidP="00B85722" w:rsidRDefault="00511E87" w14:paraId="0504EA55" w14:textId="77777777">
            <w:pPr>
              <w:ind w:left="171" w:firstLine="28" w:firstLineChars="14"/>
              <w:rPr>
                <w:rFonts w:ascii="Arial" w:hAnsi="Arial" w:eastAsia="Times New Roman" w:cs="Arial"/>
                <w:sz w:val="20"/>
                <w:szCs w:val="20"/>
              </w:rPr>
            </w:pPr>
            <w:r w:rsidRPr="00A325F7">
              <w:rPr>
                <w:rFonts w:ascii="Arial" w:hAnsi="Arial"/>
                <w:sz w:val="20"/>
              </w:rPr>
              <w:t>f. Buitenlandse derivatenvorderingen op basis van uiteindelijk risico (waarbij het GAM als één enkel rechtsgebied wordt beschouwd)</w:t>
            </w:r>
          </w:p>
        </w:tc>
        <w:tc>
          <w:tcPr>
            <w:tcW w:w="2745" w:type="dxa"/>
            <w:tcBorders>
              <w:left w:val="nil"/>
              <w:right w:val="nil"/>
            </w:tcBorders>
            <w:noWrap/>
          </w:tcPr>
          <w:p w:rsidRPr="00A325F7" w:rsidR="00511E87" w:rsidP="00B85722" w:rsidRDefault="00511E87" w14:paraId="289E69E4" w14:textId="77777777">
            <w:pPr>
              <w:jc w:val="right"/>
              <w:rPr>
                <w:rFonts w:ascii="Arial" w:hAnsi="Arial" w:eastAsia="Times New Roman" w:cs="Arial"/>
                <w:sz w:val="20"/>
                <w:szCs w:val="20"/>
                <w:lang w:eastAsia="en-GB"/>
              </w:rPr>
            </w:pPr>
          </w:p>
        </w:tc>
      </w:tr>
      <w:tr w:rsidRPr="00A325F7" w:rsidR="00511E87" w:rsidTr="00B85722" w14:paraId="1D93374C" w14:textId="77777777">
        <w:trPr>
          <w:trHeight w:val="300"/>
        </w:trPr>
        <w:tc>
          <w:tcPr>
            <w:tcW w:w="6804" w:type="dxa"/>
            <w:tcBorders>
              <w:left w:val="nil"/>
              <w:right w:val="nil"/>
            </w:tcBorders>
            <w:noWrap/>
          </w:tcPr>
          <w:p w:rsidRPr="00A325F7" w:rsidR="00511E87" w:rsidP="00B85722" w:rsidRDefault="00511E87" w14:paraId="2079C7AE" w14:textId="77777777">
            <w:pPr>
              <w:ind w:left="171" w:firstLine="28" w:firstLineChars="14"/>
              <w:rPr>
                <w:rFonts w:ascii="Arial" w:hAnsi="Arial" w:eastAsia="Times New Roman" w:cs="Arial"/>
                <w:sz w:val="20"/>
                <w:szCs w:val="20"/>
              </w:rPr>
            </w:pPr>
            <w:r w:rsidRPr="00A325F7">
              <w:rPr>
                <w:rFonts w:ascii="Arial" w:hAnsi="Arial"/>
                <w:sz w:val="20"/>
              </w:rPr>
              <w:t>g. Buitenlandse passiva op basis van onmiddellijk risico, met inbegrip van derivaten (waarbij het GAM als één enkel rechtsgebied wordt beschouwd)</w:t>
            </w:r>
          </w:p>
        </w:tc>
        <w:tc>
          <w:tcPr>
            <w:tcW w:w="2745" w:type="dxa"/>
            <w:tcBorders>
              <w:left w:val="nil"/>
              <w:right w:val="nil"/>
            </w:tcBorders>
            <w:noWrap/>
          </w:tcPr>
          <w:p w:rsidRPr="00A325F7" w:rsidR="00511E87" w:rsidP="00B85722" w:rsidRDefault="00511E87" w14:paraId="7AEE2876" w14:textId="77777777">
            <w:pPr>
              <w:jc w:val="right"/>
              <w:rPr>
                <w:rFonts w:ascii="Arial" w:hAnsi="Arial" w:eastAsia="Times New Roman" w:cs="Arial"/>
                <w:sz w:val="20"/>
                <w:szCs w:val="20"/>
                <w:lang w:eastAsia="en-GB"/>
              </w:rPr>
            </w:pPr>
          </w:p>
        </w:tc>
      </w:tr>
      <w:tr w:rsidRPr="00A325F7" w:rsidR="00511E87" w:rsidTr="00B85722" w14:paraId="0F5B2358" w14:textId="77777777">
        <w:trPr>
          <w:trHeight w:val="300"/>
        </w:trPr>
        <w:tc>
          <w:tcPr>
            <w:tcW w:w="6804" w:type="dxa"/>
            <w:tcBorders>
              <w:left w:val="nil"/>
              <w:right w:val="nil"/>
            </w:tcBorders>
            <w:noWrap/>
          </w:tcPr>
          <w:p w:rsidRPr="00A325F7" w:rsidR="00511E87" w:rsidP="00B85722" w:rsidRDefault="00511E87" w14:paraId="33BD1EF9" w14:textId="77777777">
            <w:pPr>
              <w:ind w:left="171" w:firstLine="28" w:firstLineChars="14"/>
              <w:rPr>
                <w:rFonts w:ascii="Arial" w:hAnsi="Arial" w:eastAsia="Times New Roman" w:cs="Arial"/>
                <w:sz w:val="20"/>
                <w:szCs w:val="20"/>
              </w:rPr>
            </w:pPr>
            <w:r w:rsidRPr="00A325F7">
              <w:rPr>
                <w:rFonts w:ascii="Arial" w:hAnsi="Arial"/>
                <w:sz w:val="20"/>
                <w:lang w:eastAsia="en-GB"/>
              </w:rPr>
              <w:t xml:space="preserve">(1) </w:t>
            </w:r>
            <w:r w:rsidRPr="00A325F7">
              <w:rPr>
                <w:rFonts w:ascii="Arial" w:hAnsi="Arial"/>
                <w:sz w:val="20"/>
              </w:rPr>
              <w:t>Buitenlandse passiva van derivaten op basis van onmiddellijk risico (waarbij het GAM als één enkel rechtsgebied wordt beschouwd)</w:t>
            </w:r>
          </w:p>
        </w:tc>
        <w:tc>
          <w:tcPr>
            <w:tcW w:w="2745" w:type="dxa"/>
            <w:tcBorders>
              <w:left w:val="nil"/>
              <w:right w:val="nil"/>
            </w:tcBorders>
            <w:noWrap/>
          </w:tcPr>
          <w:p w:rsidRPr="00A325F7" w:rsidR="00511E87" w:rsidP="00B85722" w:rsidRDefault="00511E87" w14:paraId="795A116B" w14:textId="77777777">
            <w:pPr>
              <w:jc w:val="right"/>
              <w:rPr>
                <w:rFonts w:ascii="Arial" w:hAnsi="Arial" w:eastAsia="Times New Roman" w:cs="Arial"/>
                <w:sz w:val="20"/>
                <w:szCs w:val="20"/>
                <w:lang w:eastAsia="en-GB"/>
              </w:rPr>
            </w:pPr>
          </w:p>
        </w:tc>
      </w:tr>
      <w:tr w:rsidRPr="00A325F7" w:rsidR="00511E87" w:rsidTr="00B85722" w14:paraId="109D392C" w14:textId="77777777">
        <w:trPr>
          <w:trHeight w:val="300"/>
        </w:trPr>
        <w:tc>
          <w:tcPr>
            <w:tcW w:w="6804" w:type="dxa"/>
            <w:tcBorders>
              <w:left w:val="nil"/>
              <w:right w:val="nil"/>
            </w:tcBorders>
            <w:noWrap/>
          </w:tcPr>
          <w:p w:rsidRPr="00A325F7" w:rsidR="00511E87" w:rsidP="00B85722" w:rsidRDefault="00511E87" w14:paraId="3667A8FB" w14:textId="77777777">
            <w:pPr>
              <w:ind w:firstLine="200" w:firstLineChars="100"/>
              <w:rPr>
                <w:rFonts w:ascii="Arial" w:hAnsi="Arial" w:eastAsia="Times New Roman" w:cs="Arial"/>
                <w:sz w:val="20"/>
                <w:szCs w:val="20"/>
              </w:rPr>
            </w:pPr>
            <w:r w:rsidRPr="00A325F7">
              <w:rPr>
                <w:rFonts w:ascii="Arial" w:hAnsi="Arial"/>
                <w:sz w:val="20"/>
              </w:rPr>
              <w:t>h. Rechtsgebiedoverschrijdende lokale vorderingen in lokale valuta, exclusief derivatenactiviteit (waarbij het GAM als één enkel rechtsgebied wordt beschouwd)</w:t>
            </w:r>
          </w:p>
        </w:tc>
        <w:tc>
          <w:tcPr>
            <w:tcW w:w="2745" w:type="dxa"/>
            <w:tcBorders>
              <w:left w:val="nil"/>
              <w:right w:val="nil"/>
            </w:tcBorders>
            <w:noWrap/>
          </w:tcPr>
          <w:p w:rsidRPr="00A325F7" w:rsidR="00511E87" w:rsidP="00B85722" w:rsidRDefault="00511E87" w14:paraId="41CA7FFF" w14:textId="77777777">
            <w:pPr>
              <w:jc w:val="right"/>
              <w:rPr>
                <w:rFonts w:ascii="Arial" w:hAnsi="Arial" w:eastAsia="Times New Roman" w:cs="Arial"/>
                <w:sz w:val="20"/>
                <w:szCs w:val="20"/>
                <w:lang w:eastAsia="en-GB"/>
              </w:rPr>
            </w:pPr>
          </w:p>
        </w:tc>
      </w:tr>
      <w:tr w:rsidRPr="00A325F7" w:rsidR="00511E87" w:rsidTr="00B85722" w14:paraId="19AC5C79" w14:textId="77777777">
        <w:trPr>
          <w:trHeight w:val="300"/>
        </w:trPr>
        <w:tc>
          <w:tcPr>
            <w:tcW w:w="6804" w:type="dxa"/>
            <w:tcBorders>
              <w:left w:val="nil"/>
              <w:right w:val="nil"/>
            </w:tcBorders>
            <w:noWrap/>
          </w:tcPr>
          <w:p w:rsidRPr="00A325F7" w:rsidR="00511E87" w:rsidP="00B85722" w:rsidRDefault="00511E87" w14:paraId="7AA71729" w14:textId="77777777">
            <w:pPr>
              <w:ind w:left="171" w:firstLine="28" w:firstLineChars="14"/>
              <w:rPr>
                <w:rFonts w:ascii="Arial" w:hAnsi="Arial" w:eastAsia="Times New Roman" w:cs="Arial"/>
                <w:sz w:val="20"/>
                <w:szCs w:val="20"/>
              </w:rPr>
            </w:pPr>
            <w:r w:rsidRPr="00A325F7">
              <w:rPr>
                <w:rFonts w:ascii="Arial" w:hAnsi="Arial"/>
                <w:sz w:val="20"/>
              </w:rPr>
              <w:t>i. Rechtsgebiedoverschrijdende lokale vorderingen in lokale valuta, inclusief derivatenactiviteit (waarbij het GAM als één enkel rechtsgebied wordt beschouwd)</w:t>
            </w:r>
          </w:p>
        </w:tc>
        <w:tc>
          <w:tcPr>
            <w:tcW w:w="2745" w:type="dxa"/>
            <w:tcBorders>
              <w:left w:val="nil"/>
              <w:right w:val="nil"/>
            </w:tcBorders>
            <w:noWrap/>
          </w:tcPr>
          <w:p w:rsidRPr="00A325F7" w:rsidR="00511E87" w:rsidP="00B85722" w:rsidRDefault="00511E87" w14:paraId="7730795A" w14:textId="77777777">
            <w:pPr>
              <w:jc w:val="right"/>
              <w:rPr>
                <w:rFonts w:ascii="Arial" w:hAnsi="Arial" w:eastAsia="Times New Roman" w:cs="Arial"/>
                <w:sz w:val="20"/>
                <w:szCs w:val="20"/>
                <w:lang w:eastAsia="en-GB"/>
              </w:rPr>
            </w:pPr>
          </w:p>
        </w:tc>
      </w:tr>
      <w:tr w:rsidRPr="00A325F7" w:rsidR="00511E87" w:rsidTr="00B85722" w14:paraId="771DF4FD" w14:textId="77777777">
        <w:trPr>
          <w:trHeight w:val="300"/>
        </w:trPr>
        <w:tc>
          <w:tcPr>
            <w:tcW w:w="6804" w:type="dxa"/>
            <w:tcBorders>
              <w:left w:val="nil"/>
              <w:right w:val="nil"/>
            </w:tcBorders>
            <w:noWrap/>
          </w:tcPr>
          <w:p w:rsidRPr="00A325F7" w:rsidR="00511E87" w:rsidP="00B85722" w:rsidRDefault="00511E87" w14:paraId="04643B4B" w14:textId="77777777">
            <w:pPr>
              <w:ind w:left="171" w:firstLine="28" w:firstLineChars="14"/>
              <w:rPr>
                <w:rFonts w:ascii="Arial" w:hAnsi="Arial" w:eastAsia="Times New Roman" w:cs="Arial"/>
                <w:sz w:val="20"/>
                <w:szCs w:val="20"/>
              </w:rPr>
            </w:pPr>
            <w:r w:rsidRPr="00A325F7">
              <w:rPr>
                <w:rFonts w:ascii="Arial" w:hAnsi="Arial"/>
                <w:sz w:val="20"/>
              </w:rPr>
              <w:t>j. Buitenlandse passiva, exclusief derivaten en lokale passiva in lokale valuta (waarbij het GAM als één enkel rechtsgebied wordt beschouwd)</w:t>
            </w:r>
          </w:p>
        </w:tc>
        <w:tc>
          <w:tcPr>
            <w:tcW w:w="2745" w:type="dxa"/>
            <w:tcBorders>
              <w:left w:val="nil"/>
              <w:right w:val="nil"/>
            </w:tcBorders>
            <w:noWrap/>
          </w:tcPr>
          <w:p w:rsidRPr="00A325F7" w:rsidR="00511E87" w:rsidP="00B85722" w:rsidRDefault="00511E87" w14:paraId="14435B9B" w14:textId="77777777">
            <w:pPr>
              <w:jc w:val="right"/>
              <w:rPr>
                <w:rFonts w:ascii="Arial" w:hAnsi="Arial" w:eastAsia="Times New Roman" w:cs="Arial"/>
                <w:sz w:val="20"/>
                <w:szCs w:val="20"/>
                <w:lang w:eastAsia="en-GB"/>
              </w:rPr>
            </w:pPr>
          </w:p>
        </w:tc>
      </w:tr>
      <w:tr w:rsidRPr="00A325F7" w:rsidR="00511E87" w:rsidTr="00B85722" w14:paraId="05F05E2F" w14:textId="77777777">
        <w:trPr>
          <w:trHeight w:val="300"/>
        </w:trPr>
        <w:tc>
          <w:tcPr>
            <w:tcW w:w="6804" w:type="dxa"/>
            <w:tcBorders>
              <w:left w:val="nil"/>
              <w:right w:val="nil"/>
            </w:tcBorders>
            <w:noWrap/>
          </w:tcPr>
          <w:p w:rsidRPr="00A325F7" w:rsidR="00511E87" w:rsidP="00B85722" w:rsidRDefault="00511E87" w14:paraId="534C8A24" w14:textId="77777777">
            <w:pPr>
              <w:ind w:left="171" w:firstLine="28" w:firstLineChars="14"/>
              <w:rPr>
                <w:rFonts w:ascii="Arial" w:hAnsi="Arial" w:eastAsia="Times New Roman" w:cs="Arial"/>
                <w:sz w:val="20"/>
                <w:szCs w:val="20"/>
              </w:rPr>
            </w:pPr>
            <w:r w:rsidRPr="00A325F7">
              <w:rPr>
                <w:rFonts w:ascii="Arial" w:hAnsi="Arial"/>
                <w:sz w:val="20"/>
                <w:lang w:eastAsia="en-GB"/>
              </w:rPr>
              <w:lastRenderedPageBreak/>
              <w:t xml:space="preserve">(1) </w:t>
            </w:r>
            <w:r w:rsidRPr="00A325F7">
              <w:rPr>
                <w:rFonts w:ascii="Arial" w:hAnsi="Arial"/>
                <w:sz w:val="20"/>
              </w:rPr>
              <w:t>Alle buitenlandse passiva aan verbonden kantoren als opgenomen in post 20.j (waarbij het GAM als één enkel rechtsgebied wordt beschouwd)</w:t>
            </w:r>
          </w:p>
        </w:tc>
        <w:tc>
          <w:tcPr>
            <w:tcW w:w="2745" w:type="dxa"/>
            <w:tcBorders>
              <w:left w:val="nil"/>
              <w:right w:val="nil"/>
            </w:tcBorders>
            <w:noWrap/>
          </w:tcPr>
          <w:p w:rsidRPr="00A325F7" w:rsidR="00511E87" w:rsidP="00B85722" w:rsidRDefault="00511E87" w14:paraId="3A5C6736" w14:textId="77777777">
            <w:pPr>
              <w:jc w:val="right"/>
              <w:rPr>
                <w:rFonts w:ascii="Arial" w:hAnsi="Arial" w:eastAsia="Times New Roman" w:cs="Arial"/>
                <w:sz w:val="20"/>
                <w:szCs w:val="20"/>
                <w:lang w:eastAsia="en-GB"/>
              </w:rPr>
            </w:pPr>
          </w:p>
        </w:tc>
      </w:tr>
      <w:tr w:rsidRPr="00A325F7" w:rsidR="00511E87" w:rsidTr="00B85722" w14:paraId="3864A68D" w14:textId="77777777">
        <w:trPr>
          <w:trHeight w:val="300"/>
        </w:trPr>
        <w:tc>
          <w:tcPr>
            <w:tcW w:w="6804" w:type="dxa"/>
            <w:tcBorders>
              <w:left w:val="nil"/>
              <w:right w:val="nil"/>
            </w:tcBorders>
            <w:noWrap/>
          </w:tcPr>
          <w:p w:rsidRPr="00A325F7" w:rsidR="00511E87" w:rsidP="00B85722" w:rsidRDefault="00511E87" w14:paraId="7159E333" w14:textId="77777777">
            <w:pPr>
              <w:ind w:left="171" w:firstLine="28" w:firstLineChars="14"/>
              <w:rPr>
                <w:rFonts w:ascii="Arial" w:hAnsi="Arial" w:eastAsia="Times New Roman" w:cs="Arial"/>
                <w:sz w:val="20"/>
                <w:szCs w:val="20"/>
              </w:rPr>
            </w:pPr>
            <w:r w:rsidRPr="00A325F7">
              <w:rPr>
                <w:rFonts w:ascii="Arial" w:hAnsi="Arial"/>
                <w:sz w:val="20"/>
              </w:rPr>
              <w:t>k. Lokale passiva in lokale valuta, exclusief derivaten (waarbij het GAM als één enkel rechtsgebied wordt beschouwd)</w:t>
            </w:r>
          </w:p>
        </w:tc>
        <w:tc>
          <w:tcPr>
            <w:tcW w:w="2745" w:type="dxa"/>
            <w:tcBorders>
              <w:left w:val="nil"/>
              <w:right w:val="nil"/>
            </w:tcBorders>
            <w:noWrap/>
          </w:tcPr>
          <w:p w:rsidRPr="00A325F7" w:rsidR="00511E87" w:rsidP="00B85722" w:rsidRDefault="00511E87" w14:paraId="206E093A" w14:textId="77777777">
            <w:pPr>
              <w:jc w:val="right"/>
              <w:rPr>
                <w:rFonts w:ascii="Arial" w:hAnsi="Arial" w:eastAsia="Times New Roman" w:cs="Arial"/>
                <w:sz w:val="20"/>
                <w:szCs w:val="20"/>
                <w:lang w:eastAsia="en-GB"/>
              </w:rPr>
            </w:pPr>
          </w:p>
        </w:tc>
      </w:tr>
      <w:tr w:rsidRPr="00A325F7" w:rsidR="00511E87" w:rsidTr="00B85722" w14:paraId="5F116339" w14:textId="77777777">
        <w:trPr>
          <w:trHeight w:val="300"/>
        </w:trPr>
        <w:tc>
          <w:tcPr>
            <w:tcW w:w="6804" w:type="dxa"/>
            <w:tcBorders>
              <w:left w:val="nil"/>
              <w:right w:val="nil"/>
            </w:tcBorders>
            <w:noWrap/>
          </w:tcPr>
          <w:p w:rsidRPr="00A325F7" w:rsidR="00511E87" w:rsidP="00B85722" w:rsidRDefault="00511E87" w14:paraId="085636B5" w14:textId="77777777">
            <w:pPr>
              <w:ind w:left="171" w:firstLine="28" w:firstLineChars="14"/>
              <w:rPr>
                <w:rFonts w:ascii="Arial" w:hAnsi="Arial" w:eastAsia="Times New Roman" w:cs="Arial"/>
                <w:sz w:val="20"/>
                <w:szCs w:val="20"/>
              </w:rPr>
            </w:pPr>
            <w:r w:rsidRPr="00A325F7">
              <w:rPr>
                <w:rFonts w:ascii="Arial" w:hAnsi="Arial"/>
                <w:sz w:val="20"/>
              </w:rPr>
              <w:t>l. Lokale passiva in lokale valuta, inclusief derivaten (waarbij het GAM als één enkel rechtsgebied wordt beschouwd)</w:t>
            </w:r>
          </w:p>
        </w:tc>
        <w:tc>
          <w:tcPr>
            <w:tcW w:w="2745" w:type="dxa"/>
            <w:tcBorders>
              <w:left w:val="nil"/>
              <w:right w:val="nil"/>
            </w:tcBorders>
            <w:noWrap/>
          </w:tcPr>
          <w:p w:rsidRPr="00A325F7" w:rsidR="00511E87" w:rsidP="00B85722" w:rsidRDefault="00511E87" w14:paraId="6E7D7C2B" w14:textId="77777777">
            <w:pPr>
              <w:jc w:val="right"/>
              <w:rPr>
                <w:rFonts w:ascii="Arial" w:hAnsi="Arial" w:eastAsia="Times New Roman" w:cs="Arial"/>
                <w:sz w:val="20"/>
                <w:szCs w:val="20"/>
                <w:lang w:eastAsia="en-GB"/>
              </w:rPr>
            </w:pPr>
          </w:p>
        </w:tc>
      </w:tr>
      <w:tr w:rsidRPr="00A325F7" w:rsidR="00511E87" w:rsidTr="00B85722" w14:paraId="61E750BD" w14:textId="77777777">
        <w:trPr>
          <w:trHeight w:val="300"/>
        </w:trPr>
        <w:tc>
          <w:tcPr>
            <w:tcW w:w="6804" w:type="dxa"/>
            <w:tcBorders>
              <w:left w:val="nil"/>
              <w:right w:val="nil"/>
            </w:tcBorders>
            <w:noWrap/>
          </w:tcPr>
          <w:p w:rsidRPr="00A325F7" w:rsidR="00511E87" w:rsidP="00B85722" w:rsidRDefault="00511E87" w14:paraId="3918673C" w14:textId="77777777">
            <w:pPr>
              <w:ind w:left="171" w:firstLine="28" w:firstLineChars="14"/>
              <w:rPr>
                <w:rFonts w:ascii="Arial" w:hAnsi="Arial" w:eastAsia="Times New Roman" w:cs="Arial"/>
                <w:sz w:val="20"/>
                <w:szCs w:val="20"/>
              </w:rPr>
            </w:pPr>
            <w:r w:rsidRPr="00A325F7">
              <w:rPr>
                <w:rFonts w:ascii="Arial" w:hAnsi="Arial"/>
                <w:sz w:val="20"/>
              </w:rPr>
              <w:t>m. Totaal netto lokale posities in lokale valuta inclusief derivaten, indien netto positief</w:t>
            </w:r>
          </w:p>
        </w:tc>
        <w:tc>
          <w:tcPr>
            <w:tcW w:w="2745" w:type="dxa"/>
            <w:tcBorders>
              <w:left w:val="nil"/>
              <w:right w:val="nil"/>
            </w:tcBorders>
            <w:noWrap/>
          </w:tcPr>
          <w:p w:rsidRPr="00A325F7" w:rsidR="00511E87" w:rsidP="00B85722" w:rsidRDefault="00511E87" w14:paraId="783D475A" w14:textId="77777777">
            <w:pPr>
              <w:jc w:val="right"/>
              <w:rPr>
                <w:rFonts w:ascii="Arial" w:hAnsi="Arial" w:eastAsia="Times New Roman" w:cs="Arial"/>
                <w:sz w:val="20"/>
                <w:szCs w:val="20"/>
                <w:lang w:eastAsia="en-GB"/>
              </w:rPr>
            </w:pPr>
          </w:p>
        </w:tc>
      </w:tr>
      <w:tr w:rsidRPr="00A325F7" w:rsidR="00511E87" w:rsidTr="00B85722" w14:paraId="6DE2B4E9" w14:textId="77777777">
        <w:trPr>
          <w:trHeight w:val="300"/>
        </w:trPr>
        <w:tc>
          <w:tcPr>
            <w:tcW w:w="6804" w:type="dxa"/>
            <w:tcBorders>
              <w:left w:val="nil"/>
              <w:right w:val="nil"/>
            </w:tcBorders>
            <w:noWrap/>
          </w:tcPr>
          <w:p w:rsidRPr="00A325F7" w:rsidR="00511E87" w:rsidP="00B85722" w:rsidRDefault="00511E87" w14:paraId="0211450C" w14:textId="77777777">
            <w:pPr>
              <w:ind w:left="171" w:firstLine="28" w:firstLineChars="14"/>
              <w:rPr>
                <w:rFonts w:ascii="Arial" w:hAnsi="Arial" w:eastAsia="Times New Roman" w:cs="Arial"/>
                <w:sz w:val="20"/>
                <w:szCs w:val="20"/>
              </w:rPr>
            </w:pPr>
            <w:r w:rsidRPr="00A325F7">
              <w:rPr>
                <w:rFonts w:ascii="Arial" w:hAnsi="Arial"/>
                <w:sz w:val="20"/>
              </w:rPr>
              <w:t>n. Totaal netto lokale posities in lokale valuta inclusief derivaten, indien netto negatief</w:t>
            </w:r>
          </w:p>
        </w:tc>
        <w:tc>
          <w:tcPr>
            <w:tcW w:w="2745" w:type="dxa"/>
            <w:tcBorders>
              <w:left w:val="nil"/>
              <w:right w:val="nil"/>
            </w:tcBorders>
            <w:noWrap/>
          </w:tcPr>
          <w:p w:rsidRPr="00A325F7" w:rsidR="00511E87" w:rsidP="00B85722" w:rsidRDefault="00511E87" w14:paraId="6B927D6D" w14:textId="77777777">
            <w:pPr>
              <w:jc w:val="right"/>
              <w:rPr>
                <w:rFonts w:ascii="Arial" w:hAnsi="Arial" w:eastAsia="Times New Roman" w:cs="Arial"/>
                <w:sz w:val="20"/>
                <w:szCs w:val="20"/>
                <w:lang w:eastAsia="en-GB"/>
              </w:rPr>
            </w:pPr>
          </w:p>
        </w:tc>
      </w:tr>
      <w:tr w:rsidRPr="00A325F7" w:rsidR="00511E87" w:rsidTr="00B85722" w14:paraId="0ABC9F26" w14:textId="77777777">
        <w:trPr>
          <w:trHeight w:val="300"/>
        </w:trPr>
        <w:tc>
          <w:tcPr>
            <w:tcW w:w="6804" w:type="dxa"/>
            <w:tcBorders>
              <w:left w:val="nil"/>
              <w:right w:val="nil"/>
            </w:tcBorders>
            <w:noWrap/>
          </w:tcPr>
          <w:p w:rsidRPr="00A325F7" w:rsidR="00511E87" w:rsidP="00B85722" w:rsidRDefault="00511E87" w14:paraId="2D433838" w14:textId="77777777">
            <w:pPr>
              <w:ind w:left="171" w:firstLine="28" w:firstLineChars="14"/>
              <w:rPr>
                <w:rFonts w:ascii="Arial" w:hAnsi="Arial" w:eastAsia="Times New Roman" w:cs="Arial"/>
                <w:sz w:val="20"/>
                <w:szCs w:val="20"/>
              </w:rPr>
            </w:pPr>
            <w:r w:rsidRPr="00A325F7">
              <w:rPr>
                <w:rFonts w:ascii="Arial" w:hAnsi="Arial"/>
                <w:sz w:val="20"/>
              </w:rPr>
              <w:t>o. Totaal netto lokale posities in lokale valuta in landen buiten het GAM, inclusief derivaten, indien netto positief (waarbij het GAM als één enkel rechtsgebied wordt beschouwd)</w:t>
            </w:r>
          </w:p>
        </w:tc>
        <w:tc>
          <w:tcPr>
            <w:tcW w:w="2745" w:type="dxa"/>
            <w:tcBorders>
              <w:left w:val="nil"/>
              <w:right w:val="nil"/>
            </w:tcBorders>
            <w:noWrap/>
          </w:tcPr>
          <w:p w:rsidRPr="00A325F7" w:rsidR="00511E87" w:rsidP="00B85722" w:rsidRDefault="00511E87" w14:paraId="06D093A4" w14:textId="77777777">
            <w:pPr>
              <w:jc w:val="right"/>
              <w:rPr>
                <w:rFonts w:ascii="Arial" w:hAnsi="Arial" w:eastAsia="Times New Roman" w:cs="Arial"/>
                <w:sz w:val="20"/>
                <w:szCs w:val="20"/>
                <w:lang w:eastAsia="en-GB"/>
              </w:rPr>
            </w:pPr>
          </w:p>
        </w:tc>
      </w:tr>
      <w:tr w:rsidRPr="00A325F7" w:rsidR="00511E87" w:rsidTr="00B85722" w14:paraId="010F3987" w14:textId="77777777">
        <w:trPr>
          <w:trHeight w:val="300"/>
        </w:trPr>
        <w:tc>
          <w:tcPr>
            <w:tcW w:w="6804" w:type="dxa"/>
            <w:tcBorders>
              <w:left w:val="nil"/>
              <w:right w:val="nil"/>
            </w:tcBorders>
            <w:noWrap/>
          </w:tcPr>
          <w:p w:rsidRPr="00A325F7" w:rsidR="00511E87" w:rsidP="00B85722" w:rsidRDefault="00511E87" w14:paraId="01321A7F" w14:textId="77777777">
            <w:pPr>
              <w:ind w:left="171" w:firstLine="28" w:firstLineChars="14"/>
              <w:rPr>
                <w:rFonts w:ascii="Arial" w:hAnsi="Arial" w:eastAsia="Times New Roman" w:cs="Arial"/>
                <w:sz w:val="20"/>
                <w:szCs w:val="20"/>
              </w:rPr>
            </w:pPr>
            <w:r w:rsidRPr="00A325F7">
              <w:rPr>
                <w:rFonts w:ascii="Arial" w:hAnsi="Arial"/>
                <w:sz w:val="20"/>
              </w:rPr>
              <w:t>p. Totaal netto lokale posities in lokale valuta in landen buiten het GAM, inclusief derivaten, indien netto negatief (waarbij het GAM als één enkel rechtsgebied wordt beschouwd)</w:t>
            </w:r>
          </w:p>
        </w:tc>
        <w:tc>
          <w:tcPr>
            <w:tcW w:w="2745" w:type="dxa"/>
            <w:tcBorders>
              <w:left w:val="nil"/>
              <w:right w:val="nil"/>
            </w:tcBorders>
            <w:noWrap/>
          </w:tcPr>
          <w:p w:rsidRPr="00A325F7" w:rsidR="00511E87" w:rsidP="00B85722" w:rsidRDefault="00511E87" w14:paraId="7A2F3B9F" w14:textId="77777777">
            <w:pPr>
              <w:jc w:val="right"/>
              <w:rPr>
                <w:rFonts w:ascii="Arial" w:hAnsi="Arial" w:eastAsia="Times New Roman" w:cs="Arial"/>
                <w:sz w:val="20"/>
                <w:szCs w:val="20"/>
                <w:lang w:eastAsia="en-GB"/>
              </w:rPr>
            </w:pPr>
          </w:p>
        </w:tc>
      </w:tr>
      <w:tr w:rsidRPr="00A325F7" w:rsidR="00511E87" w:rsidTr="00B85722" w14:paraId="32723165" w14:textId="77777777">
        <w:trPr>
          <w:trHeight w:val="300"/>
        </w:trPr>
        <w:tc>
          <w:tcPr>
            <w:tcW w:w="6804" w:type="dxa"/>
            <w:tcBorders>
              <w:left w:val="nil"/>
              <w:right w:val="nil"/>
            </w:tcBorders>
            <w:noWrap/>
          </w:tcPr>
          <w:p w:rsidRPr="00A325F7" w:rsidR="00511E87" w:rsidP="00B85722" w:rsidRDefault="00511E87" w14:paraId="401EAB50" w14:textId="77777777">
            <w:pPr>
              <w:ind w:left="171" w:firstLine="28" w:firstLineChars="14"/>
              <w:rPr>
                <w:rFonts w:ascii="Arial" w:hAnsi="Arial" w:eastAsia="Times New Roman" w:cs="Arial"/>
                <w:sz w:val="20"/>
                <w:szCs w:val="20"/>
              </w:rPr>
            </w:pPr>
            <w:r w:rsidRPr="00A325F7">
              <w:rPr>
                <w:rFonts w:ascii="Arial" w:hAnsi="Arial"/>
                <w:sz w:val="20"/>
              </w:rPr>
              <w:t>q. Totaal netto lokale posities in lokale valuta in GAM-landen, inclusief derivaten (waarbij het GAM als één enkel rechtsgebied wordt beschouwd)</w:t>
            </w:r>
          </w:p>
        </w:tc>
        <w:tc>
          <w:tcPr>
            <w:tcW w:w="2745" w:type="dxa"/>
            <w:tcBorders>
              <w:left w:val="nil"/>
              <w:right w:val="nil"/>
            </w:tcBorders>
            <w:noWrap/>
          </w:tcPr>
          <w:p w:rsidRPr="00A325F7" w:rsidR="00511E87" w:rsidP="00B85722" w:rsidRDefault="00511E87" w14:paraId="739EE989" w14:textId="77777777">
            <w:pPr>
              <w:jc w:val="right"/>
              <w:rPr>
                <w:rFonts w:ascii="Arial" w:hAnsi="Arial" w:eastAsia="Times New Roman" w:cs="Arial"/>
                <w:sz w:val="20"/>
                <w:szCs w:val="20"/>
                <w:lang w:eastAsia="en-GB"/>
              </w:rPr>
            </w:pPr>
          </w:p>
        </w:tc>
      </w:tr>
      <w:tr w:rsidRPr="00A325F7" w:rsidR="00511E87" w:rsidTr="00B85722" w14:paraId="61E8F435" w14:textId="77777777">
        <w:trPr>
          <w:trHeight w:val="300"/>
        </w:trPr>
        <w:tc>
          <w:tcPr>
            <w:tcW w:w="6804" w:type="dxa"/>
            <w:tcBorders>
              <w:left w:val="nil"/>
              <w:right w:val="nil"/>
            </w:tcBorders>
            <w:noWrap/>
          </w:tcPr>
          <w:p w:rsidRPr="00A325F7" w:rsidR="00511E87" w:rsidP="00B85722" w:rsidRDefault="00511E87" w14:paraId="61DDB6A6" w14:textId="77777777">
            <w:pPr>
              <w:ind w:firstLine="200" w:firstLineChars="100"/>
              <w:rPr>
                <w:rFonts w:ascii="Arial" w:hAnsi="Arial" w:eastAsia="Times New Roman" w:cs="Arial"/>
                <w:sz w:val="20"/>
                <w:szCs w:val="20"/>
              </w:rPr>
            </w:pPr>
            <w:r w:rsidRPr="00A325F7">
              <w:rPr>
                <w:rFonts w:ascii="Arial" w:hAnsi="Arial"/>
                <w:sz w:val="20"/>
              </w:rPr>
              <w:t xml:space="preserve">r. Vorderingen binnen een kantoor geboekt door buitenlandse dochterondernemingen </w:t>
            </w:r>
          </w:p>
        </w:tc>
        <w:tc>
          <w:tcPr>
            <w:tcW w:w="2745" w:type="dxa"/>
            <w:tcBorders>
              <w:left w:val="nil"/>
              <w:right w:val="nil"/>
            </w:tcBorders>
            <w:noWrap/>
          </w:tcPr>
          <w:p w:rsidRPr="00A325F7" w:rsidR="00511E87" w:rsidP="00B85722" w:rsidRDefault="00511E87" w14:paraId="11B4D8AC" w14:textId="77777777">
            <w:pPr>
              <w:jc w:val="right"/>
              <w:rPr>
                <w:rFonts w:ascii="Arial" w:hAnsi="Arial" w:eastAsia="Times New Roman" w:cs="Arial"/>
                <w:sz w:val="20"/>
                <w:szCs w:val="20"/>
                <w:lang w:eastAsia="en-GB"/>
              </w:rPr>
            </w:pPr>
          </w:p>
        </w:tc>
      </w:tr>
      <w:tr w:rsidRPr="00A325F7" w:rsidR="00511E87" w:rsidTr="00B85722" w14:paraId="15758B7E" w14:textId="77777777">
        <w:trPr>
          <w:trHeight w:val="300"/>
        </w:trPr>
        <w:tc>
          <w:tcPr>
            <w:tcW w:w="6804" w:type="dxa"/>
            <w:tcBorders>
              <w:left w:val="nil"/>
              <w:right w:val="nil"/>
            </w:tcBorders>
            <w:noWrap/>
          </w:tcPr>
          <w:p w:rsidRPr="00A325F7" w:rsidR="00511E87" w:rsidP="00B85722" w:rsidRDefault="00511E87" w14:paraId="40ED7829" w14:textId="77777777">
            <w:pPr>
              <w:ind w:firstLine="200" w:firstLineChars="100"/>
              <w:rPr>
                <w:rFonts w:ascii="Arial" w:hAnsi="Arial" w:eastAsia="Times New Roman" w:cs="Arial"/>
                <w:sz w:val="20"/>
                <w:szCs w:val="20"/>
              </w:rPr>
            </w:pPr>
            <w:r w:rsidRPr="00A325F7">
              <w:rPr>
                <w:rFonts w:ascii="Arial" w:hAnsi="Arial"/>
                <w:sz w:val="20"/>
              </w:rPr>
              <w:t xml:space="preserve">s. Vorderingen binnen een kantoor geboekt door buitenlandse filialen </w:t>
            </w:r>
          </w:p>
        </w:tc>
        <w:tc>
          <w:tcPr>
            <w:tcW w:w="2745" w:type="dxa"/>
            <w:tcBorders>
              <w:left w:val="nil"/>
              <w:right w:val="nil"/>
            </w:tcBorders>
            <w:noWrap/>
          </w:tcPr>
          <w:p w:rsidRPr="00A325F7" w:rsidR="00511E87" w:rsidP="00B85722" w:rsidRDefault="00511E87" w14:paraId="71278DBD" w14:textId="77777777">
            <w:pPr>
              <w:jc w:val="right"/>
              <w:rPr>
                <w:rFonts w:ascii="Arial" w:hAnsi="Arial" w:eastAsia="Times New Roman" w:cs="Arial"/>
                <w:sz w:val="20"/>
                <w:szCs w:val="20"/>
                <w:lang w:eastAsia="en-GB"/>
              </w:rPr>
            </w:pPr>
          </w:p>
        </w:tc>
      </w:tr>
      <w:tr w:rsidRPr="00A325F7" w:rsidR="00511E87" w:rsidTr="00B85722" w14:paraId="05F3E1B0" w14:textId="77777777">
        <w:trPr>
          <w:trHeight w:val="300"/>
        </w:trPr>
        <w:tc>
          <w:tcPr>
            <w:tcW w:w="6804" w:type="dxa"/>
            <w:tcBorders>
              <w:left w:val="nil"/>
              <w:right w:val="nil"/>
            </w:tcBorders>
            <w:noWrap/>
          </w:tcPr>
          <w:p w:rsidRPr="00A325F7" w:rsidR="00511E87" w:rsidP="00B85722" w:rsidRDefault="00511E87" w14:paraId="59750FC1" w14:textId="77777777">
            <w:pPr>
              <w:ind w:firstLine="200" w:firstLineChars="100"/>
              <w:rPr>
                <w:rFonts w:ascii="Arial" w:hAnsi="Arial" w:eastAsia="Times New Roman" w:cs="Arial"/>
                <w:sz w:val="20"/>
                <w:szCs w:val="20"/>
              </w:rPr>
            </w:pPr>
            <w:r w:rsidRPr="00A325F7">
              <w:rPr>
                <w:rFonts w:ascii="Arial" w:hAnsi="Arial"/>
                <w:sz w:val="20"/>
              </w:rPr>
              <w:t>t. Passiva binnen een kantoor geboekt door buitenlandse dochterondernemingen</w:t>
            </w:r>
          </w:p>
        </w:tc>
        <w:tc>
          <w:tcPr>
            <w:tcW w:w="2745" w:type="dxa"/>
            <w:tcBorders>
              <w:left w:val="nil"/>
              <w:right w:val="nil"/>
            </w:tcBorders>
            <w:noWrap/>
          </w:tcPr>
          <w:p w:rsidRPr="00A325F7" w:rsidR="00511E87" w:rsidP="00B85722" w:rsidRDefault="00511E87" w14:paraId="7AEA34AE" w14:textId="77777777">
            <w:pPr>
              <w:jc w:val="right"/>
              <w:rPr>
                <w:rFonts w:ascii="Arial" w:hAnsi="Arial" w:eastAsia="Times New Roman" w:cs="Arial"/>
                <w:sz w:val="20"/>
                <w:szCs w:val="20"/>
                <w:lang w:eastAsia="en-GB"/>
              </w:rPr>
            </w:pPr>
          </w:p>
        </w:tc>
      </w:tr>
      <w:tr w:rsidRPr="00A325F7" w:rsidR="00511E87" w:rsidTr="00B85722" w14:paraId="236D6FC3" w14:textId="77777777">
        <w:trPr>
          <w:trHeight w:val="300"/>
        </w:trPr>
        <w:tc>
          <w:tcPr>
            <w:tcW w:w="6804" w:type="dxa"/>
            <w:tcBorders>
              <w:left w:val="nil"/>
              <w:right w:val="nil"/>
            </w:tcBorders>
            <w:noWrap/>
          </w:tcPr>
          <w:p w:rsidRPr="00A325F7" w:rsidR="00511E87" w:rsidP="00B85722" w:rsidRDefault="00511E87" w14:paraId="7825D4C2" w14:textId="77777777">
            <w:pPr>
              <w:ind w:firstLine="200" w:firstLineChars="100"/>
              <w:rPr>
                <w:rFonts w:ascii="Arial" w:hAnsi="Arial" w:eastAsia="Times New Roman" w:cs="Arial"/>
                <w:sz w:val="20"/>
                <w:szCs w:val="20"/>
              </w:rPr>
            </w:pPr>
            <w:r w:rsidRPr="00A325F7">
              <w:rPr>
                <w:rFonts w:ascii="Arial" w:hAnsi="Arial"/>
                <w:sz w:val="20"/>
              </w:rPr>
              <w:t xml:space="preserve">u. Passiva binnen een kantoor geboekt door buitenlandse filialen </w:t>
            </w:r>
          </w:p>
        </w:tc>
        <w:tc>
          <w:tcPr>
            <w:tcW w:w="2745" w:type="dxa"/>
            <w:tcBorders>
              <w:left w:val="nil"/>
              <w:right w:val="nil"/>
            </w:tcBorders>
            <w:noWrap/>
          </w:tcPr>
          <w:p w:rsidRPr="00A325F7" w:rsidR="00511E87" w:rsidP="00B85722" w:rsidRDefault="00511E87" w14:paraId="5E5FFCAD" w14:textId="77777777">
            <w:pPr>
              <w:jc w:val="right"/>
              <w:rPr>
                <w:rFonts w:ascii="Arial" w:hAnsi="Arial" w:eastAsia="Times New Roman" w:cs="Arial"/>
                <w:sz w:val="20"/>
                <w:szCs w:val="20"/>
                <w:lang w:eastAsia="en-GB"/>
              </w:rPr>
            </w:pPr>
          </w:p>
        </w:tc>
      </w:tr>
      <w:tr w:rsidRPr="00A325F7" w:rsidR="00511E87" w:rsidTr="00B85722" w14:paraId="56A2E7B6" w14:textId="77777777">
        <w:trPr>
          <w:trHeight w:val="300"/>
        </w:trPr>
        <w:tc>
          <w:tcPr>
            <w:tcW w:w="6804" w:type="dxa"/>
            <w:tcBorders>
              <w:left w:val="nil"/>
              <w:right w:val="nil"/>
            </w:tcBorders>
            <w:noWrap/>
          </w:tcPr>
          <w:p w:rsidRPr="00A325F7" w:rsidR="00511E87" w:rsidP="00B85722" w:rsidRDefault="00511E87" w14:paraId="3865496F" w14:textId="77777777">
            <w:pPr>
              <w:ind w:firstLine="200" w:firstLineChars="100"/>
              <w:rPr>
                <w:rFonts w:ascii="Arial" w:hAnsi="Arial" w:eastAsia="Times New Roman" w:cs="Arial"/>
                <w:sz w:val="20"/>
                <w:szCs w:val="20"/>
              </w:rPr>
            </w:pPr>
            <w:r w:rsidRPr="00A325F7">
              <w:rPr>
                <w:rFonts w:ascii="Arial" w:hAnsi="Arial"/>
                <w:sz w:val="20"/>
              </w:rPr>
              <w:t xml:space="preserve">v. Gemiddelde kwartaalwaarde van rechtsgebiedoverschrijdende vorderingen </w:t>
            </w:r>
          </w:p>
        </w:tc>
        <w:tc>
          <w:tcPr>
            <w:tcW w:w="2745" w:type="dxa"/>
            <w:tcBorders>
              <w:left w:val="nil"/>
              <w:right w:val="nil"/>
            </w:tcBorders>
            <w:noWrap/>
          </w:tcPr>
          <w:p w:rsidRPr="00A325F7" w:rsidR="00511E87" w:rsidP="00B85722" w:rsidRDefault="00511E87" w14:paraId="20BEE6A4" w14:textId="77777777">
            <w:pPr>
              <w:jc w:val="right"/>
              <w:rPr>
                <w:rFonts w:ascii="Arial" w:hAnsi="Arial" w:eastAsia="Times New Roman" w:cs="Arial"/>
                <w:sz w:val="20"/>
                <w:szCs w:val="20"/>
                <w:lang w:eastAsia="en-GB"/>
              </w:rPr>
            </w:pPr>
          </w:p>
        </w:tc>
      </w:tr>
      <w:tr w:rsidRPr="00A325F7" w:rsidR="00511E87" w:rsidTr="00B85722" w14:paraId="3592575D" w14:textId="77777777">
        <w:trPr>
          <w:trHeight w:val="300"/>
        </w:trPr>
        <w:tc>
          <w:tcPr>
            <w:tcW w:w="6804" w:type="dxa"/>
            <w:tcBorders>
              <w:left w:val="nil"/>
              <w:right w:val="nil"/>
            </w:tcBorders>
            <w:noWrap/>
          </w:tcPr>
          <w:p w:rsidRPr="00A325F7" w:rsidR="00511E87" w:rsidP="00B85722" w:rsidRDefault="00511E87" w14:paraId="42A00B8E" w14:textId="77777777">
            <w:pPr>
              <w:ind w:firstLine="200" w:firstLineChars="100"/>
              <w:rPr>
                <w:rFonts w:ascii="Arial" w:hAnsi="Arial" w:eastAsia="Times New Roman" w:cs="Arial"/>
                <w:sz w:val="20"/>
                <w:szCs w:val="20"/>
              </w:rPr>
            </w:pPr>
            <w:r w:rsidRPr="00A325F7">
              <w:rPr>
                <w:rFonts w:ascii="Arial" w:hAnsi="Arial"/>
                <w:sz w:val="20"/>
              </w:rPr>
              <w:t xml:space="preserve">w. Gemiddelde maandwaarde van rechtsgebiedoverschrijdende vorderingen </w:t>
            </w:r>
          </w:p>
        </w:tc>
        <w:tc>
          <w:tcPr>
            <w:tcW w:w="2745" w:type="dxa"/>
            <w:tcBorders>
              <w:left w:val="nil"/>
              <w:right w:val="nil"/>
            </w:tcBorders>
            <w:noWrap/>
          </w:tcPr>
          <w:p w:rsidRPr="00A325F7" w:rsidR="00511E87" w:rsidP="00B85722" w:rsidRDefault="00511E87" w14:paraId="10E829A5" w14:textId="77777777">
            <w:pPr>
              <w:jc w:val="right"/>
              <w:rPr>
                <w:rFonts w:ascii="Arial" w:hAnsi="Arial" w:eastAsia="Times New Roman" w:cs="Arial"/>
                <w:sz w:val="20"/>
                <w:szCs w:val="20"/>
                <w:lang w:eastAsia="en-GB"/>
              </w:rPr>
            </w:pPr>
          </w:p>
        </w:tc>
      </w:tr>
      <w:tr w:rsidRPr="00A325F7" w:rsidR="00511E87" w:rsidTr="00B85722" w14:paraId="7E4A1D12" w14:textId="77777777">
        <w:trPr>
          <w:trHeight w:val="300"/>
        </w:trPr>
        <w:tc>
          <w:tcPr>
            <w:tcW w:w="6804" w:type="dxa"/>
            <w:tcBorders>
              <w:left w:val="nil"/>
              <w:right w:val="nil"/>
            </w:tcBorders>
            <w:noWrap/>
          </w:tcPr>
          <w:p w:rsidRPr="00A325F7" w:rsidR="00511E87" w:rsidP="00B85722" w:rsidRDefault="00511E87" w14:paraId="4A2E5C02" w14:textId="77777777">
            <w:pPr>
              <w:ind w:firstLine="200" w:firstLineChars="100"/>
              <w:rPr>
                <w:rFonts w:ascii="Arial" w:hAnsi="Arial" w:eastAsia="Times New Roman" w:cs="Arial"/>
                <w:sz w:val="20"/>
                <w:szCs w:val="20"/>
              </w:rPr>
            </w:pPr>
            <w:r w:rsidRPr="00A325F7">
              <w:rPr>
                <w:rFonts w:ascii="Arial" w:hAnsi="Arial"/>
                <w:sz w:val="20"/>
              </w:rPr>
              <w:t xml:space="preserve">x. Gemiddelde kwartaalwaarde van rechtsgebiedoverschrijdende passiva </w:t>
            </w:r>
          </w:p>
        </w:tc>
        <w:tc>
          <w:tcPr>
            <w:tcW w:w="2745" w:type="dxa"/>
            <w:tcBorders>
              <w:left w:val="nil"/>
              <w:right w:val="nil"/>
            </w:tcBorders>
            <w:noWrap/>
          </w:tcPr>
          <w:p w:rsidRPr="00A325F7" w:rsidR="00511E87" w:rsidP="00B85722" w:rsidRDefault="00511E87" w14:paraId="6F8C8EAB" w14:textId="77777777">
            <w:pPr>
              <w:jc w:val="right"/>
              <w:rPr>
                <w:rFonts w:ascii="Arial" w:hAnsi="Arial" w:eastAsia="Times New Roman" w:cs="Arial"/>
                <w:sz w:val="20"/>
                <w:szCs w:val="20"/>
                <w:lang w:eastAsia="en-GB"/>
              </w:rPr>
            </w:pPr>
          </w:p>
        </w:tc>
      </w:tr>
      <w:tr w:rsidRPr="00A325F7" w:rsidR="00511E87" w:rsidTr="00B85722" w14:paraId="7794429D" w14:textId="77777777">
        <w:trPr>
          <w:trHeight w:val="300"/>
        </w:trPr>
        <w:tc>
          <w:tcPr>
            <w:tcW w:w="6804" w:type="dxa"/>
            <w:tcBorders>
              <w:left w:val="nil"/>
              <w:bottom w:val="single" w:color="auto" w:sz="4" w:space="0"/>
              <w:right w:val="nil"/>
            </w:tcBorders>
            <w:noWrap/>
          </w:tcPr>
          <w:p w:rsidRPr="00A325F7" w:rsidR="00511E87" w:rsidP="00B85722" w:rsidRDefault="00511E87" w14:paraId="7C4A2B8E" w14:textId="77777777">
            <w:pPr>
              <w:ind w:firstLine="200" w:firstLineChars="100"/>
              <w:rPr>
                <w:rFonts w:ascii="Arial" w:hAnsi="Arial" w:eastAsia="Times New Roman" w:cs="Arial"/>
                <w:sz w:val="20"/>
                <w:szCs w:val="20"/>
              </w:rPr>
            </w:pPr>
            <w:r w:rsidRPr="00A325F7">
              <w:rPr>
                <w:rFonts w:ascii="Arial" w:hAnsi="Arial"/>
                <w:sz w:val="20"/>
              </w:rPr>
              <w:t xml:space="preserve">y. Gemiddelde maandwaarde van rechtsgebiedoverschrijdende passiva </w:t>
            </w:r>
          </w:p>
        </w:tc>
        <w:tc>
          <w:tcPr>
            <w:tcW w:w="2745" w:type="dxa"/>
            <w:tcBorders>
              <w:left w:val="nil"/>
              <w:bottom w:val="single" w:color="auto" w:sz="4" w:space="0"/>
              <w:right w:val="nil"/>
            </w:tcBorders>
            <w:noWrap/>
          </w:tcPr>
          <w:p w:rsidRPr="00A325F7" w:rsidR="00511E87" w:rsidP="00B85722" w:rsidRDefault="00511E87" w14:paraId="4475D5B4" w14:textId="77777777">
            <w:pPr>
              <w:jc w:val="right"/>
              <w:rPr>
                <w:rFonts w:ascii="Arial" w:hAnsi="Arial" w:eastAsia="Times New Roman" w:cs="Arial"/>
                <w:sz w:val="20"/>
                <w:szCs w:val="20"/>
                <w:lang w:eastAsia="en-GB"/>
              </w:rPr>
            </w:pPr>
          </w:p>
        </w:tc>
      </w:tr>
      <w:tr w:rsidRPr="00A325F7" w:rsidR="00511E87" w:rsidTr="00B85722" w14:paraId="3EC33F6D" w14:textId="77777777">
        <w:trPr>
          <w:trHeight w:val="300"/>
        </w:trPr>
        <w:tc>
          <w:tcPr>
            <w:tcW w:w="6804" w:type="dxa"/>
            <w:tcBorders>
              <w:left w:val="nil"/>
              <w:bottom w:val="nil"/>
              <w:right w:val="nil"/>
            </w:tcBorders>
            <w:noWrap/>
          </w:tcPr>
          <w:p w:rsidRPr="00A325F7" w:rsidR="00511E87" w:rsidP="00B85722" w:rsidRDefault="00511E87" w14:paraId="0DCC7447"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A325F7" w:rsidR="00511E87" w:rsidP="00B85722" w:rsidRDefault="00511E87" w14:paraId="7795895A" w14:textId="77777777">
            <w:pPr>
              <w:jc w:val="right"/>
              <w:rPr>
                <w:rFonts w:ascii="Arial" w:hAnsi="Arial" w:eastAsia="Times New Roman" w:cs="Arial"/>
                <w:sz w:val="20"/>
                <w:szCs w:val="20"/>
                <w:lang w:eastAsia="en-GB"/>
              </w:rPr>
            </w:pPr>
          </w:p>
        </w:tc>
      </w:tr>
      <w:tr w:rsidRPr="00A325F7" w:rsidR="00511E87" w:rsidTr="00B85722" w14:paraId="23C1B22F" w14:textId="77777777">
        <w:trPr>
          <w:trHeight w:val="300"/>
        </w:trPr>
        <w:tc>
          <w:tcPr>
            <w:tcW w:w="6804" w:type="dxa"/>
            <w:tcBorders>
              <w:top w:val="nil"/>
              <w:left w:val="nil"/>
              <w:right w:val="nil"/>
            </w:tcBorders>
            <w:noWrap/>
          </w:tcPr>
          <w:p w:rsidRPr="00A325F7" w:rsidR="00511E87" w:rsidP="00B85722" w:rsidRDefault="00511E87" w14:paraId="63650AA4" w14:textId="77777777">
            <w:pPr>
              <w:rPr>
                <w:rFonts w:ascii="Arial" w:hAnsi="Arial" w:eastAsia="Times New Roman" w:cs="Arial"/>
                <w:sz w:val="20"/>
                <w:szCs w:val="20"/>
              </w:rPr>
            </w:pPr>
            <w:r w:rsidRPr="00A325F7">
              <w:rPr>
                <w:rFonts w:ascii="Arial" w:hAnsi="Arial"/>
                <w:b/>
                <w:sz w:val="20"/>
              </w:rPr>
              <w:t>Afdeling 22 – Nevenindicatoren</w:t>
            </w:r>
          </w:p>
        </w:tc>
        <w:tc>
          <w:tcPr>
            <w:tcW w:w="2745" w:type="dxa"/>
            <w:tcBorders>
              <w:top w:val="nil"/>
              <w:left w:val="nil"/>
              <w:right w:val="nil"/>
            </w:tcBorders>
            <w:noWrap/>
          </w:tcPr>
          <w:p w:rsidRPr="00A325F7" w:rsidR="00511E87" w:rsidP="00B85722" w:rsidRDefault="00511E87" w14:paraId="365631CF" w14:textId="77777777">
            <w:pPr>
              <w:jc w:val="right"/>
              <w:rPr>
                <w:rFonts w:ascii="Arial" w:hAnsi="Arial" w:eastAsia="Times New Roman" w:cs="Arial"/>
                <w:sz w:val="20"/>
                <w:szCs w:val="20"/>
                <w:lang w:eastAsia="en-GB"/>
              </w:rPr>
            </w:pPr>
          </w:p>
        </w:tc>
      </w:tr>
      <w:tr w:rsidRPr="00A325F7" w:rsidR="00511E87" w:rsidTr="00B85722" w14:paraId="2A0D186D" w14:textId="77777777">
        <w:trPr>
          <w:trHeight w:val="300"/>
        </w:trPr>
        <w:tc>
          <w:tcPr>
            <w:tcW w:w="6804" w:type="dxa"/>
            <w:tcBorders>
              <w:left w:val="nil"/>
              <w:right w:val="nil"/>
            </w:tcBorders>
            <w:noWrap/>
          </w:tcPr>
          <w:p w:rsidRPr="00A325F7" w:rsidR="00511E87" w:rsidP="00B85722" w:rsidRDefault="00511E87" w14:paraId="58DD82B3" w14:textId="77777777">
            <w:pPr>
              <w:ind w:firstLine="200" w:firstLineChars="100"/>
              <w:rPr>
                <w:rFonts w:ascii="Arial" w:hAnsi="Arial" w:eastAsia="Times New Roman" w:cs="Arial"/>
                <w:sz w:val="20"/>
                <w:szCs w:val="20"/>
              </w:rPr>
            </w:pPr>
            <w:r w:rsidRPr="00A325F7">
              <w:rPr>
                <w:rFonts w:ascii="Arial" w:hAnsi="Arial"/>
                <w:sz w:val="20"/>
              </w:rPr>
              <w:t>a. Buitenlandse netto inkomsten (waarbij het GAM als één enkel rechtsgebied wordt beschouwd)</w:t>
            </w:r>
          </w:p>
        </w:tc>
        <w:tc>
          <w:tcPr>
            <w:tcW w:w="2745" w:type="dxa"/>
            <w:tcBorders>
              <w:left w:val="nil"/>
              <w:right w:val="nil"/>
            </w:tcBorders>
            <w:noWrap/>
          </w:tcPr>
          <w:p w:rsidRPr="00A325F7" w:rsidR="00511E87" w:rsidP="00B85722" w:rsidRDefault="00511E87" w14:paraId="44EBEDC3" w14:textId="77777777">
            <w:pPr>
              <w:jc w:val="right"/>
              <w:rPr>
                <w:rFonts w:ascii="Arial" w:hAnsi="Arial" w:eastAsia="Times New Roman" w:cs="Arial"/>
                <w:sz w:val="20"/>
                <w:szCs w:val="20"/>
                <w:lang w:eastAsia="en-GB"/>
              </w:rPr>
            </w:pPr>
          </w:p>
        </w:tc>
      </w:tr>
      <w:tr w:rsidRPr="00A325F7" w:rsidR="00511E87" w:rsidTr="00B85722" w14:paraId="4B5C81E3" w14:textId="77777777">
        <w:trPr>
          <w:trHeight w:val="300"/>
        </w:trPr>
        <w:tc>
          <w:tcPr>
            <w:tcW w:w="6804" w:type="dxa"/>
            <w:tcBorders>
              <w:left w:val="nil"/>
              <w:bottom w:val="single" w:color="auto" w:sz="4" w:space="0"/>
              <w:right w:val="nil"/>
            </w:tcBorders>
            <w:noWrap/>
          </w:tcPr>
          <w:p w:rsidRPr="00A325F7" w:rsidR="00511E87" w:rsidP="00B85722" w:rsidRDefault="00511E87" w14:paraId="536EC51E" w14:textId="77777777">
            <w:pPr>
              <w:ind w:firstLine="200" w:firstLineChars="100"/>
              <w:rPr>
                <w:rFonts w:ascii="Arial" w:hAnsi="Arial" w:eastAsia="Times New Roman" w:cs="Arial"/>
                <w:sz w:val="20"/>
                <w:szCs w:val="20"/>
              </w:rPr>
            </w:pPr>
            <w:r w:rsidRPr="00A325F7">
              <w:rPr>
                <w:rFonts w:ascii="Arial" w:hAnsi="Arial"/>
                <w:sz w:val="20"/>
              </w:rPr>
              <w:t>b. Aantal rechtsgebieden (waarbij het GAM als één enkel rechtsgebied wordt beschouwd)</w:t>
            </w:r>
          </w:p>
        </w:tc>
        <w:tc>
          <w:tcPr>
            <w:tcW w:w="2745" w:type="dxa"/>
            <w:tcBorders>
              <w:left w:val="nil"/>
              <w:right w:val="nil"/>
            </w:tcBorders>
            <w:noWrap/>
          </w:tcPr>
          <w:p w:rsidRPr="00A325F7" w:rsidR="00511E87" w:rsidP="00B85722" w:rsidRDefault="00511E87" w14:paraId="5B8D0097" w14:textId="77777777">
            <w:pPr>
              <w:jc w:val="right"/>
              <w:rPr>
                <w:rFonts w:ascii="Arial" w:hAnsi="Arial" w:eastAsia="Times New Roman" w:cs="Arial"/>
                <w:sz w:val="20"/>
                <w:szCs w:val="20"/>
                <w:lang w:eastAsia="en-GB"/>
              </w:rPr>
            </w:pPr>
          </w:p>
        </w:tc>
      </w:tr>
      <w:tr w:rsidRPr="00A325F7" w:rsidR="00511E87" w:rsidTr="00B85722" w14:paraId="442AC48B" w14:textId="77777777">
        <w:trPr>
          <w:trHeight w:val="300"/>
        </w:trPr>
        <w:tc>
          <w:tcPr>
            <w:tcW w:w="6804" w:type="dxa"/>
            <w:tcBorders>
              <w:left w:val="nil"/>
              <w:bottom w:val="nil"/>
              <w:right w:val="nil"/>
            </w:tcBorders>
            <w:noWrap/>
          </w:tcPr>
          <w:p w:rsidRPr="00A325F7" w:rsidR="00511E87" w:rsidP="00B85722" w:rsidRDefault="00511E87" w14:paraId="36EFC3EC"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A325F7" w:rsidR="00511E87" w:rsidP="00B85722" w:rsidRDefault="00511E87" w14:paraId="273C0223" w14:textId="77777777">
            <w:pPr>
              <w:jc w:val="right"/>
              <w:rPr>
                <w:rFonts w:ascii="Arial" w:hAnsi="Arial" w:eastAsia="Times New Roman" w:cs="Arial"/>
                <w:sz w:val="20"/>
                <w:szCs w:val="20"/>
                <w:lang w:eastAsia="en-GB"/>
              </w:rPr>
            </w:pPr>
          </w:p>
        </w:tc>
      </w:tr>
      <w:tr w:rsidRPr="00A325F7" w:rsidR="00511E87" w:rsidTr="00B85722" w14:paraId="69CDB274" w14:textId="77777777">
        <w:trPr>
          <w:trHeight w:val="300"/>
        </w:trPr>
        <w:tc>
          <w:tcPr>
            <w:tcW w:w="6804" w:type="dxa"/>
            <w:tcBorders>
              <w:top w:val="nil"/>
              <w:left w:val="nil"/>
              <w:bottom w:val="nil"/>
              <w:right w:val="nil"/>
            </w:tcBorders>
            <w:noWrap/>
          </w:tcPr>
          <w:p w:rsidRPr="00A325F7" w:rsidR="00511E87" w:rsidP="00B85722" w:rsidRDefault="00511E87" w14:paraId="37C2DB71" w14:textId="77777777">
            <w:pPr>
              <w:ind w:firstLine="221" w:firstLineChars="100"/>
              <w:rPr>
                <w:rFonts w:ascii="Arial" w:hAnsi="Arial" w:eastAsia="Times New Roman" w:cs="Arial"/>
                <w:sz w:val="20"/>
                <w:szCs w:val="20"/>
              </w:rPr>
            </w:pPr>
            <w:r w:rsidRPr="00A325F7">
              <w:rPr>
                <w:rFonts w:asciiTheme="majorHAnsi" w:hAnsiTheme="majorHAnsi"/>
                <w:b/>
                <w:i/>
                <w:caps/>
              </w:rPr>
              <w:t>Controlesamenvatting</w:t>
            </w:r>
          </w:p>
        </w:tc>
        <w:tc>
          <w:tcPr>
            <w:tcW w:w="2745" w:type="dxa"/>
            <w:tcBorders>
              <w:top w:val="nil"/>
              <w:left w:val="nil"/>
              <w:bottom w:val="nil"/>
              <w:right w:val="nil"/>
            </w:tcBorders>
            <w:noWrap/>
          </w:tcPr>
          <w:p w:rsidRPr="00A325F7" w:rsidR="00511E87" w:rsidP="00B85722" w:rsidRDefault="00511E87" w14:paraId="49695AD0" w14:textId="77777777">
            <w:pPr>
              <w:jc w:val="right"/>
              <w:rPr>
                <w:rFonts w:ascii="Arial" w:hAnsi="Arial" w:eastAsia="Times New Roman" w:cs="Arial"/>
                <w:sz w:val="20"/>
                <w:szCs w:val="20"/>
                <w:lang w:eastAsia="en-GB"/>
              </w:rPr>
            </w:pPr>
          </w:p>
        </w:tc>
      </w:tr>
      <w:tr w:rsidRPr="00A325F7" w:rsidR="00511E87" w:rsidTr="00B85722" w14:paraId="42B29B3B" w14:textId="77777777">
        <w:trPr>
          <w:trHeight w:val="300"/>
        </w:trPr>
        <w:tc>
          <w:tcPr>
            <w:tcW w:w="6804" w:type="dxa"/>
            <w:tcBorders>
              <w:top w:val="nil"/>
              <w:left w:val="nil"/>
              <w:bottom w:val="single" w:color="auto" w:sz="4" w:space="0"/>
              <w:right w:val="nil"/>
            </w:tcBorders>
            <w:noWrap/>
          </w:tcPr>
          <w:p w:rsidRPr="00A325F7" w:rsidR="00511E87" w:rsidP="00B85722" w:rsidRDefault="00511E87" w14:paraId="134404A1"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A325F7" w:rsidR="00511E87" w:rsidP="00B85722" w:rsidRDefault="00511E87" w14:paraId="33724AF6" w14:textId="77777777">
            <w:pPr>
              <w:jc w:val="right"/>
              <w:rPr>
                <w:rFonts w:ascii="Arial" w:hAnsi="Arial" w:eastAsia="Times New Roman" w:cs="Arial"/>
                <w:sz w:val="20"/>
                <w:szCs w:val="20"/>
                <w:lang w:eastAsia="en-GB"/>
              </w:rPr>
            </w:pPr>
          </w:p>
        </w:tc>
      </w:tr>
      <w:tr w:rsidRPr="00A325F7" w:rsidR="00511E87" w:rsidTr="00B85722" w14:paraId="4717171C" w14:textId="77777777">
        <w:trPr>
          <w:trHeight w:val="300"/>
        </w:trPr>
        <w:tc>
          <w:tcPr>
            <w:tcW w:w="6804" w:type="dxa"/>
            <w:tcBorders>
              <w:left w:val="nil"/>
              <w:bottom w:val="single" w:color="auto" w:sz="4" w:space="0"/>
              <w:right w:val="nil"/>
            </w:tcBorders>
            <w:noWrap/>
          </w:tcPr>
          <w:p w:rsidRPr="00A325F7" w:rsidR="00511E87" w:rsidP="00B85722" w:rsidRDefault="00511E87" w14:paraId="58F9F46F" w14:textId="77777777">
            <w:pPr>
              <w:rPr>
                <w:rFonts w:ascii="Arial" w:hAnsi="Arial" w:eastAsia="Times New Roman" w:cs="Arial"/>
                <w:sz w:val="20"/>
                <w:szCs w:val="20"/>
              </w:rPr>
            </w:pPr>
            <w:r w:rsidRPr="00A325F7">
              <w:rPr>
                <w:b/>
              </w:rPr>
              <w:t>Afdeling 23 – Indicatorwaarden (herziene methode)</w:t>
            </w:r>
          </w:p>
        </w:tc>
        <w:tc>
          <w:tcPr>
            <w:tcW w:w="2745" w:type="dxa"/>
            <w:tcBorders>
              <w:left w:val="nil"/>
              <w:right w:val="nil"/>
            </w:tcBorders>
            <w:noWrap/>
          </w:tcPr>
          <w:p w:rsidRPr="00A325F7" w:rsidR="00511E87" w:rsidP="00B85722" w:rsidRDefault="00511E87" w14:paraId="0823238A" w14:textId="77777777">
            <w:pPr>
              <w:jc w:val="center"/>
              <w:rPr>
                <w:rFonts w:ascii="Arial" w:hAnsi="Arial" w:eastAsia="Times New Roman" w:cs="Arial"/>
                <w:sz w:val="20"/>
                <w:szCs w:val="20"/>
              </w:rPr>
            </w:pPr>
            <w:r w:rsidRPr="00A325F7">
              <w:rPr>
                <w:b/>
              </w:rPr>
              <w:t>Indicatorwaarde in de rapportagevaluta</w:t>
            </w:r>
          </w:p>
        </w:tc>
      </w:tr>
      <w:tr w:rsidRPr="00A325F7" w:rsidR="00511E87" w:rsidTr="00B85722" w14:paraId="1B785298" w14:textId="77777777">
        <w:trPr>
          <w:trHeight w:val="300"/>
        </w:trPr>
        <w:tc>
          <w:tcPr>
            <w:tcW w:w="6804" w:type="dxa"/>
            <w:tcBorders>
              <w:left w:val="nil"/>
              <w:bottom w:val="single" w:color="auto" w:sz="4" w:space="0"/>
              <w:right w:val="nil"/>
            </w:tcBorders>
            <w:noWrap/>
          </w:tcPr>
          <w:p w:rsidRPr="00A325F7" w:rsidR="00511E87" w:rsidP="00B85722" w:rsidRDefault="00511E87" w14:paraId="5BDE6CEE" w14:textId="77777777">
            <w:pPr>
              <w:ind w:left="171" w:firstLine="48" w:firstLineChars="22"/>
              <w:rPr>
                <w:rFonts w:ascii="Arial" w:hAnsi="Arial" w:eastAsia="Times New Roman" w:cs="Arial"/>
                <w:sz w:val="20"/>
                <w:szCs w:val="20"/>
              </w:rPr>
            </w:pPr>
            <w:r w:rsidRPr="00A325F7">
              <w:t>a. Afdeling 2 – Indicator voor totaal blootstellingen, met inbegrip van verzekeringsdochterondernemingen</w:t>
            </w:r>
          </w:p>
        </w:tc>
        <w:tc>
          <w:tcPr>
            <w:tcW w:w="2745" w:type="dxa"/>
            <w:tcBorders>
              <w:left w:val="nil"/>
              <w:right w:val="nil"/>
            </w:tcBorders>
            <w:noWrap/>
          </w:tcPr>
          <w:p w:rsidRPr="00A325F7" w:rsidR="00511E87" w:rsidP="00B85722" w:rsidRDefault="00511E87" w14:paraId="7F05C58B" w14:textId="77777777">
            <w:pPr>
              <w:jc w:val="right"/>
              <w:rPr>
                <w:rFonts w:ascii="Arial" w:hAnsi="Arial" w:eastAsia="Times New Roman" w:cs="Arial"/>
                <w:sz w:val="20"/>
                <w:szCs w:val="20"/>
                <w:lang w:eastAsia="en-GB"/>
              </w:rPr>
            </w:pPr>
          </w:p>
        </w:tc>
      </w:tr>
      <w:tr w:rsidRPr="00A325F7" w:rsidR="00511E87" w:rsidTr="00B85722" w14:paraId="5C802C8A" w14:textId="77777777">
        <w:trPr>
          <w:trHeight w:val="300"/>
        </w:trPr>
        <w:tc>
          <w:tcPr>
            <w:tcW w:w="6804" w:type="dxa"/>
            <w:tcBorders>
              <w:left w:val="nil"/>
              <w:bottom w:val="single" w:color="auto" w:sz="4" w:space="0"/>
              <w:right w:val="nil"/>
            </w:tcBorders>
            <w:noWrap/>
          </w:tcPr>
          <w:p w:rsidRPr="00A325F7" w:rsidR="00511E87" w:rsidP="00B85722" w:rsidRDefault="00511E87" w14:paraId="720556AD" w14:textId="77777777">
            <w:pPr>
              <w:ind w:left="171" w:firstLine="48" w:firstLineChars="22"/>
              <w:rPr>
                <w:rFonts w:ascii="Arial" w:hAnsi="Arial" w:eastAsia="Times New Roman" w:cs="Arial"/>
                <w:sz w:val="20"/>
                <w:szCs w:val="20"/>
              </w:rPr>
            </w:pPr>
            <w:r w:rsidRPr="00A325F7">
              <w:t>b. Afdeling 3 – Indicator voor activa binnen het financiële stelsel, met inbegrip van verzekeringsdochterondernemingen</w:t>
            </w:r>
          </w:p>
        </w:tc>
        <w:tc>
          <w:tcPr>
            <w:tcW w:w="2745" w:type="dxa"/>
            <w:tcBorders>
              <w:left w:val="nil"/>
              <w:right w:val="nil"/>
            </w:tcBorders>
            <w:noWrap/>
          </w:tcPr>
          <w:p w:rsidRPr="00A325F7" w:rsidR="00511E87" w:rsidP="00B85722" w:rsidRDefault="00511E87" w14:paraId="51DB134C" w14:textId="77777777">
            <w:pPr>
              <w:jc w:val="right"/>
              <w:rPr>
                <w:rFonts w:ascii="Arial" w:hAnsi="Arial" w:eastAsia="Times New Roman" w:cs="Arial"/>
                <w:sz w:val="20"/>
                <w:szCs w:val="20"/>
                <w:lang w:eastAsia="en-GB"/>
              </w:rPr>
            </w:pPr>
          </w:p>
        </w:tc>
      </w:tr>
      <w:tr w:rsidRPr="00A325F7" w:rsidR="00511E87" w:rsidTr="00B85722" w14:paraId="14229FBF" w14:textId="77777777">
        <w:trPr>
          <w:trHeight w:val="300"/>
        </w:trPr>
        <w:tc>
          <w:tcPr>
            <w:tcW w:w="6804" w:type="dxa"/>
            <w:tcBorders>
              <w:left w:val="nil"/>
              <w:bottom w:val="single" w:color="auto" w:sz="4" w:space="0"/>
              <w:right w:val="nil"/>
            </w:tcBorders>
            <w:noWrap/>
          </w:tcPr>
          <w:p w:rsidRPr="00A325F7" w:rsidR="00511E87" w:rsidP="00B85722" w:rsidRDefault="00511E87" w14:paraId="3C39937C" w14:textId="77777777">
            <w:pPr>
              <w:ind w:left="171" w:firstLine="48" w:firstLineChars="22"/>
              <w:rPr>
                <w:rFonts w:ascii="Arial" w:hAnsi="Arial" w:eastAsia="Times New Roman" w:cs="Arial"/>
                <w:sz w:val="20"/>
                <w:szCs w:val="20"/>
              </w:rPr>
            </w:pPr>
            <w:r w:rsidRPr="00A325F7">
              <w:t>c. Afdeling 4 – Indicator voor passiva binnen het financiële stelsel, met inbegrip van verzekeringsdochterondernemingen</w:t>
            </w:r>
          </w:p>
        </w:tc>
        <w:tc>
          <w:tcPr>
            <w:tcW w:w="2745" w:type="dxa"/>
            <w:tcBorders>
              <w:left w:val="nil"/>
              <w:right w:val="nil"/>
            </w:tcBorders>
            <w:noWrap/>
          </w:tcPr>
          <w:p w:rsidRPr="00A325F7" w:rsidR="00511E87" w:rsidP="00B85722" w:rsidRDefault="00511E87" w14:paraId="07DBBE5D" w14:textId="77777777">
            <w:pPr>
              <w:jc w:val="right"/>
              <w:rPr>
                <w:rFonts w:ascii="Arial" w:hAnsi="Arial" w:eastAsia="Times New Roman" w:cs="Arial"/>
                <w:sz w:val="20"/>
                <w:szCs w:val="20"/>
                <w:lang w:eastAsia="en-GB"/>
              </w:rPr>
            </w:pPr>
          </w:p>
        </w:tc>
      </w:tr>
      <w:tr w:rsidRPr="00A325F7" w:rsidR="00511E87" w:rsidTr="00B85722" w14:paraId="52741828" w14:textId="77777777">
        <w:trPr>
          <w:trHeight w:val="300"/>
        </w:trPr>
        <w:tc>
          <w:tcPr>
            <w:tcW w:w="6804" w:type="dxa"/>
            <w:tcBorders>
              <w:left w:val="nil"/>
              <w:bottom w:val="single" w:color="auto" w:sz="4" w:space="0"/>
              <w:right w:val="nil"/>
            </w:tcBorders>
            <w:noWrap/>
          </w:tcPr>
          <w:p w:rsidRPr="00A325F7" w:rsidR="00511E87" w:rsidP="00B85722" w:rsidRDefault="00511E87" w14:paraId="0F573170" w14:textId="77777777">
            <w:pPr>
              <w:ind w:left="171" w:firstLine="48" w:firstLineChars="22"/>
              <w:rPr>
                <w:rFonts w:ascii="Arial" w:hAnsi="Arial" w:eastAsia="Times New Roman" w:cs="Arial"/>
                <w:sz w:val="20"/>
                <w:szCs w:val="20"/>
              </w:rPr>
            </w:pPr>
            <w:r w:rsidRPr="00A325F7">
              <w:t>d. Afdeling 5 – Indicator voor uitstaande effecten, met inbegrip van verzekeringsdochterondernemingen</w:t>
            </w:r>
          </w:p>
        </w:tc>
        <w:tc>
          <w:tcPr>
            <w:tcW w:w="2745" w:type="dxa"/>
            <w:tcBorders>
              <w:left w:val="nil"/>
              <w:right w:val="nil"/>
            </w:tcBorders>
            <w:noWrap/>
          </w:tcPr>
          <w:p w:rsidRPr="00A325F7" w:rsidR="00511E87" w:rsidP="00B85722" w:rsidRDefault="00511E87" w14:paraId="1F10615E" w14:textId="77777777">
            <w:pPr>
              <w:jc w:val="right"/>
              <w:rPr>
                <w:rFonts w:ascii="Arial" w:hAnsi="Arial" w:eastAsia="Times New Roman" w:cs="Arial"/>
                <w:sz w:val="20"/>
                <w:szCs w:val="20"/>
                <w:lang w:eastAsia="en-GB"/>
              </w:rPr>
            </w:pPr>
          </w:p>
        </w:tc>
      </w:tr>
      <w:tr w:rsidRPr="00A325F7" w:rsidR="00511E87" w:rsidTr="00B85722" w14:paraId="113FAC2D" w14:textId="77777777">
        <w:trPr>
          <w:trHeight w:val="300"/>
        </w:trPr>
        <w:tc>
          <w:tcPr>
            <w:tcW w:w="6804" w:type="dxa"/>
            <w:tcBorders>
              <w:left w:val="nil"/>
              <w:bottom w:val="single" w:color="auto" w:sz="4" w:space="0"/>
              <w:right w:val="nil"/>
            </w:tcBorders>
            <w:noWrap/>
          </w:tcPr>
          <w:p w:rsidRPr="00A325F7" w:rsidR="00511E87" w:rsidP="00B85722" w:rsidRDefault="00511E87" w14:paraId="4ACF9B89" w14:textId="77777777">
            <w:pPr>
              <w:ind w:firstLine="220" w:firstLineChars="100"/>
              <w:rPr>
                <w:rFonts w:ascii="Arial" w:hAnsi="Arial" w:eastAsia="Times New Roman" w:cs="Arial"/>
                <w:sz w:val="20"/>
                <w:szCs w:val="20"/>
              </w:rPr>
            </w:pPr>
            <w:r w:rsidRPr="00A325F7">
              <w:lastRenderedPageBreak/>
              <w:t>e. Afdeling 6 – Indicator voor activiteit betalingen</w:t>
            </w:r>
          </w:p>
        </w:tc>
        <w:tc>
          <w:tcPr>
            <w:tcW w:w="2745" w:type="dxa"/>
            <w:tcBorders>
              <w:left w:val="nil"/>
              <w:right w:val="nil"/>
            </w:tcBorders>
            <w:noWrap/>
          </w:tcPr>
          <w:p w:rsidRPr="00A325F7" w:rsidR="00511E87" w:rsidP="00B85722" w:rsidRDefault="00511E87" w14:paraId="198EAAEB" w14:textId="77777777">
            <w:pPr>
              <w:jc w:val="right"/>
              <w:rPr>
                <w:rFonts w:ascii="Arial" w:hAnsi="Arial" w:eastAsia="Times New Roman" w:cs="Arial"/>
                <w:sz w:val="20"/>
                <w:szCs w:val="20"/>
                <w:lang w:eastAsia="en-GB"/>
              </w:rPr>
            </w:pPr>
          </w:p>
        </w:tc>
      </w:tr>
      <w:tr w:rsidRPr="00A325F7" w:rsidR="00511E87" w:rsidTr="00B85722" w14:paraId="70A15203" w14:textId="77777777">
        <w:trPr>
          <w:trHeight w:val="300"/>
        </w:trPr>
        <w:tc>
          <w:tcPr>
            <w:tcW w:w="6804" w:type="dxa"/>
            <w:tcBorders>
              <w:left w:val="nil"/>
              <w:bottom w:val="single" w:color="auto" w:sz="4" w:space="0"/>
              <w:right w:val="nil"/>
            </w:tcBorders>
            <w:noWrap/>
          </w:tcPr>
          <w:p w:rsidRPr="00A325F7" w:rsidR="00511E87" w:rsidP="00B85722" w:rsidRDefault="00511E87" w14:paraId="52BCF3AB" w14:textId="77777777">
            <w:pPr>
              <w:ind w:firstLine="220" w:firstLineChars="100"/>
              <w:rPr>
                <w:rFonts w:ascii="Arial" w:hAnsi="Arial" w:eastAsia="Times New Roman" w:cs="Arial"/>
                <w:sz w:val="20"/>
                <w:szCs w:val="20"/>
              </w:rPr>
            </w:pPr>
            <w:r w:rsidRPr="00A325F7">
              <w:t>f. Afdeling 7 – Indicator voor in bewaring genomen activa</w:t>
            </w:r>
          </w:p>
        </w:tc>
        <w:tc>
          <w:tcPr>
            <w:tcW w:w="2745" w:type="dxa"/>
            <w:tcBorders>
              <w:left w:val="nil"/>
              <w:right w:val="nil"/>
            </w:tcBorders>
            <w:noWrap/>
          </w:tcPr>
          <w:p w:rsidRPr="00A325F7" w:rsidR="00511E87" w:rsidP="00B85722" w:rsidRDefault="00511E87" w14:paraId="35DCBF3D" w14:textId="77777777">
            <w:pPr>
              <w:jc w:val="right"/>
              <w:rPr>
                <w:rFonts w:ascii="Arial" w:hAnsi="Arial" w:eastAsia="Times New Roman" w:cs="Arial"/>
                <w:sz w:val="20"/>
                <w:szCs w:val="20"/>
                <w:lang w:eastAsia="en-GB"/>
              </w:rPr>
            </w:pPr>
          </w:p>
        </w:tc>
      </w:tr>
      <w:tr w:rsidRPr="00A325F7" w:rsidR="00511E87" w:rsidTr="00B85722" w14:paraId="7C8337DC" w14:textId="77777777">
        <w:trPr>
          <w:trHeight w:val="300"/>
        </w:trPr>
        <w:tc>
          <w:tcPr>
            <w:tcW w:w="6804" w:type="dxa"/>
            <w:tcBorders>
              <w:left w:val="nil"/>
              <w:bottom w:val="single" w:color="auto" w:sz="4" w:space="0"/>
              <w:right w:val="nil"/>
            </w:tcBorders>
            <w:noWrap/>
          </w:tcPr>
          <w:p w:rsidRPr="00A325F7" w:rsidR="00511E87" w:rsidP="00B85722" w:rsidRDefault="00511E87" w14:paraId="77D42889" w14:textId="77777777">
            <w:pPr>
              <w:ind w:firstLine="220" w:firstLineChars="100"/>
              <w:rPr>
                <w:rFonts w:ascii="Arial" w:hAnsi="Arial" w:eastAsia="Times New Roman" w:cs="Arial"/>
                <w:sz w:val="20"/>
                <w:szCs w:val="20"/>
              </w:rPr>
            </w:pPr>
            <w:r w:rsidRPr="00A325F7">
              <w:t>g. Afdeling 8 – Indicator voor activiteit overnemen</w:t>
            </w:r>
          </w:p>
        </w:tc>
        <w:tc>
          <w:tcPr>
            <w:tcW w:w="2745" w:type="dxa"/>
            <w:tcBorders>
              <w:left w:val="nil"/>
              <w:right w:val="nil"/>
            </w:tcBorders>
            <w:noWrap/>
          </w:tcPr>
          <w:p w:rsidRPr="00A325F7" w:rsidR="00511E87" w:rsidP="00B85722" w:rsidRDefault="00511E87" w14:paraId="2123FBE5" w14:textId="77777777">
            <w:pPr>
              <w:jc w:val="right"/>
              <w:rPr>
                <w:rFonts w:ascii="Arial" w:hAnsi="Arial" w:eastAsia="Times New Roman" w:cs="Arial"/>
                <w:sz w:val="20"/>
                <w:szCs w:val="20"/>
                <w:lang w:eastAsia="en-GB"/>
              </w:rPr>
            </w:pPr>
          </w:p>
        </w:tc>
      </w:tr>
      <w:tr w:rsidRPr="00A325F7" w:rsidR="00511E87" w:rsidTr="00B85722" w14:paraId="17C3210A" w14:textId="77777777">
        <w:trPr>
          <w:trHeight w:val="300"/>
        </w:trPr>
        <w:tc>
          <w:tcPr>
            <w:tcW w:w="6804" w:type="dxa"/>
            <w:tcBorders>
              <w:left w:val="nil"/>
              <w:bottom w:val="single" w:color="auto" w:sz="4" w:space="0"/>
              <w:right w:val="nil"/>
            </w:tcBorders>
            <w:noWrap/>
          </w:tcPr>
          <w:p w:rsidRPr="00A325F7" w:rsidR="00511E87" w:rsidP="00B85722" w:rsidRDefault="00511E87" w14:paraId="5102F18D" w14:textId="77777777">
            <w:pPr>
              <w:ind w:firstLine="220" w:firstLineChars="100"/>
              <w:rPr>
                <w:rFonts w:ascii="Arial" w:hAnsi="Arial" w:eastAsia="Times New Roman" w:cs="Arial"/>
                <w:sz w:val="20"/>
                <w:szCs w:val="20"/>
              </w:rPr>
            </w:pPr>
            <w:r w:rsidRPr="00A325F7">
              <w:t>h. Afdeling 9.c – Subindicator voor handelsvolume met vaste opbrengst</w:t>
            </w:r>
          </w:p>
        </w:tc>
        <w:tc>
          <w:tcPr>
            <w:tcW w:w="2745" w:type="dxa"/>
            <w:tcBorders>
              <w:left w:val="nil"/>
              <w:right w:val="nil"/>
            </w:tcBorders>
            <w:noWrap/>
          </w:tcPr>
          <w:p w:rsidRPr="00A325F7" w:rsidR="00511E87" w:rsidP="00B85722" w:rsidRDefault="00511E87" w14:paraId="78F98729" w14:textId="77777777">
            <w:pPr>
              <w:jc w:val="right"/>
              <w:rPr>
                <w:rFonts w:ascii="Arial" w:hAnsi="Arial" w:eastAsia="Times New Roman" w:cs="Arial"/>
                <w:sz w:val="20"/>
                <w:szCs w:val="20"/>
                <w:lang w:eastAsia="en-GB"/>
              </w:rPr>
            </w:pPr>
          </w:p>
        </w:tc>
      </w:tr>
      <w:tr w:rsidRPr="00A325F7" w:rsidR="00511E87" w:rsidTr="00B85722" w14:paraId="60CD8F1D" w14:textId="77777777">
        <w:trPr>
          <w:trHeight w:val="300"/>
        </w:trPr>
        <w:tc>
          <w:tcPr>
            <w:tcW w:w="6804" w:type="dxa"/>
            <w:tcBorders>
              <w:left w:val="nil"/>
              <w:bottom w:val="single" w:color="auto" w:sz="4" w:space="0"/>
              <w:right w:val="nil"/>
            </w:tcBorders>
            <w:noWrap/>
          </w:tcPr>
          <w:p w:rsidRPr="00A325F7" w:rsidR="00511E87" w:rsidP="00B85722" w:rsidRDefault="00511E87" w14:paraId="33D73AE6" w14:textId="77777777">
            <w:pPr>
              <w:ind w:left="171" w:firstLine="77" w:firstLineChars="35"/>
              <w:rPr>
                <w:rFonts w:ascii="Arial" w:hAnsi="Arial" w:eastAsia="Times New Roman" w:cs="Arial"/>
                <w:sz w:val="20"/>
                <w:szCs w:val="20"/>
              </w:rPr>
            </w:pPr>
            <w:r w:rsidRPr="00A325F7">
              <w:t>i. Afdeling 9.f – Subindicator voor handelsvolume van aandelen en andere effecten</w:t>
            </w:r>
          </w:p>
        </w:tc>
        <w:tc>
          <w:tcPr>
            <w:tcW w:w="2745" w:type="dxa"/>
            <w:tcBorders>
              <w:left w:val="nil"/>
              <w:right w:val="nil"/>
            </w:tcBorders>
            <w:noWrap/>
          </w:tcPr>
          <w:p w:rsidRPr="00A325F7" w:rsidR="00511E87" w:rsidP="00B85722" w:rsidRDefault="00511E87" w14:paraId="62FB6138" w14:textId="77777777">
            <w:pPr>
              <w:jc w:val="right"/>
              <w:rPr>
                <w:rFonts w:ascii="Arial" w:hAnsi="Arial" w:eastAsia="Times New Roman" w:cs="Arial"/>
                <w:sz w:val="20"/>
                <w:szCs w:val="20"/>
                <w:lang w:eastAsia="en-GB"/>
              </w:rPr>
            </w:pPr>
          </w:p>
        </w:tc>
      </w:tr>
      <w:tr w:rsidRPr="00A325F7" w:rsidR="00511E87" w:rsidTr="00B85722" w14:paraId="6B75B174" w14:textId="77777777">
        <w:trPr>
          <w:trHeight w:val="300"/>
        </w:trPr>
        <w:tc>
          <w:tcPr>
            <w:tcW w:w="6804" w:type="dxa"/>
            <w:tcBorders>
              <w:left w:val="nil"/>
              <w:bottom w:val="single" w:color="auto" w:sz="4" w:space="0"/>
              <w:right w:val="nil"/>
            </w:tcBorders>
            <w:noWrap/>
          </w:tcPr>
          <w:p w:rsidRPr="00A325F7" w:rsidR="00511E87" w:rsidP="00B85722" w:rsidRDefault="00511E87" w14:paraId="48F82958" w14:textId="77777777">
            <w:pPr>
              <w:ind w:left="171" w:firstLine="77" w:firstLineChars="35"/>
              <w:rPr>
                <w:rFonts w:ascii="Arial" w:hAnsi="Arial" w:eastAsia="Times New Roman" w:cs="Arial"/>
                <w:sz w:val="20"/>
                <w:szCs w:val="20"/>
              </w:rPr>
            </w:pPr>
            <w:r w:rsidRPr="00A325F7">
              <w:t>j. Afdeling 10 – Indicator voor OTC-derivaten, met inbegrip van verzekeringsdochterondernemingen</w:t>
            </w:r>
          </w:p>
        </w:tc>
        <w:tc>
          <w:tcPr>
            <w:tcW w:w="2745" w:type="dxa"/>
            <w:tcBorders>
              <w:left w:val="nil"/>
              <w:right w:val="nil"/>
            </w:tcBorders>
            <w:noWrap/>
          </w:tcPr>
          <w:p w:rsidRPr="00A325F7" w:rsidR="00511E87" w:rsidP="00B85722" w:rsidRDefault="00511E87" w14:paraId="7356FEB1" w14:textId="77777777">
            <w:pPr>
              <w:jc w:val="right"/>
              <w:rPr>
                <w:rFonts w:ascii="Arial" w:hAnsi="Arial" w:eastAsia="Times New Roman" w:cs="Arial"/>
                <w:sz w:val="20"/>
                <w:szCs w:val="20"/>
                <w:lang w:eastAsia="en-GB"/>
              </w:rPr>
            </w:pPr>
          </w:p>
        </w:tc>
      </w:tr>
      <w:tr w:rsidRPr="00A325F7" w:rsidR="00511E87" w:rsidTr="00B85722" w14:paraId="47849C93" w14:textId="77777777">
        <w:trPr>
          <w:trHeight w:val="300"/>
        </w:trPr>
        <w:tc>
          <w:tcPr>
            <w:tcW w:w="6804" w:type="dxa"/>
            <w:tcBorders>
              <w:left w:val="nil"/>
              <w:bottom w:val="single" w:color="auto" w:sz="4" w:space="0"/>
              <w:right w:val="nil"/>
            </w:tcBorders>
            <w:noWrap/>
          </w:tcPr>
          <w:p w:rsidRPr="00A325F7" w:rsidR="00511E87" w:rsidP="00B85722" w:rsidRDefault="00511E87" w14:paraId="1D259160" w14:textId="77777777">
            <w:pPr>
              <w:ind w:firstLine="220" w:firstLineChars="100"/>
              <w:rPr>
                <w:rFonts w:ascii="Arial" w:hAnsi="Arial" w:eastAsia="Times New Roman" w:cs="Arial"/>
                <w:sz w:val="20"/>
                <w:szCs w:val="20"/>
              </w:rPr>
            </w:pPr>
            <w:r w:rsidRPr="00A325F7">
              <w:t>k. Afdeling 11 – Indicator voor HFT- en AFS-effecten</w:t>
            </w:r>
          </w:p>
        </w:tc>
        <w:tc>
          <w:tcPr>
            <w:tcW w:w="2745" w:type="dxa"/>
            <w:tcBorders>
              <w:left w:val="nil"/>
              <w:right w:val="nil"/>
            </w:tcBorders>
            <w:noWrap/>
          </w:tcPr>
          <w:p w:rsidRPr="00A325F7" w:rsidR="00511E87" w:rsidP="00B85722" w:rsidRDefault="00511E87" w14:paraId="4546C872" w14:textId="77777777">
            <w:pPr>
              <w:jc w:val="right"/>
              <w:rPr>
                <w:rFonts w:ascii="Arial" w:hAnsi="Arial" w:eastAsia="Times New Roman" w:cs="Arial"/>
                <w:sz w:val="20"/>
                <w:szCs w:val="20"/>
                <w:lang w:eastAsia="en-GB"/>
              </w:rPr>
            </w:pPr>
          </w:p>
        </w:tc>
      </w:tr>
      <w:tr w:rsidRPr="00A325F7" w:rsidR="00511E87" w:rsidTr="00B85722" w14:paraId="72AC3643" w14:textId="77777777">
        <w:trPr>
          <w:trHeight w:val="300"/>
        </w:trPr>
        <w:tc>
          <w:tcPr>
            <w:tcW w:w="6804" w:type="dxa"/>
            <w:tcBorders>
              <w:left w:val="nil"/>
              <w:bottom w:val="single" w:color="auto" w:sz="4" w:space="0"/>
              <w:right w:val="nil"/>
            </w:tcBorders>
            <w:noWrap/>
          </w:tcPr>
          <w:p w:rsidRPr="00A325F7" w:rsidR="00511E87" w:rsidP="00B85722" w:rsidRDefault="00511E87" w14:paraId="4577811A" w14:textId="77777777">
            <w:pPr>
              <w:ind w:firstLine="220" w:firstLineChars="100"/>
              <w:rPr>
                <w:rFonts w:ascii="Arial" w:hAnsi="Arial" w:eastAsia="Times New Roman" w:cs="Arial"/>
                <w:sz w:val="20"/>
                <w:szCs w:val="20"/>
              </w:rPr>
            </w:pPr>
            <w:r w:rsidRPr="00A325F7">
              <w:t>l. Afdeling 12 – Indicator voor activa van niveau 3, met inbegrip van verzekeringsdochterondernemingen</w:t>
            </w:r>
          </w:p>
        </w:tc>
        <w:tc>
          <w:tcPr>
            <w:tcW w:w="2745" w:type="dxa"/>
            <w:tcBorders>
              <w:left w:val="nil"/>
              <w:right w:val="nil"/>
            </w:tcBorders>
            <w:noWrap/>
          </w:tcPr>
          <w:p w:rsidRPr="00A325F7" w:rsidR="00511E87" w:rsidP="00B85722" w:rsidRDefault="00511E87" w14:paraId="14A0AA26" w14:textId="77777777">
            <w:pPr>
              <w:jc w:val="right"/>
              <w:rPr>
                <w:rFonts w:ascii="Arial" w:hAnsi="Arial" w:eastAsia="Times New Roman" w:cs="Arial"/>
                <w:sz w:val="20"/>
                <w:szCs w:val="20"/>
                <w:lang w:eastAsia="en-GB"/>
              </w:rPr>
            </w:pPr>
          </w:p>
        </w:tc>
      </w:tr>
      <w:tr w:rsidRPr="00A325F7" w:rsidR="00511E87" w:rsidTr="00B85722" w14:paraId="6636A84D" w14:textId="77777777">
        <w:trPr>
          <w:trHeight w:val="300"/>
        </w:trPr>
        <w:tc>
          <w:tcPr>
            <w:tcW w:w="6804" w:type="dxa"/>
            <w:tcBorders>
              <w:left w:val="nil"/>
              <w:bottom w:val="single" w:color="auto" w:sz="4" w:space="0"/>
              <w:right w:val="nil"/>
            </w:tcBorders>
            <w:noWrap/>
          </w:tcPr>
          <w:p w:rsidRPr="00A325F7" w:rsidR="00511E87" w:rsidP="00B85722" w:rsidRDefault="00511E87" w14:paraId="53AAACF6" w14:textId="77777777">
            <w:pPr>
              <w:ind w:firstLine="220" w:firstLineChars="100"/>
              <w:rPr>
                <w:rFonts w:ascii="Arial" w:hAnsi="Arial" w:eastAsia="Times New Roman" w:cs="Arial"/>
                <w:sz w:val="20"/>
                <w:szCs w:val="20"/>
              </w:rPr>
            </w:pPr>
            <w:r w:rsidRPr="00A325F7">
              <w:t>m. Afdeling 13 – Indicator voor rechtsgebiedoverschrijdende vorderingen</w:t>
            </w:r>
          </w:p>
        </w:tc>
        <w:tc>
          <w:tcPr>
            <w:tcW w:w="2745" w:type="dxa"/>
            <w:tcBorders>
              <w:left w:val="nil"/>
              <w:right w:val="nil"/>
            </w:tcBorders>
            <w:noWrap/>
          </w:tcPr>
          <w:p w:rsidRPr="00A325F7" w:rsidR="00511E87" w:rsidP="00B85722" w:rsidRDefault="00511E87" w14:paraId="55BA46B0" w14:textId="77777777">
            <w:pPr>
              <w:jc w:val="right"/>
              <w:rPr>
                <w:rFonts w:ascii="Arial" w:hAnsi="Arial" w:eastAsia="Times New Roman" w:cs="Arial"/>
                <w:sz w:val="20"/>
                <w:szCs w:val="20"/>
                <w:lang w:eastAsia="en-GB"/>
              </w:rPr>
            </w:pPr>
          </w:p>
        </w:tc>
      </w:tr>
      <w:tr w:rsidRPr="00A325F7" w:rsidR="00511E87" w:rsidTr="00B85722" w14:paraId="3C6D2BE8" w14:textId="77777777">
        <w:trPr>
          <w:trHeight w:val="300"/>
        </w:trPr>
        <w:tc>
          <w:tcPr>
            <w:tcW w:w="6804" w:type="dxa"/>
            <w:tcBorders>
              <w:left w:val="nil"/>
              <w:bottom w:val="single" w:color="auto" w:sz="4" w:space="0"/>
              <w:right w:val="nil"/>
            </w:tcBorders>
            <w:noWrap/>
          </w:tcPr>
          <w:p w:rsidRPr="00A325F7" w:rsidR="00511E87" w:rsidP="00B85722" w:rsidRDefault="00511E87" w14:paraId="59E36E0F" w14:textId="77777777">
            <w:pPr>
              <w:ind w:firstLine="220" w:firstLineChars="100"/>
              <w:rPr>
                <w:rFonts w:ascii="Arial" w:hAnsi="Arial" w:eastAsia="Times New Roman" w:cs="Arial"/>
                <w:sz w:val="20"/>
                <w:szCs w:val="20"/>
              </w:rPr>
            </w:pPr>
            <w:r w:rsidRPr="00A325F7">
              <w:t>n. Afdeling 14 – Indicator voor rechtsgebiedoverschrijdende passiva</w:t>
            </w:r>
          </w:p>
        </w:tc>
        <w:tc>
          <w:tcPr>
            <w:tcW w:w="2745" w:type="dxa"/>
            <w:tcBorders>
              <w:left w:val="nil"/>
              <w:right w:val="nil"/>
            </w:tcBorders>
            <w:noWrap/>
          </w:tcPr>
          <w:p w:rsidRPr="00A325F7" w:rsidR="00511E87" w:rsidP="00B85722" w:rsidRDefault="00511E87" w14:paraId="0502185C" w14:textId="77777777">
            <w:pPr>
              <w:jc w:val="right"/>
              <w:rPr>
                <w:rFonts w:ascii="Arial" w:hAnsi="Arial" w:eastAsia="Times New Roman" w:cs="Arial"/>
                <w:sz w:val="20"/>
                <w:szCs w:val="20"/>
                <w:lang w:eastAsia="en-GB"/>
              </w:rPr>
            </w:pPr>
          </w:p>
        </w:tc>
      </w:tr>
      <w:tr w:rsidRPr="00A325F7" w:rsidR="00511E87" w:rsidTr="00B85722" w14:paraId="2B6F5BC3" w14:textId="77777777">
        <w:trPr>
          <w:trHeight w:val="300"/>
        </w:trPr>
        <w:tc>
          <w:tcPr>
            <w:tcW w:w="6804" w:type="dxa"/>
            <w:tcBorders>
              <w:left w:val="nil"/>
              <w:bottom w:val="single" w:color="auto" w:sz="4" w:space="0"/>
              <w:right w:val="nil"/>
            </w:tcBorders>
            <w:noWrap/>
          </w:tcPr>
          <w:p w:rsidRPr="00A325F7" w:rsidR="00511E87" w:rsidP="00B85722" w:rsidRDefault="00511E87" w14:paraId="433A3CBF" w14:textId="77777777">
            <w:pPr>
              <w:ind w:firstLine="220" w:firstLineChars="100"/>
              <w:rPr>
                <w:rFonts w:ascii="Arial" w:hAnsi="Arial" w:eastAsia="Times New Roman" w:cs="Arial"/>
                <w:sz w:val="20"/>
                <w:szCs w:val="20"/>
              </w:rPr>
            </w:pPr>
            <w:r w:rsidRPr="00A325F7">
              <w:t>o. Overige afdelingen</w:t>
            </w:r>
          </w:p>
        </w:tc>
        <w:tc>
          <w:tcPr>
            <w:tcW w:w="2745" w:type="dxa"/>
            <w:tcBorders>
              <w:left w:val="nil"/>
              <w:right w:val="nil"/>
            </w:tcBorders>
            <w:noWrap/>
          </w:tcPr>
          <w:p w:rsidRPr="00A325F7" w:rsidR="00511E87" w:rsidP="00B85722" w:rsidRDefault="00511E87" w14:paraId="2C394095" w14:textId="77777777">
            <w:pPr>
              <w:jc w:val="right"/>
              <w:rPr>
                <w:rFonts w:ascii="Arial" w:hAnsi="Arial" w:eastAsia="Times New Roman" w:cs="Arial"/>
                <w:sz w:val="20"/>
                <w:szCs w:val="20"/>
                <w:lang w:eastAsia="en-GB"/>
              </w:rPr>
            </w:pPr>
          </w:p>
        </w:tc>
      </w:tr>
      <w:tr w:rsidRPr="00A325F7" w:rsidR="00511E87" w:rsidTr="00B85722" w14:paraId="5F3C002C" w14:textId="77777777">
        <w:trPr>
          <w:trHeight w:val="300"/>
        </w:trPr>
        <w:tc>
          <w:tcPr>
            <w:tcW w:w="6804" w:type="dxa"/>
            <w:tcBorders>
              <w:left w:val="nil"/>
              <w:bottom w:val="single" w:color="auto" w:sz="4" w:space="0"/>
              <w:right w:val="nil"/>
            </w:tcBorders>
            <w:noWrap/>
          </w:tcPr>
          <w:p w:rsidRPr="00A325F7" w:rsidR="00511E87" w:rsidP="00B85722" w:rsidRDefault="00511E87" w14:paraId="6A201431" w14:textId="77777777">
            <w:pPr>
              <w:ind w:firstLine="220" w:firstLineChars="100"/>
              <w:rPr>
                <w:rFonts w:ascii="Arial" w:hAnsi="Arial" w:eastAsia="Times New Roman" w:cs="Arial"/>
                <w:sz w:val="20"/>
                <w:szCs w:val="20"/>
              </w:rPr>
            </w:pPr>
            <w:r w:rsidRPr="00A325F7">
              <w:t>(1) Post 1.a – Algemene informatie die door de toezichthoudende autoriteit wordt verstrekt</w:t>
            </w:r>
          </w:p>
        </w:tc>
        <w:tc>
          <w:tcPr>
            <w:tcW w:w="2745" w:type="dxa"/>
            <w:tcBorders>
              <w:left w:val="nil"/>
              <w:right w:val="nil"/>
            </w:tcBorders>
            <w:noWrap/>
          </w:tcPr>
          <w:p w:rsidRPr="00A325F7" w:rsidR="00511E87" w:rsidP="00B85722" w:rsidRDefault="00511E87" w14:paraId="6BB37929" w14:textId="77777777">
            <w:pPr>
              <w:jc w:val="right"/>
              <w:rPr>
                <w:rFonts w:ascii="Arial" w:hAnsi="Arial" w:eastAsia="Times New Roman" w:cs="Arial"/>
                <w:sz w:val="20"/>
                <w:szCs w:val="20"/>
                <w:lang w:eastAsia="en-GB"/>
              </w:rPr>
            </w:pPr>
          </w:p>
        </w:tc>
      </w:tr>
      <w:tr w:rsidRPr="00A325F7" w:rsidR="00511E87" w:rsidTr="00B85722" w14:paraId="4E7A49D2" w14:textId="77777777">
        <w:trPr>
          <w:trHeight w:val="300"/>
        </w:trPr>
        <w:tc>
          <w:tcPr>
            <w:tcW w:w="6804" w:type="dxa"/>
            <w:tcBorders>
              <w:left w:val="nil"/>
              <w:bottom w:val="single" w:color="auto" w:sz="4" w:space="0"/>
              <w:right w:val="nil"/>
            </w:tcBorders>
            <w:noWrap/>
          </w:tcPr>
          <w:p w:rsidRPr="00A325F7" w:rsidR="00511E87" w:rsidP="00B85722" w:rsidRDefault="00511E87" w14:paraId="1BDF6F94" w14:textId="77777777">
            <w:pPr>
              <w:ind w:firstLine="220" w:firstLineChars="100"/>
              <w:rPr>
                <w:rFonts w:ascii="Arial" w:hAnsi="Arial" w:eastAsia="Times New Roman" w:cs="Arial"/>
                <w:sz w:val="20"/>
                <w:szCs w:val="20"/>
              </w:rPr>
            </w:pPr>
            <w:r w:rsidRPr="00A325F7">
              <w:t>(2) Post 1.b – Algemene informatie die door de rapporterende instelling wordt verstrekt</w:t>
            </w:r>
          </w:p>
        </w:tc>
        <w:tc>
          <w:tcPr>
            <w:tcW w:w="2745" w:type="dxa"/>
            <w:tcBorders>
              <w:left w:val="nil"/>
              <w:right w:val="nil"/>
            </w:tcBorders>
            <w:noWrap/>
          </w:tcPr>
          <w:p w:rsidRPr="00A325F7" w:rsidR="00511E87" w:rsidP="00B85722" w:rsidRDefault="00511E87" w14:paraId="65C84134" w14:textId="77777777">
            <w:pPr>
              <w:jc w:val="right"/>
              <w:rPr>
                <w:rFonts w:ascii="Arial" w:hAnsi="Arial" w:eastAsia="Times New Roman" w:cs="Arial"/>
                <w:sz w:val="20"/>
                <w:szCs w:val="20"/>
                <w:lang w:eastAsia="en-GB"/>
              </w:rPr>
            </w:pPr>
          </w:p>
        </w:tc>
      </w:tr>
      <w:tr w:rsidRPr="00A325F7" w:rsidR="00511E87" w:rsidTr="00B85722" w14:paraId="373D7227" w14:textId="77777777">
        <w:trPr>
          <w:trHeight w:val="300"/>
        </w:trPr>
        <w:tc>
          <w:tcPr>
            <w:tcW w:w="6804" w:type="dxa"/>
            <w:tcBorders>
              <w:left w:val="nil"/>
              <w:bottom w:val="single" w:color="auto" w:sz="4" w:space="0"/>
              <w:right w:val="nil"/>
            </w:tcBorders>
            <w:noWrap/>
          </w:tcPr>
          <w:p w:rsidRPr="00A325F7" w:rsidR="00511E87" w:rsidP="00B85722" w:rsidRDefault="00511E87" w14:paraId="446EE6A3" w14:textId="77777777">
            <w:pPr>
              <w:ind w:firstLine="220" w:firstLineChars="100"/>
              <w:rPr>
                <w:rFonts w:ascii="Arial" w:hAnsi="Arial" w:eastAsia="Times New Roman" w:cs="Arial"/>
                <w:sz w:val="20"/>
                <w:szCs w:val="20"/>
              </w:rPr>
            </w:pPr>
            <w:r w:rsidRPr="00A325F7">
              <w:t>(3) Afdeling 15 – Nevenindicatoren</w:t>
            </w:r>
          </w:p>
        </w:tc>
        <w:tc>
          <w:tcPr>
            <w:tcW w:w="2745" w:type="dxa"/>
            <w:tcBorders>
              <w:left w:val="nil"/>
              <w:right w:val="nil"/>
            </w:tcBorders>
            <w:noWrap/>
          </w:tcPr>
          <w:p w:rsidRPr="00A325F7" w:rsidR="00511E87" w:rsidP="00B85722" w:rsidRDefault="00511E87" w14:paraId="6D92E3E3" w14:textId="77777777">
            <w:pPr>
              <w:jc w:val="right"/>
              <w:rPr>
                <w:rFonts w:ascii="Arial" w:hAnsi="Arial" w:eastAsia="Times New Roman" w:cs="Arial"/>
                <w:sz w:val="20"/>
                <w:szCs w:val="20"/>
                <w:lang w:eastAsia="en-GB"/>
              </w:rPr>
            </w:pPr>
          </w:p>
        </w:tc>
      </w:tr>
      <w:tr w:rsidRPr="00A325F7" w:rsidR="00511E87" w:rsidTr="00B85722" w14:paraId="42137430" w14:textId="77777777">
        <w:trPr>
          <w:trHeight w:val="300"/>
        </w:trPr>
        <w:tc>
          <w:tcPr>
            <w:tcW w:w="6804" w:type="dxa"/>
            <w:tcBorders>
              <w:left w:val="nil"/>
              <w:bottom w:val="single" w:color="auto" w:sz="4" w:space="0"/>
              <w:right w:val="nil"/>
            </w:tcBorders>
            <w:noWrap/>
          </w:tcPr>
          <w:p w:rsidRPr="00A325F7" w:rsidR="00511E87" w:rsidP="00B85722" w:rsidRDefault="00511E87" w14:paraId="4B511138" w14:textId="77777777">
            <w:pPr>
              <w:ind w:firstLine="220" w:firstLineChars="100"/>
              <w:rPr>
                <w:rFonts w:ascii="Arial" w:hAnsi="Arial" w:eastAsia="Times New Roman" w:cs="Arial"/>
                <w:sz w:val="20"/>
                <w:szCs w:val="20"/>
              </w:rPr>
            </w:pPr>
            <w:r w:rsidRPr="00A325F7">
              <w:t>(4) Afdeling 16 – Nevenposten</w:t>
            </w:r>
          </w:p>
        </w:tc>
        <w:tc>
          <w:tcPr>
            <w:tcW w:w="2745" w:type="dxa"/>
            <w:tcBorders>
              <w:left w:val="nil"/>
              <w:right w:val="nil"/>
            </w:tcBorders>
            <w:noWrap/>
          </w:tcPr>
          <w:p w:rsidRPr="00A325F7" w:rsidR="00511E87" w:rsidP="00B85722" w:rsidRDefault="00511E87" w14:paraId="000E5D07" w14:textId="77777777">
            <w:pPr>
              <w:jc w:val="right"/>
              <w:rPr>
                <w:rFonts w:ascii="Arial" w:hAnsi="Arial" w:eastAsia="Times New Roman" w:cs="Arial"/>
                <w:sz w:val="20"/>
                <w:szCs w:val="20"/>
                <w:lang w:eastAsia="en-GB"/>
              </w:rPr>
            </w:pPr>
          </w:p>
        </w:tc>
      </w:tr>
      <w:tr w:rsidRPr="00A325F7" w:rsidR="00511E87" w:rsidTr="00B85722" w14:paraId="7BE5E0DD" w14:textId="77777777">
        <w:trPr>
          <w:trHeight w:val="300"/>
        </w:trPr>
        <w:tc>
          <w:tcPr>
            <w:tcW w:w="6804" w:type="dxa"/>
            <w:tcBorders>
              <w:left w:val="nil"/>
              <w:bottom w:val="single" w:color="auto" w:sz="4" w:space="0"/>
              <w:right w:val="nil"/>
            </w:tcBorders>
            <w:noWrap/>
          </w:tcPr>
          <w:p w:rsidRPr="00A325F7" w:rsidR="00511E87" w:rsidP="00B85722" w:rsidRDefault="00511E87" w14:paraId="7F5D3A70" w14:textId="77777777">
            <w:pPr>
              <w:ind w:firstLine="220" w:firstLineChars="100"/>
              <w:rPr>
                <w:rFonts w:ascii="Arial" w:hAnsi="Arial" w:eastAsia="Times New Roman" w:cs="Arial"/>
                <w:sz w:val="20"/>
                <w:szCs w:val="20"/>
              </w:rPr>
            </w:pPr>
            <w:r w:rsidRPr="00A325F7">
              <w:t>(5) Afdeling 17 – Posten met betrekking tot omvang</w:t>
            </w:r>
          </w:p>
        </w:tc>
        <w:tc>
          <w:tcPr>
            <w:tcW w:w="2745" w:type="dxa"/>
            <w:tcBorders>
              <w:left w:val="nil"/>
              <w:right w:val="nil"/>
            </w:tcBorders>
            <w:noWrap/>
          </w:tcPr>
          <w:p w:rsidRPr="00A325F7" w:rsidR="00511E87" w:rsidP="00B85722" w:rsidRDefault="00511E87" w14:paraId="3697E2D5" w14:textId="77777777">
            <w:pPr>
              <w:jc w:val="right"/>
              <w:rPr>
                <w:rFonts w:ascii="Arial" w:hAnsi="Arial" w:eastAsia="Times New Roman" w:cs="Arial"/>
                <w:sz w:val="20"/>
                <w:szCs w:val="20"/>
                <w:lang w:eastAsia="en-GB"/>
              </w:rPr>
            </w:pPr>
          </w:p>
        </w:tc>
      </w:tr>
      <w:tr w:rsidRPr="00A325F7" w:rsidR="00511E87" w:rsidTr="00B85722" w14:paraId="3BC53C28" w14:textId="77777777">
        <w:trPr>
          <w:trHeight w:val="300"/>
        </w:trPr>
        <w:tc>
          <w:tcPr>
            <w:tcW w:w="6804" w:type="dxa"/>
            <w:tcBorders>
              <w:left w:val="nil"/>
              <w:bottom w:val="single" w:color="auto" w:sz="4" w:space="0"/>
              <w:right w:val="nil"/>
            </w:tcBorders>
            <w:noWrap/>
          </w:tcPr>
          <w:p w:rsidRPr="00A325F7" w:rsidR="00511E87" w:rsidP="00B85722" w:rsidRDefault="00511E87" w14:paraId="3CF0762C" w14:textId="77777777">
            <w:pPr>
              <w:ind w:firstLine="220" w:firstLineChars="100"/>
              <w:rPr>
                <w:rFonts w:ascii="Arial" w:hAnsi="Arial" w:eastAsia="Times New Roman" w:cs="Arial"/>
                <w:sz w:val="20"/>
                <w:szCs w:val="20"/>
              </w:rPr>
            </w:pPr>
            <w:r w:rsidRPr="00A325F7">
              <w:t>(6) Afdeling 18 – Posten met betrekking tot verwevenheid</w:t>
            </w:r>
          </w:p>
        </w:tc>
        <w:tc>
          <w:tcPr>
            <w:tcW w:w="2745" w:type="dxa"/>
            <w:tcBorders>
              <w:left w:val="nil"/>
              <w:right w:val="nil"/>
            </w:tcBorders>
            <w:noWrap/>
          </w:tcPr>
          <w:p w:rsidRPr="00A325F7" w:rsidR="00511E87" w:rsidP="00B85722" w:rsidRDefault="00511E87" w14:paraId="6FF2416F" w14:textId="77777777">
            <w:pPr>
              <w:jc w:val="right"/>
              <w:rPr>
                <w:rFonts w:ascii="Arial" w:hAnsi="Arial" w:eastAsia="Times New Roman" w:cs="Arial"/>
                <w:sz w:val="20"/>
                <w:szCs w:val="20"/>
                <w:lang w:eastAsia="en-GB"/>
              </w:rPr>
            </w:pPr>
          </w:p>
        </w:tc>
      </w:tr>
      <w:tr w:rsidRPr="00A325F7" w:rsidR="00511E87" w:rsidTr="00B85722" w14:paraId="1310ABE6" w14:textId="77777777">
        <w:trPr>
          <w:trHeight w:val="300"/>
        </w:trPr>
        <w:tc>
          <w:tcPr>
            <w:tcW w:w="6804" w:type="dxa"/>
            <w:tcBorders>
              <w:left w:val="nil"/>
              <w:bottom w:val="single" w:color="auto" w:sz="4" w:space="0"/>
              <w:right w:val="nil"/>
            </w:tcBorders>
            <w:noWrap/>
          </w:tcPr>
          <w:p w:rsidRPr="00A325F7" w:rsidR="00511E87" w:rsidP="00B85722" w:rsidRDefault="00511E87" w14:paraId="18A195B0" w14:textId="77777777">
            <w:pPr>
              <w:ind w:firstLine="220" w:firstLineChars="100"/>
              <w:rPr>
                <w:rFonts w:ascii="Arial" w:hAnsi="Arial" w:eastAsia="Times New Roman" w:cs="Arial"/>
                <w:sz w:val="20"/>
                <w:szCs w:val="20"/>
              </w:rPr>
            </w:pPr>
            <w:r w:rsidRPr="00A325F7">
              <w:t>(7) Afdeling 19 – Posten met betrekking tot substitueerbaarheid/financiële infrastructuur</w:t>
            </w:r>
          </w:p>
        </w:tc>
        <w:tc>
          <w:tcPr>
            <w:tcW w:w="2745" w:type="dxa"/>
            <w:tcBorders>
              <w:left w:val="nil"/>
              <w:right w:val="nil"/>
            </w:tcBorders>
            <w:noWrap/>
          </w:tcPr>
          <w:p w:rsidRPr="00A325F7" w:rsidR="00511E87" w:rsidP="00B85722" w:rsidRDefault="00511E87" w14:paraId="09F83B89" w14:textId="77777777">
            <w:pPr>
              <w:jc w:val="right"/>
              <w:rPr>
                <w:rFonts w:ascii="Arial" w:hAnsi="Arial" w:eastAsia="Times New Roman" w:cs="Arial"/>
                <w:sz w:val="20"/>
                <w:szCs w:val="20"/>
                <w:lang w:eastAsia="en-GB"/>
              </w:rPr>
            </w:pPr>
          </w:p>
        </w:tc>
      </w:tr>
      <w:tr w:rsidRPr="00A325F7" w:rsidR="00511E87" w:rsidTr="00B85722" w14:paraId="48FDAB4B" w14:textId="77777777">
        <w:trPr>
          <w:trHeight w:val="300"/>
        </w:trPr>
        <w:tc>
          <w:tcPr>
            <w:tcW w:w="6804" w:type="dxa"/>
            <w:tcBorders>
              <w:left w:val="nil"/>
              <w:bottom w:val="single" w:color="auto" w:sz="4" w:space="0"/>
              <w:right w:val="nil"/>
            </w:tcBorders>
            <w:noWrap/>
          </w:tcPr>
          <w:p w:rsidRPr="00A325F7" w:rsidR="00511E87" w:rsidP="00B85722" w:rsidRDefault="00511E87" w14:paraId="019F41B8" w14:textId="77777777">
            <w:pPr>
              <w:ind w:firstLine="220" w:firstLineChars="100"/>
              <w:rPr>
                <w:rFonts w:ascii="Arial" w:hAnsi="Arial" w:eastAsia="Times New Roman" w:cs="Arial"/>
                <w:sz w:val="20"/>
                <w:szCs w:val="20"/>
              </w:rPr>
            </w:pPr>
            <w:r w:rsidRPr="00A325F7">
              <w:t>(8) Afdeling 20 – Posten met betrekking tot complexiteit</w:t>
            </w:r>
          </w:p>
        </w:tc>
        <w:tc>
          <w:tcPr>
            <w:tcW w:w="2745" w:type="dxa"/>
            <w:tcBorders>
              <w:left w:val="nil"/>
              <w:right w:val="nil"/>
            </w:tcBorders>
            <w:noWrap/>
          </w:tcPr>
          <w:p w:rsidRPr="00A325F7" w:rsidR="00511E87" w:rsidP="00B85722" w:rsidRDefault="00511E87" w14:paraId="55A8D4EF" w14:textId="77777777">
            <w:pPr>
              <w:jc w:val="right"/>
              <w:rPr>
                <w:rFonts w:ascii="Arial" w:hAnsi="Arial" w:eastAsia="Times New Roman" w:cs="Arial"/>
                <w:sz w:val="20"/>
                <w:szCs w:val="20"/>
                <w:lang w:eastAsia="en-GB"/>
              </w:rPr>
            </w:pPr>
          </w:p>
        </w:tc>
      </w:tr>
      <w:tr w:rsidRPr="00A325F7" w:rsidR="00511E87" w:rsidTr="00B85722" w14:paraId="355FA512" w14:textId="77777777">
        <w:trPr>
          <w:trHeight w:val="300"/>
        </w:trPr>
        <w:tc>
          <w:tcPr>
            <w:tcW w:w="6804" w:type="dxa"/>
            <w:tcBorders>
              <w:left w:val="nil"/>
              <w:bottom w:val="single" w:color="auto" w:sz="4" w:space="0"/>
              <w:right w:val="nil"/>
            </w:tcBorders>
            <w:noWrap/>
          </w:tcPr>
          <w:p w:rsidRPr="00A325F7" w:rsidR="00511E87" w:rsidP="00B85722" w:rsidRDefault="00511E87" w14:paraId="46A132B7" w14:textId="77777777">
            <w:pPr>
              <w:ind w:firstLine="220" w:firstLineChars="100"/>
              <w:rPr>
                <w:rFonts w:ascii="Arial" w:hAnsi="Arial" w:eastAsia="Times New Roman" w:cs="Arial"/>
                <w:sz w:val="20"/>
                <w:szCs w:val="20"/>
              </w:rPr>
            </w:pPr>
            <w:r w:rsidRPr="00A325F7">
              <w:t>(9) Afdeling 21 – Posten met betrekking tot rechtsgebiedoverschrijdende activiteit</w:t>
            </w:r>
          </w:p>
        </w:tc>
        <w:tc>
          <w:tcPr>
            <w:tcW w:w="2745" w:type="dxa"/>
            <w:tcBorders>
              <w:left w:val="nil"/>
              <w:right w:val="nil"/>
            </w:tcBorders>
            <w:noWrap/>
          </w:tcPr>
          <w:p w:rsidRPr="00A325F7" w:rsidR="00511E87" w:rsidP="00B85722" w:rsidRDefault="00511E87" w14:paraId="3123617C" w14:textId="77777777">
            <w:pPr>
              <w:jc w:val="right"/>
              <w:rPr>
                <w:rFonts w:ascii="Arial" w:hAnsi="Arial" w:eastAsia="Times New Roman" w:cs="Arial"/>
                <w:sz w:val="20"/>
                <w:szCs w:val="20"/>
                <w:lang w:eastAsia="en-GB"/>
              </w:rPr>
            </w:pPr>
          </w:p>
        </w:tc>
      </w:tr>
      <w:tr w:rsidRPr="00A325F7" w:rsidR="00511E87" w:rsidTr="00B85722" w14:paraId="434D6C95" w14:textId="77777777">
        <w:trPr>
          <w:trHeight w:val="300"/>
        </w:trPr>
        <w:tc>
          <w:tcPr>
            <w:tcW w:w="6804" w:type="dxa"/>
            <w:tcBorders>
              <w:left w:val="nil"/>
              <w:bottom w:val="single" w:color="auto" w:sz="4" w:space="0"/>
              <w:right w:val="nil"/>
            </w:tcBorders>
            <w:noWrap/>
          </w:tcPr>
          <w:p w:rsidRPr="00A325F7" w:rsidR="00511E87" w:rsidP="00B85722" w:rsidRDefault="00511E87" w14:paraId="314C60E8" w14:textId="77777777">
            <w:pPr>
              <w:ind w:firstLine="220" w:firstLineChars="100"/>
              <w:rPr>
                <w:rFonts w:ascii="Arial" w:hAnsi="Arial" w:eastAsia="Times New Roman" w:cs="Arial"/>
                <w:sz w:val="20"/>
                <w:szCs w:val="20"/>
              </w:rPr>
            </w:pPr>
            <w:r w:rsidRPr="00A325F7">
              <w:t>(10) Afdeling 22 – Nevenindicatoren</w:t>
            </w:r>
          </w:p>
        </w:tc>
        <w:tc>
          <w:tcPr>
            <w:tcW w:w="2745" w:type="dxa"/>
            <w:tcBorders>
              <w:left w:val="nil"/>
              <w:right w:val="nil"/>
            </w:tcBorders>
            <w:noWrap/>
          </w:tcPr>
          <w:p w:rsidRPr="00A325F7" w:rsidR="00511E87" w:rsidP="00B85722" w:rsidRDefault="00511E87" w14:paraId="5A2E750D" w14:textId="77777777">
            <w:pPr>
              <w:jc w:val="right"/>
              <w:rPr>
                <w:rFonts w:ascii="Arial" w:hAnsi="Arial" w:eastAsia="Times New Roman" w:cs="Arial"/>
                <w:sz w:val="20"/>
                <w:szCs w:val="20"/>
                <w:lang w:eastAsia="en-GB"/>
              </w:rPr>
            </w:pPr>
          </w:p>
        </w:tc>
      </w:tr>
      <w:tr w:rsidRPr="00A325F7" w:rsidR="00511E87" w:rsidTr="00B85722" w14:paraId="0E61F35C" w14:textId="77777777">
        <w:trPr>
          <w:trHeight w:val="300"/>
        </w:trPr>
        <w:tc>
          <w:tcPr>
            <w:tcW w:w="6804" w:type="dxa"/>
            <w:tcBorders>
              <w:left w:val="nil"/>
              <w:bottom w:val="single" w:color="auto" w:sz="4" w:space="0"/>
              <w:right w:val="nil"/>
            </w:tcBorders>
            <w:noWrap/>
          </w:tcPr>
          <w:p w:rsidRPr="00A325F7" w:rsidR="00511E87" w:rsidP="00B85722" w:rsidRDefault="00511E87" w14:paraId="0C4B6972" w14:textId="77777777">
            <w:pPr>
              <w:rPr>
                <w:b/>
                <w:bCs/>
              </w:rPr>
            </w:pPr>
          </w:p>
        </w:tc>
        <w:tc>
          <w:tcPr>
            <w:tcW w:w="2745" w:type="dxa"/>
            <w:tcBorders>
              <w:left w:val="nil"/>
              <w:right w:val="nil"/>
            </w:tcBorders>
            <w:noWrap/>
          </w:tcPr>
          <w:p w:rsidRPr="00A325F7" w:rsidR="00511E87" w:rsidP="00B85722" w:rsidRDefault="00511E87" w14:paraId="441901AC" w14:textId="77777777">
            <w:pPr>
              <w:jc w:val="center"/>
              <w:rPr>
                <w:b/>
                <w:bCs/>
              </w:rPr>
            </w:pPr>
          </w:p>
        </w:tc>
      </w:tr>
      <w:tr w:rsidRPr="00A325F7" w:rsidR="00511E87" w:rsidTr="00B85722" w14:paraId="24C35B41" w14:textId="77777777">
        <w:trPr>
          <w:trHeight w:val="300"/>
        </w:trPr>
        <w:tc>
          <w:tcPr>
            <w:tcW w:w="6804" w:type="dxa"/>
            <w:tcBorders>
              <w:left w:val="nil"/>
              <w:bottom w:val="single" w:color="auto" w:sz="4" w:space="0"/>
              <w:right w:val="nil"/>
            </w:tcBorders>
            <w:noWrap/>
          </w:tcPr>
          <w:p w:rsidRPr="00A325F7" w:rsidR="00511E87" w:rsidP="00B85722" w:rsidRDefault="00511E87" w14:paraId="5EC1DC06" w14:textId="77777777">
            <w:pPr>
              <w:rPr>
                <w:rFonts w:ascii="Arial" w:hAnsi="Arial" w:eastAsia="Times New Roman" w:cs="Arial"/>
                <w:sz w:val="20"/>
                <w:szCs w:val="20"/>
              </w:rPr>
            </w:pPr>
            <w:r w:rsidRPr="00A325F7">
              <w:rPr>
                <w:b/>
              </w:rPr>
              <w:t>Afdeling 24 – Indicatorwaarden (oude methode)</w:t>
            </w:r>
          </w:p>
        </w:tc>
        <w:tc>
          <w:tcPr>
            <w:tcW w:w="2745" w:type="dxa"/>
            <w:tcBorders>
              <w:left w:val="nil"/>
              <w:right w:val="nil"/>
            </w:tcBorders>
            <w:noWrap/>
          </w:tcPr>
          <w:p w:rsidRPr="00A325F7" w:rsidR="00511E87" w:rsidP="00B85722" w:rsidRDefault="00511E87" w14:paraId="4E22B695" w14:textId="77777777">
            <w:pPr>
              <w:jc w:val="center"/>
              <w:rPr>
                <w:rFonts w:ascii="Arial" w:hAnsi="Arial" w:eastAsia="Times New Roman" w:cs="Arial"/>
                <w:sz w:val="20"/>
                <w:szCs w:val="20"/>
              </w:rPr>
            </w:pPr>
            <w:r w:rsidRPr="00A325F7">
              <w:rPr>
                <w:b/>
              </w:rPr>
              <w:t>Indicatorwaarde in de rapportagevaluta</w:t>
            </w:r>
          </w:p>
        </w:tc>
      </w:tr>
      <w:tr w:rsidRPr="00A325F7" w:rsidR="00511E87" w:rsidTr="00B85722" w14:paraId="7F8F60E1" w14:textId="77777777">
        <w:trPr>
          <w:trHeight w:val="300"/>
        </w:trPr>
        <w:tc>
          <w:tcPr>
            <w:tcW w:w="6804" w:type="dxa"/>
            <w:tcBorders>
              <w:left w:val="nil"/>
              <w:bottom w:val="single" w:color="auto" w:sz="4" w:space="0"/>
              <w:right w:val="nil"/>
            </w:tcBorders>
            <w:noWrap/>
          </w:tcPr>
          <w:p w:rsidRPr="00A325F7" w:rsidR="00511E87" w:rsidP="00B85722" w:rsidRDefault="00511E87" w14:paraId="7590A061" w14:textId="77777777">
            <w:pPr>
              <w:ind w:firstLine="220" w:firstLineChars="100"/>
              <w:rPr>
                <w:rFonts w:ascii="Arial" w:hAnsi="Arial" w:eastAsia="Times New Roman" w:cs="Arial"/>
                <w:sz w:val="20"/>
                <w:szCs w:val="20"/>
              </w:rPr>
            </w:pPr>
            <w:r w:rsidRPr="00A325F7">
              <w:t>a. Afdeling 2 – Indicator voor totaal blootstellingen</w:t>
            </w:r>
          </w:p>
        </w:tc>
        <w:tc>
          <w:tcPr>
            <w:tcW w:w="2745" w:type="dxa"/>
            <w:tcBorders>
              <w:left w:val="nil"/>
              <w:right w:val="nil"/>
            </w:tcBorders>
            <w:noWrap/>
          </w:tcPr>
          <w:p w:rsidRPr="00A325F7" w:rsidR="00511E87" w:rsidP="00B85722" w:rsidRDefault="00511E87" w14:paraId="4865AC4A" w14:textId="77777777">
            <w:pPr>
              <w:jc w:val="right"/>
              <w:rPr>
                <w:rFonts w:ascii="Arial" w:hAnsi="Arial" w:eastAsia="Times New Roman" w:cs="Arial"/>
                <w:sz w:val="20"/>
                <w:szCs w:val="20"/>
                <w:lang w:eastAsia="en-GB"/>
              </w:rPr>
            </w:pPr>
          </w:p>
        </w:tc>
      </w:tr>
      <w:tr w:rsidRPr="00A325F7" w:rsidR="00511E87" w:rsidTr="00B85722" w14:paraId="204C632E" w14:textId="77777777">
        <w:trPr>
          <w:trHeight w:val="300"/>
        </w:trPr>
        <w:tc>
          <w:tcPr>
            <w:tcW w:w="6804" w:type="dxa"/>
            <w:tcBorders>
              <w:left w:val="nil"/>
              <w:bottom w:val="single" w:color="auto" w:sz="4" w:space="0"/>
              <w:right w:val="nil"/>
            </w:tcBorders>
            <w:noWrap/>
          </w:tcPr>
          <w:p w:rsidRPr="00A325F7" w:rsidR="00511E87" w:rsidP="00B85722" w:rsidRDefault="00511E87" w14:paraId="3A849B50" w14:textId="77777777">
            <w:pPr>
              <w:ind w:firstLine="220" w:firstLineChars="100"/>
              <w:rPr>
                <w:rFonts w:ascii="Arial" w:hAnsi="Arial" w:eastAsia="Times New Roman" w:cs="Arial"/>
                <w:sz w:val="20"/>
                <w:szCs w:val="20"/>
              </w:rPr>
            </w:pPr>
            <w:r w:rsidRPr="00A325F7">
              <w:t>b. Afdeling 18 – Indicator voor activa binnen het financiële stelsel</w:t>
            </w:r>
          </w:p>
        </w:tc>
        <w:tc>
          <w:tcPr>
            <w:tcW w:w="2745" w:type="dxa"/>
            <w:tcBorders>
              <w:left w:val="nil"/>
              <w:right w:val="nil"/>
            </w:tcBorders>
            <w:noWrap/>
          </w:tcPr>
          <w:p w:rsidRPr="00A325F7" w:rsidR="00511E87" w:rsidP="00B85722" w:rsidRDefault="00511E87" w14:paraId="0C472468" w14:textId="77777777">
            <w:pPr>
              <w:jc w:val="right"/>
              <w:rPr>
                <w:rFonts w:ascii="Arial" w:hAnsi="Arial" w:eastAsia="Times New Roman" w:cs="Arial"/>
                <w:sz w:val="20"/>
                <w:szCs w:val="20"/>
                <w:lang w:eastAsia="en-GB"/>
              </w:rPr>
            </w:pPr>
          </w:p>
        </w:tc>
      </w:tr>
      <w:tr w:rsidRPr="00A325F7" w:rsidR="00511E87" w:rsidTr="00B85722" w14:paraId="1A795DE9" w14:textId="77777777">
        <w:trPr>
          <w:trHeight w:val="300"/>
        </w:trPr>
        <w:tc>
          <w:tcPr>
            <w:tcW w:w="6804" w:type="dxa"/>
            <w:tcBorders>
              <w:left w:val="nil"/>
              <w:bottom w:val="single" w:color="auto" w:sz="4" w:space="0"/>
              <w:right w:val="nil"/>
            </w:tcBorders>
            <w:noWrap/>
          </w:tcPr>
          <w:p w:rsidRPr="00A325F7" w:rsidR="00511E87" w:rsidP="00B85722" w:rsidRDefault="00511E87" w14:paraId="2D85946F" w14:textId="77777777">
            <w:pPr>
              <w:ind w:firstLine="220" w:firstLineChars="100"/>
              <w:rPr>
                <w:rFonts w:ascii="Arial" w:hAnsi="Arial" w:eastAsia="Times New Roman" w:cs="Arial"/>
                <w:sz w:val="20"/>
                <w:szCs w:val="20"/>
              </w:rPr>
            </w:pPr>
            <w:r w:rsidRPr="00A325F7">
              <w:t>c. Afdeling 18 – Indicator voor passiva binnen het financiële stelsel</w:t>
            </w:r>
          </w:p>
        </w:tc>
        <w:tc>
          <w:tcPr>
            <w:tcW w:w="2745" w:type="dxa"/>
            <w:tcBorders>
              <w:left w:val="nil"/>
              <w:right w:val="nil"/>
            </w:tcBorders>
            <w:noWrap/>
          </w:tcPr>
          <w:p w:rsidRPr="00A325F7" w:rsidR="00511E87" w:rsidP="00B85722" w:rsidRDefault="00511E87" w14:paraId="789C2D0E" w14:textId="77777777">
            <w:pPr>
              <w:jc w:val="right"/>
              <w:rPr>
                <w:rFonts w:ascii="Arial" w:hAnsi="Arial" w:eastAsia="Times New Roman" w:cs="Arial"/>
                <w:sz w:val="20"/>
                <w:szCs w:val="20"/>
                <w:lang w:eastAsia="en-GB"/>
              </w:rPr>
            </w:pPr>
          </w:p>
        </w:tc>
      </w:tr>
      <w:tr w:rsidRPr="00A325F7" w:rsidR="00511E87" w:rsidTr="00B85722" w14:paraId="540579C8" w14:textId="77777777">
        <w:trPr>
          <w:trHeight w:val="300"/>
        </w:trPr>
        <w:tc>
          <w:tcPr>
            <w:tcW w:w="6804" w:type="dxa"/>
            <w:tcBorders>
              <w:left w:val="nil"/>
              <w:bottom w:val="single" w:color="auto" w:sz="4" w:space="0"/>
              <w:right w:val="nil"/>
            </w:tcBorders>
            <w:noWrap/>
          </w:tcPr>
          <w:p w:rsidRPr="00A325F7" w:rsidR="00511E87" w:rsidP="00B85722" w:rsidRDefault="00511E87" w14:paraId="3D1475CF" w14:textId="77777777">
            <w:pPr>
              <w:ind w:firstLine="220" w:firstLineChars="100"/>
              <w:rPr>
                <w:rFonts w:ascii="Arial" w:hAnsi="Arial" w:eastAsia="Times New Roman" w:cs="Arial"/>
                <w:sz w:val="20"/>
                <w:szCs w:val="20"/>
              </w:rPr>
            </w:pPr>
            <w:r w:rsidRPr="00A325F7">
              <w:t>d. Afdeling 18 – Indicator voor uitstaande effecten</w:t>
            </w:r>
          </w:p>
        </w:tc>
        <w:tc>
          <w:tcPr>
            <w:tcW w:w="2745" w:type="dxa"/>
            <w:tcBorders>
              <w:left w:val="nil"/>
              <w:right w:val="nil"/>
            </w:tcBorders>
            <w:noWrap/>
          </w:tcPr>
          <w:p w:rsidRPr="00A325F7" w:rsidR="00511E87" w:rsidP="00B85722" w:rsidRDefault="00511E87" w14:paraId="54F84896" w14:textId="77777777">
            <w:pPr>
              <w:jc w:val="right"/>
              <w:rPr>
                <w:rFonts w:ascii="Arial" w:hAnsi="Arial" w:eastAsia="Times New Roman" w:cs="Arial"/>
                <w:sz w:val="20"/>
                <w:szCs w:val="20"/>
                <w:lang w:eastAsia="en-GB"/>
              </w:rPr>
            </w:pPr>
          </w:p>
        </w:tc>
      </w:tr>
      <w:tr w:rsidRPr="00A325F7" w:rsidR="00511E87" w:rsidTr="00B85722" w14:paraId="49576A71" w14:textId="77777777">
        <w:trPr>
          <w:trHeight w:val="300"/>
        </w:trPr>
        <w:tc>
          <w:tcPr>
            <w:tcW w:w="6804" w:type="dxa"/>
            <w:tcBorders>
              <w:left w:val="nil"/>
              <w:bottom w:val="single" w:color="auto" w:sz="4" w:space="0"/>
              <w:right w:val="nil"/>
            </w:tcBorders>
            <w:noWrap/>
          </w:tcPr>
          <w:p w:rsidRPr="00A325F7" w:rsidR="00511E87" w:rsidP="00B85722" w:rsidRDefault="00511E87" w14:paraId="711DDEF2" w14:textId="77777777">
            <w:pPr>
              <w:ind w:firstLine="220" w:firstLineChars="100"/>
              <w:rPr>
                <w:rFonts w:ascii="Arial" w:hAnsi="Arial" w:eastAsia="Times New Roman" w:cs="Arial"/>
                <w:sz w:val="20"/>
                <w:szCs w:val="20"/>
              </w:rPr>
            </w:pPr>
            <w:r w:rsidRPr="00A325F7">
              <w:t>e. Afdeling 6 – Indicator voor activiteit betalingen</w:t>
            </w:r>
          </w:p>
        </w:tc>
        <w:tc>
          <w:tcPr>
            <w:tcW w:w="2745" w:type="dxa"/>
            <w:tcBorders>
              <w:left w:val="nil"/>
              <w:right w:val="nil"/>
            </w:tcBorders>
            <w:noWrap/>
          </w:tcPr>
          <w:p w:rsidRPr="00A325F7" w:rsidR="00511E87" w:rsidP="00B85722" w:rsidRDefault="00511E87" w14:paraId="21FEDC55" w14:textId="77777777">
            <w:pPr>
              <w:jc w:val="right"/>
              <w:rPr>
                <w:rFonts w:ascii="Arial" w:hAnsi="Arial" w:eastAsia="Times New Roman" w:cs="Arial"/>
                <w:sz w:val="20"/>
                <w:szCs w:val="20"/>
                <w:lang w:eastAsia="en-GB"/>
              </w:rPr>
            </w:pPr>
          </w:p>
        </w:tc>
      </w:tr>
      <w:tr w:rsidRPr="00A325F7" w:rsidR="00511E87" w:rsidTr="00B85722" w14:paraId="5415077F" w14:textId="77777777">
        <w:trPr>
          <w:trHeight w:val="300"/>
        </w:trPr>
        <w:tc>
          <w:tcPr>
            <w:tcW w:w="6804" w:type="dxa"/>
            <w:tcBorders>
              <w:left w:val="nil"/>
              <w:bottom w:val="single" w:color="auto" w:sz="4" w:space="0"/>
              <w:right w:val="nil"/>
            </w:tcBorders>
            <w:noWrap/>
          </w:tcPr>
          <w:p w:rsidRPr="00A325F7" w:rsidR="00511E87" w:rsidP="00B85722" w:rsidRDefault="00511E87" w14:paraId="399B486B" w14:textId="77777777">
            <w:pPr>
              <w:ind w:firstLine="220" w:firstLineChars="100"/>
              <w:rPr>
                <w:rFonts w:ascii="Arial" w:hAnsi="Arial" w:eastAsia="Times New Roman" w:cs="Arial"/>
                <w:sz w:val="20"/>
                <w:szCs w:val="20"/>
              </w:rPr>
            </w:pPr>
            <w:r w:rsidRPr="00A325F7">
              <w:t>f. Afdeling 7 – Indicator voor in bewaring genomen activa</w:t>
            </w:r>
          </w:p>
        </w:tc>
        <w:tc>
          <w:tcPr>
            <w:tcW w:w="2745" w:type="dxa"/>
            <w:tcBorders>
              <w:left w:val="nil"/>
              <w:right w:val="nil"/>
            </w:tcBorders>
            <w:noWrap/>
          </w:tcPr>
          <w:p w:rsidRPr="00A325F7" w:rsidR="00511E87" w:rsidP="00B85722" w:rsidRDefault="00511E87" w14:paraId="153602C5" w14:textId="77777777">
            <w:pPr>
              <w:jc w:val="right"/>
              <w:rPr>
                <w:rFonts w:ascii="Arial" w:hAnsi="Arial" w:eastAsia="Times New Roman" w:cs="Arial"/>
                <w:sz w:val="20"/>
                <w:szCs w:val="20"/>
                <w:lang w:eastAsia="en-GB"/>
              </w:rPr>
            </w:pPr>
          </w:p>
        </w:tc>
      </w:tr>
      <w:tr w:rsidRPr="00A325F7" w:rsidR="00511E87" w:rsidTr="00B85722" w14:paraId="32E91A2C" w14:textId="77777777">
        <w:trPr>
          <w:trHeight w:val="300"/>
        </w:trPr>
        <w:tc>
          <w:tcPr>
            <w:tcW w:w="6804" w:type="dxa"/>
            <w:tcBorders>
              <w:left w:val="nil"/>
              <w:bottom w:val="single" w:color="auto" w:sz="4" w:space="0"/>
              <w:right w:val="nil"/>
            </w:tcBorders>
            <w:noWrap/>
          </w:tcPr>
          <w:p w:rsidRPr="00A325F7" w:rsidR="00511E87" w:rsidP="00B85722" w:rsidRDefault="00511E87" w14:paraId="45CD7B5D" w14:textId="77777777">
            <w:pPr>
              <w:ind w:firstLine="220" w:firstLineChars="100"/>
              <w:rPr>
                <w:rFonts w:ascii="Arial" w:hAnsi="Arial" w:eastAsia="Times New Roman" w:cs="Arial"/>
                <w:sz w:val="20"/>
                <w:szCs w:val="20"/>
              </w:rPr>
            </w:pPr>
            <w:r w:rsidRPr="00A325F7">
              <w:t>g. Afdeling 8 – Indicator voor activiteit overnemen</w:t>
            </w:r>
          </w:p>
        </w:tc>
        <w:tc>
          <w:tcPr>
            <w:tcW w:w="2745" w:type="dxa"/>
            <w:tcBorders>
              <w:left w:val="nil"/>
              <w:right w:val="nil"/>
            </w:tcBorders>
            <w:noWrap/>
          </w:tcPr>
          <w:p w:rsidRPr="00A325F7" w:rsidR="00511E87" w:rsidP="00B85722" w:rsidRDefault="00511E87" w14:paraId="77026BA9" w14:textId="77777777">
            <w:pPr>
              <w:jc w:val="right"/>
              <w:rPr>
                <w:rFonts w:ascii="Arial" w:hAnsi="Arial" w:eastAsia="Times New Roman" w:cs="Arial"/>
                <w:sz w:val="20"/>
                <w:szCs w:val="20"/>
                <w:lang w:eastAsia="en-GB"/>
              </w:rPr>
            </w:pPr>
          </w:p>
        </w:tc>
      </w:tr>
      <w:tr w:rsidRPr="00A325F7" w:rsidR="00511E87" w:rsidTr="00B85722" w14:paraId="1F760861" w14:textId="77777777">
        <w:trPr>
          <w:trHeight w:val="300"/>
        </w:trPr>
        <w:tc>
          <w:tcPr>
            <w:tcW w:w="6804" w:type="dxa"/>
            <w:tcBorders>
              <w:left w:val="nil"/>
              <w:bottom w:val="single" w:color="auto" w:sz="4" w:space="0"/>
              <w:right w:val="nil"/>
            </w:tcBorders>
            <w:noWrap/>
          </w:tcPr>
          <w:p w:rsidRPr="00A325F7" w:rsidR="00511E87" w:rsidP="00B85722" w:rsidRDefault="00511E87" w14:paraId="339DD37D" w14:textId="77777777">
            <w:pPr>
              <w:ind w:firstLine="220" w:firstLineChars="100"/>
              <w:rPr>
                <w:rFonts w:ascii="Arial" w:hAnsi="Arial" w:eastAsia="Times New Roman" w:cs="Arial"/>
                <w:sz w:val="20"/>
                <w:szCs w:val="20"/>
              </w:rPr>
            </w:pPr>
            <w:r w:rsidRPr="00A325F7">
              <w:t>h. Afdeling 20 – Indicator voor OTC-derivaten</w:t>
            </w:r>
          </w:p>
        </w:tc>
        <w:tc>
          <w:tcPr>
            <w:tcW w:w="2745" w:type="dxa"/>
            <w:tcBorders>
              <w:left w:val="nil"/>
              <w:right w:val="nil"/>
            </w:tcBorders>
            <w:noWrap/>
          </w:tcPr>
          <w:p w:rsidRPr="00A325F7" w:rsidR="00511E87" w:rsidP="00B85722" w:rsidRDefault="00511E87" w14:paraId="48C74384" w14:textId="77777777">
            <w:pPr>
              <w:jc w:val="right"/>
              <w:rPr>
                <w:rFonts w:ascii="Arial" w:hAnsi="Arial" w:eastAsia="Times New Roman" w:cs="Arial"/>
                <w:sz w:val="20"/>
                <w:szCs w:val="20"/>
                <w:lang w:eastAsia="en-GB"/>
              </w:rPr>
            </w:pPr>
          </w:p>
        </w:tc>
      </w:tr>
      <w:tr w:rsidRPr="00A325F7" w:rsidR="00511E87" w:rsidTr="00B85722" w14:paraId="5F2BD9BD" w14:textId="77777777">
        <w:trPr>
          <w:trHeight w:val="300"/>
        </w:trPr>
        <w:tc>
          <w:tcPr>
            <w:tcW w:w="6804" w:type="dxa"/>
            <w:tcBorders>
              <w:left w:val="nil"/>
              <w:bottom w:val="single" w:color="auto" w:sz="4" w:space="0"/>
              <w:right w:val="nil"/>
            </w:tcBorders>
            <w:noWrap/>
          </w:tcPr>
          <w:p w:rsidRPr="00A325F7" w:rsidR="00511E87" w:rsidP="00B85722" w:rsidRDefault="00511E87" w14:paraId="0E2C3A86" w14:textId="77777777">
            <w:pPr>
              <w:ind w:firstLine="220" w:firstLineChars="100"/>
              <w:rPr>
                <w:rFonts w:ascii="Arial" w:hAnsi="Arial" w:eastAsia="Times New Roman" w:cs="Arial"/>
                <w:sz w:val="20"/>
                <w:szCs w:val="20"/>
              </w:rPr>
            </w:pPr>
            <w:r w:rsidRPr="00A325F7">
              <w:t>i. Afdeling 11 – Indicator voor HFT- en AFS-effecten</w:t>
            </w:r>
          </w:p>
        </w:tc>
        <w:tc>
          <w:tcPr>
            <w:tcW w:w="2745" w:type="dxa"/>
            <w:tcBorders>
              <w:left w:val="nil"/>
              <w:right w:val="nil"/>
            </w:tcBorders>
            <w:noWrap/>
          </w:tcPr>
          <w:p w:rsidRPr="00A325F7" w:rsidR="00511E87" w:rsidP="00B85722" w:rsidRDefault="00511E87" w14:paraId="51CDCC85" w14:textId="77777777">
            <w:pPr>
              <w:jc w:val="right"/>
              <w:rPr>
                <w:rFonts w:ascii="Arial" w:hAnsi="Arial" w:eastAsia="Times New Roman" w:cs="Arial"/>
                <w:sz w:val="20"/>
                <w:szCs w:val="20"/>
                <w:lang w:eastAsia="en-GB"/>
              </w:rPr>
            </w:pPr>
          </w:p>
        </w:tc>
      </w:tr>
      <w:tr w:rsidRPr="00A325F7" w:rsidR="00511E87" w:rsidTr="00B85722" w14:paraId="1ED06433" w14:textId="77777777">
        <w:trPr>
          <w:trHeight w:val="300"/>
        </w:trPr>
        <w:tc>
          <w:tcPr>
            <w:tcW w:w="6804" w:type="dxa"/>
            <w:tcBorders>
              <w:left w:val="nil"/>
              <w:bottom w:val="single" w:color="auto" w:sz="4" w:space="0"/>
              <w:right w:val="nil"/>
            </w:tcBorders>
            <w:noWrap/>
          </w:tcPr>
          <w:p w:rsidRPr="00A325F7" w:rsidR="00511E87" w:rsidP="00B85722" w:rsidRDefault="00511E87" w14:paraId="304D162E" w14:textId="77777777">
            <w:pPr>
              <w:ind w:firstLine="220" w:firstLineChars="100"/>
              <w:rPr>
                <w:rFonts w:ascii="Arial" w:hAnsi="Arial" w:eastAsia="Times New Roman" w:cs="Arial"/>
                <w:sz w:val="20"/>
                <w:szCs w:val="20"/>
              </w:rPr>
            </w:pPr>
            <w:r w:rsidRPr="00A325F7">
              <w:t>j. Afdeling 20 – Indicator voor activa van niveau 3</w:t>
            </w:r>
          </w:p>
        </w:tc>
        <w:tc>
          <w:tcPr>
            <w:tcW w:w="2745" w:type="dxa"/>
            <w:tcBorders>
              <w:left w:val="nil"/>
              <w:right w:val="nil"/>
            </w:tcBorders>
            <w:noWrap/>
          </w:tcPr>
          <w:p w:rsidRPr="00A325F7" w:rsidR="00511E87" w:rsidP="00B85722" w:rsidRDefault="00511E87" w14:paraId="1858B97B" w14:textId="77777777">
            <w:pPr>
              <w:jc w:val="right"/>
              <w:rPr>
                <w:rFonts w:ascii="Arial" w:hAnsi="Arial" w:eastAsia="Times New Roman" w:cs="Arial"/>
                <w:sz w:val="20"/>
                <w:szCs w:val="20"/>
                <w:lang w:eastAsia="en-GB"/>
              </w:rPr>
            </w:pPr>
          </w:p>
        </w:tc>
      </w:tr>
      <w:tr w:rsidRPr="00A325F7" w:rsidR="00511E87" w:rsidTr="00B85722" w14:paraId="35007AAF" w14:textId="77777777">
        <w:trPr>
          <w:trHeight w:val="300"/>
        </w:trPr>
        <w:tc>
          <w:tcPr>
            <w:tcW w:w="6804" w:type="dxa"/>
            <w:tcBorders>
              <w:left w:val="nil"/>
              <w:bottom w:val="single" w:color="auto" w:sz="4" w:space="0"/>
              <w:right w:val="nil"/>
            </w:tcBorders>
            <w:noWrap/>
          </w:tcPr>
          <w:p w:rsidRPr="00A325F7" w:rsidR="00511E87" w:rsidP="00B85722" w:rsidRDefault="00511E87" w14:paraId="3BA0BB10" w14:textId="77777777">
            <w:pPr>
              <w:ind w:firstLine="220" w:firstLineChars="100"/>
              <w:rPr>
                <w:rFonts w:ascii="Arial" w:hAnsi="Arial" w:eastAsia="Times New Roman" w:cs="Arial"/>
                <w:sz w:val="20"/>
                <w:szCs w:val="20"/>
              </w:rPr>
            </w:pPr>
            <w:r w:rsidRPr="00A325F7">
              <w:t>k. Afdeling 13 – Indicator voor rechtsgebiedoverschrijdende vorderingen</w:t>
            </w:r>
          </w:p>
        </w:tc>
        <w:tc>
          <w:tcPr>
            <w:tcW w:w="2745" w:type="dxa"/>
            <w:tcBorders>
              <w:left w:val="nil"/>
              <w:right w:val="nil"/>
            </w:tcBorders>
            <w:noWrap/>
          </w:tcPr>
          <w:p w:rsidRPr="00A325F7" w:rsidR="00511E87" w:rsidP="00B85722" w:rsidRDefault="00511E87" w14:paraId="20353A0B" w14:textId="77777777">
            <w:pPr>
              <w:jc w:val="right"/>
              <w:rPr>
                <w:rFonts w:ascii="Arial" w:hAnsi="Arial" w:eastAsia="Times New Roman" w:cs="Arial"/>
                <w:sz w:val="20"/>
                <w:szCs w:val="20"/>
                <w:lang w:eastAsia="en-GB"/>
              </w:rPr>
            </w:pPr>
          </w:p>
        </w:tc>
      </w:tr>
      <w:tr w:rsidRPr="00A325F7" w:rsidR="00511E87" w:rsidTr="00B85722" w14:paraId="11647621" w14:textId="77777777">
        <w:trPr>
          <w:trHeight w:val="300"/>
        </w:trPr>
        <w:tc>
          <w:tcPr>
            <w:tcW w:w="6804" w:type="dxa"/>
            <w:tcBorders>
              <w:left w:val="nil"/>
              <w:bottom w:val="single" w:color="auto" w:sz="4" w:space="0"/>
              <w:right w:val="nil"/>
            </w:tcBorders>
            <w:noWrap/>
          </w:tcPr>
          <w:p w:rsidRPr="00A325F7" w:rsidR="00511E87" w:rsidP="00B85722" w:rsidRDefault="00511E87" w14:paraId="6E6F5860" w14:textId="77777777">
            <w:pPr>
              <w:ind w:firstLine="220" w:firstLineChars="100"/>
              <w:rPr>
                <w:rFonts w:ascii="Arial" w:hAnsi="Arial" w:eastAsia="Times New Roman" w:cs="Arial"/>
                <w:sz w:val="20"/>
                <w:szCs w:val="20"/>
              </w:rPr>
            </w:pPr>
            <w:r w:rsidRPr="00A325F7">
              <w:t>l. Afdeling 21 – Indicator voor rechtsgebiedoverschrijdende passiva</w:t>
            </w:r>
          </w:p>
        </w:tc>
        <w:tc>
          <w:tcPr>
            <w:tcW w:w="2745" w:type="dxa"/>
            <w:tcBorders>
              <w:left w:val="nil"/>
              <w:right w:val="nil"/>
            </w:tcBorders>
            <w:noWrap/>
          </w:tcPr>
          <w:p w:rsidRPr="00A325F7" w:rsidR="00511E87" w:rsidP="00B85722" w:rsidRDefault="00511E87" w14:paraId="409E3BAF" w14:textId="77777777">
            <w:pPr>
              <w:jc w:val="right"/>
              <w:rPr>
                <w:rFonts w:ascii="Arial" w:hAnsi="Arial" w:eastAsia="Times New Roman" w:cs="Arial"/>
                <w:sz w:val="20"/>
                <w:szCs w:val="20"/>
                <w:lang w:eastAsia="en-GB"/>
              </w:rPr>
            </w:pPr>
          </w:p>
        </w:tc>
      </w:tr>
    </w:tbl>
    <w:p w:rsidRPr="00D97176" w:rsidR="00B43E07" w:rsidP="00F9329F" w:rsidRDefault="00B43E07" w14:paraId="609D9107" w14:textId="34CF2015">
      <w:pPr>
        <w:pStyle w:val="TableParagraph"/>
        <w:spacing w:before="11"/>
      </w:pPr>
    </w:p>
    <w:sectPr w:rsidRPr="00D97176"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8581" w14:textId="77777777" w:rsidR="004A1225" w:rsidRDefault="004A1225" w:rsidP="00A00E34">
      <w:r>
        <w:separator/>
      </w:r>
    </w:p>
    <w:p w14:paraId="01B748DC" w14:textId="77777777" w:rsidR="004A1225" w:rsidRDefault="004A1225"/>
  </w:endnote>
  <w:endnote w:type="continuationSeparator" w:id="0">
    <w:p w14:paraId="2224F8BD" w14:textId="77777777" w:rsidR="004A1225" w:rsidRDefault="004A1225" w:rsidP="00A00E34">
      <w:r>
        <w:continuationSeparator/>
      </w:r>
    </w:p>
    <w:p w14:paraId="7F672ADF" w14:textId="77777777" w:rsidR="004A1225" w:rsidRDefault="004A1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225" w:rsidP="0017667F" w:rsidRDefault="004A122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4A1225" w:rsidP="00610305" w:rsidRDefault="004A122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7176" w:rsidR="004A1225" w:rsidP="0017667F" w:rsidRDefault="004A1225" w14:paraId="7C3A9832" w14:textId="0C90597F">
    <w:pPr>
      <w:pStyle w:val="Footer"/>
      <w:rPr>
        <w:rStyle w:val="PageNumber"/>
        <w:noProof/>
      </w:rPr>
    </w:pPr>
    <w:r w:rsidRPr="00D97176">
      <w:rPr>
        <w:rStyle w:val="PageNumber"/>
      </w:rPr>
      <w:fldChar w:fldCharType="begin"/>
    </w:r>
    <w:r w:rsidRPr="00D97176">
      <w:rPr>
        <w:rStyle w:val="PageNumber"/>
      </w:rPr>
      <w:instrText xml:space="preserve">PAGE  </w:instrText>
    </w:r>
    <w:r w:rsidRPr="00D97176">
      <w:rPr>
        <w:rStyle w:val="PageNumber"/>
      </w:rPr>
      <w:fldChar w:fldCharType="separate"/>
    </w:r>
    <w:r w:rsidR="00674817">
      <w:rPr>
        <w:rStyle w:val="PageNumber"/>
        <w:noProof/>
      </w:rPr>
      <w:t>1</w:t>
    </w:r>
    <w:r w:rsidRPr="00D97176">
      <w:rPr>
        <w:rStyle w:val="PageNumber"/>
      </w:rPr>
      <w:fldChar w:fldCharType="end"/>
    </w:r>
  </w:p>
  <w:p w:rsidRPr="00D97176" w:rsidR="004A1225" w:rsidP="00610305" w:rsidRDefault="004A1225" w14:paraId="6EEDA3DB" w14:textId="77777777">
    <w:pPr>
      <w:pStyle w:val="Footer"/>
      <w:ind w:right="360"/>
      <w:rPr>
        <w:noProof/>
      </w:rPr>
    </w:pPr>
    <w:r w:rsidRPr="00D97176">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225" w:rsidRDefault="004A1225" w14:paraId="729D8A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94C6" w14:textId="77777777" w:rsidR="004A1225" w:rsidRPr="00DB5E8F" w:rsidRDefault="004A1225">
      <w:pPr>
        <w:rPr>
          <w:sz w:val="12"/>
          <w:szCs w:val="12"/>
        </w:rPr>
      </w:pPr>
      <w:r w:rsidRPr="00DB5E8F">
        <w:rPr>
          <w:sz w:val="12"/>
          <w:szCs w:val="12"/>
        </w:rPr>
        <w:separator/>
      </w:r>
    </w:p>
  </w:footnote>
  <w:footnote w:type="continuationSeparator" w:id="0">
    <w:p w14:paraId="7FB4A76A" w14:textId="77777777" w:rsidR="004A1225" w:rsidRDefault="004A1225" w:rsidP="00A00E34">
      <w:r>
        <w:continuationSeparator/>
      </w:r>
    </w:p>
    <w:p w14:paraId="508781F2" w14:textId="77777777" w:rsidR="004A1225" w:rsidRDefault="004A1225"/>
  </w:footnote>
  <w:footnote w:type="continuationNotice" w:id="1">
    <w:p w14:paraId="4B82FDAE" w14:textId="77777777" w:rsidR="004A1225" w:rsidRDefault="004A1225"/>
  </w:footnote>
  <w:footnote w:id="2">
    <w:p w14:paraId="2B9C6101" w14:textId="2B4968B2" w:rsidR="004A1225" w:rsidRPr="00D97176" w:rsidRDefault="004A1225" w:rsidP="00C92B4B">
      <w:pPr>
        <w:pStyle w:val="FootnoteText"/>
        <w:rPr>
          <w:rFonts w:ascii="Calibri" w:hAnsi="Calibri" w:cs="Calibri"/>
        </w:rPr>
      </w:pPr>
      <w:r w:rsidRPr="00D97176">
        <w:rPr>
          <w:rStyle w:val="FootnoteReference"/>
          <w:rFonts w:ascii="Calibri" w:hAnsi="Calibri" w:cs="Calibri"/>
          <w:sz w:val="18"/>
        </w:rPr>
        <w:footnoteRef/>
      </w:r>
      <w:r w:rsidRPr="00D97176">
        <w:rPr>
          <w:rFonts w:ascii="Calibri" w:hAnsi="Calibri"/>
        </w:rPr>
        <w:t xml:space="preserve"> Verordening (EU) nr. 1093/2010 van het Europees Parlement en de Raad van 24 november 2010 tot oprichting van een Europese toezichthoudende autoriteit (Europese Bankautoriteit), tot wijziging van Besluit nr. 716/2009/EG en tot intrekking van Besluit 2009/78/EG van de Commissie (PB L 331 van 15.12.2010, blz. 12).</w:t>
      </w:r>
    </w:p>
  </w:footnote>
  <w:footnote w:id="3">
    <w:p w14:paraId="65F6494C" w14:textId="77777777" w:rsidR="00301C92" w:rsidRPr="00851D13" w:rsidRDefault="00301C92" w:rsidP="00301C92">
      <w:pPr>
        <w:pStyle w:val="FootnoteText"/>
        <w:rPr>
          <w:rFonts w:ascii="Calibri" w:hAnsi="Calibri"/>
        </w:rPr>
      </w:pPr>
      <w:r w:rsidRPr="00851D13">
        <w:rPr>
          <w:rFonts w:ascii="Calibri" w:hAnsi="Calibri"/>
          <w:vertAlign w:val="superscript"/>
        </w:rPr>
        <w:footnoteRef/>
      </w:r>
      <w:r w:rsidRPr="00851D13">
        <w:rPr>
          <w:rFonts w:ascii="Calibri" w:hAnsi="Calibri"/>
        </w:rPr>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225" w:rsidRDefault="004A1225" w14:paraId="41B1516F" w14:textId="12C57839">
    <w:pPr>
      <w:rPr>
        <w:noProof/>
      </w:rPr>
    </w:pPr>
    <w:r>
      <w:ptab w:alignment="center" w:relativeTo="margin" w:leader="none"/>
    </w:r>
    <w:r>
      <w:ptab w:alignment="right" w:relativeTo="margin" w:leader="none"/>
    </w:r>
  </w:p>
  <w:p w:rsidR="004A1225" w:rsidRDefault="004A122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7176" w:rsidR="004A1225" w:rsidP="002215B5" w:rsidRDefault="004A1225" w14:paraId="233A6472" w14:textId="42F4713B">
    <w:pPr>
      <w:pStyle w:val="Runningtitle"/>
      <w:rPr>
        <w:noProof/>
      </w:rPr>
    </w:pPr>
    <w:r w:rsidRPr="00D97176">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D97176">
      <w:t>Eindverslag over de EBA-richtsnoeren inzake de specificatie en openbaarmaking</w:t>
    </w:r>
  </w:p>
  <w:p w:rsidRPr="00D97176" w:rsidR="004A1225" w:rsidP="002215B5" w:rsidRDefault="004A1225" w14:paraId="122C2463" w14:textId="77777777">
    <w:pPr>
      <w:pStyle w:val="Runningtitle"/>
      <w:rPr>
        <w:noProof/>
      </w:rPr>
    </w:pPr>
    <w:r w:rsidRPr="00D97176">
      <w:t>van indicatoren voor systeemrelevantie</w:t>
    </w:r>
  </w:p>
  <w:p w:rsidRPr="00D97176" w:rsidR="004A1225" w:rsidP="002215B5" w:rsidRDefault="004A122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225" w:rsidP="00E677EF" w:rsidRDefault="004A1225" w14:paraId="6E4DF7C2" w14:textId="77777777">
    <w:pPr>
      <w:pStyle w:val="Runningtitle"/>
      <w:rPr>
        <w:noProof/>
      </w:rPr>
    </w:pPr>
    <w:r>
      <w:t>paginakoptekst komt hier in paginakoptekststijl</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13BE0"/>
    <w:multiLevelType w:val="multilevel"/>
    <w:tmpl w:val="4AF2898E"/>
    <w:name w:val="bis"/>
    <w:lvl w:ilvl="0">
      <w:start w:val="1"/>
      <w:numFmt w:val="none"/>
      <w:lvlText w:val="10 bis."/>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6"/>
  </w:num>
  <w:num w:numId="5">
    <w:abstractNumId w:val="13"/>
  </w:num>
  <w:num w:numId="6">
    <w:abstractNumId w:val="1"/>
  </w:num>
  <w:num w:numId="7">
    <w:abstractNumId w:val="12"/>
  </w:num>
  <w:num w:numId="8">
    <w:abstractNumId w:val="10"/>
  </w:num>
  <w:num w:numId="9">
    <w:abstractNumId w:val="0"/>
  </w:num>
  <w:num w:numId="10">
    <w:abstractNumId w:val="14"/>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60F40"/>
    <w:rsid w:val="00062830"/>
    <w:rsid w:val="0007574B"/>
    <w:rsid w:val="000774B3"/>
    <w:rsid w:val="00080CE9"/>
    <w:rsid w:val="000843CD"/>
    <w:rsid w:val="00087EEC"/>
    <w:rsid w:val="00096B3E"/>
    <w:rsid w:val="000A1C81"/>
    <w:rsid w:val="000A3851"/>
    <w:rsid w:val="000A5345"/>
    <w:rsid w:val="000B1645"/>
    <w:rsid w:val="000B2614"/>
    <w:rsid w:val="000C2B79"/>
    <w:rsid w:val="000C5A8A"/>
    <w:rsid w:val="000C7FD8"/>
    <w:rsid w:val="000D7A44"/>
    <w:rsid w:val="000E0C27"/>
    <w:rsid w:val="000E1FF6"/>
    <w:rsid w:val="000E200C"/>
    <w:rsid w:val="000E6D15"/>
    <w:rsid w:val="000F0C89"/>
    <w:rsid w:val="000F33D3"/>
    <w:rsid w:val="000F3C24"/>
    <w:rsid w:val="000F607B"/>
    <w:rsid w:val="000F6495"/>
    <w:rsid w:val="000F6FD8"/>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D6C06"/>
    <w:rsid w:val="001E0B2E"/>
    <w:rsid w:val="001E1188"/>
    <w:rsid w:val="001E3599"/>
    <w:rsid w:val="001F1CB9"/>
    <w:rsid w:val="001F7501"/>
    <w:rsid w:val="00205878"/>
    <w:rsid w:val="00213D7B"/>
    <w:rsid w:val="00214DEC"/>
    <w:rsid w:val="00215B80"/>
    <w:rsid w:val="002215B5"/>
    <w:rsid w:val="00224761"/>
    <w:rsid w:val="00224A3F"/>
    <w:rsid w:val="00224D96"/>
    <w:rsid w:val="0023052A"/>
    <w:rsid w:val="002306C7"/>
    <w:rsid w:val="00231819"/>
    <w:rsid w:val="002351E9"/>
    <w:rsid w:val="00236329"/>
    <w:rsid w:val="00241BD8"/>
    <w:rsid w:val="002422FB"/>
    <w:rsid w:val="002434B0"/>
    <w:rsid w:val="00254CA9"/>
    <w:rsid w:val="0026681D"/>
    <w:rsid w:val="00267452"/>
    <w:rsid w:val="002710B6"/>
    <w:rsid w:val="00273421"/>
    <w:rsid w:val="0027418E"/>
    <w:rsid w:val="00290DA3"/>
    <w:rsid w:val="002A13F6"/>
    <w:rsid w:val="002A3A19"/>
    <w:rsid w:val="002A6F7C"/>
    <w:rsid w:val="002B19D7"/>
    <w:rsid w:val="002C06C1"/>
    <w:rsid w:val="002C0DCF"/>
    <w:rsid w:val="002C1673"/>
    <w:rsid w:val="002C2703"/>
    <w:rsid w:val="002D0887"/>
    <w:rsid w:val="002D1867"/>
    <w:rsid w:val="002F2009"/>
    <w:rsid w:val="002F2269"/>
    <w:rsid w:val="00300924"/>
    <w:rsid w:val="00301C92"/>
    <w:rsid w:val="003025A8"/>
    <w:rsid w:val="003129B6"/>
    <w:rsid w:val="00314D6E"/>
    <w:rsid w:val="00315AB3"/>
    <w:rsid w:val="00320E57"/>
    <w:rsid w:val="003221EF"/>
    <w:rsid w:val="00322C23"/>
    <w:rsid w:val="003248A2"/>
    <w:rsid w:val="00352A51"/>
    <w:rsid w:val="0035477B"/>
    <w:rsid w:val="00355E53"/>
    <w:rsid w:val="003571A8"/>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1C7"/>
    <w:rsid w:val="00482FB6"/>
    <w:rsid w:val="00490251"/>
    <w:rsid w:val="00490CD1"/>
    <w:rsid w:val="004955E7"/>
    <w:rsid w:val="004A1225"/>
    <w:rsid w:val="004A5D8B"/>
    <w:rsid w:val="004A76C6"/>
    <w:rsid w:val="004B2FC0"/>
    <w:rsid w:val="004B7784"/>
    <w:rsid w:val="004C1B19"/>
    <w:rsid w:val="004C6392"/>
    <w:rsid w:val="004C692B"/>
    <w:rsid w:val="004D138F"/>
    <w:rsid w:val="004D3523"/>
    <w:rsid w:val="004D7668"/>
    <w:rsid w:val="004E405B"/>
    <w:rsid w:val="004F0AB6"/>
    <w:rsid w:val="004F63DB"/>
    <w:rsid w:val="005037F2"/>
    <w:rsid w:val="00505C64"/>
    <w:rsid w:val="005105EF"/>
    <w:rsid w:val="00511E87"/>
    <w:rsid w:val="0051571A"/>
    <w:rsid w:val="00522627"/>
    <w:rsid w:val="00523895"/>
    <w:rsid w:val="00526B39"/>
    <w:rsid w:val="00532EBE"/>
    <w:rsid w:val="005410AB"/>
    <w:rsid w:val="00543A44"/>
    <w:rsid w:val="00554717"/>
    <w:rsid w:val="005574DA"/>
    <w:rsid w:val="00565691"/>
    <w:rsid w:val="005706A6"/>
    <w:rsid w:val="00571BB6"/>
    <w:rsid w:val="00574B26"/>
    <w:rsid w:val="00575BA7"/>
    <w:rsid w:val="00582AA7"/>
    <w:rsid w:val="0058477C"/>
    <w:rsid w:val="0058568F"/>
    <w:rsid w:val="00597C8A"/>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3B2D"/>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4817"/>
    <w:rsid w:val="00675E42"/>
    <w:rsid w:val="00676FE4"/>
    <w:rsid w:val="00683BFB"/>
    <w:rsid w:val="006915A4"/>
    <w:rsid w:val="00692AB7"/>
    <w:rsid w:val="00692AD8"/>
    <w:rsid w:val="00693456"/>
    <w:rsid w:val="006973AC"/>
    <w:rsid w:val="006C186D"/>
    <w:rsid w:val="006C6D8E"/>
    <w:rsid w:val="006D3550"/>
    <w:rsid w:val="006D4C7C"/>
    <w:rsid w:val="006D7393"/>
    <w:rsid w:val="006E0D7A"/>
    <w:rsid w:val="006E3CE5"/>
    <w:rsid w:val="006E55E1"/>
    <w:rsid w:val="006F2E13"/>
    <w:rsid w:val="006F445D"/>
    <w:rsid w:val="006F72C6"/>
    <w:rsid w:val="006F7529"/>
    <w:rsid w:val="00703BAC"/>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7586C"/>
    <w:rsid w:val="007815FB"/>
    <w:rsid w:val="00781A37"/>
    <w:rsid w:val="00781D80"/>
    <w:rsid w:val="007850AB"/>
    <w:rsid w:val="00790AE5"/>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4468C"/>
    <w:rsid w:val="00851D13"/>
    <w:rsid w:val="008552A0"/>
    <w:rsid w:val="008651AA"/>
    <w:rsid w:val="00865492"/>
    <w:rsid w:val="00865A3C"/>
    <w:rsid w:val="00867CB4"/>
    <w:rsid w:val="008708AB"/>
    <w:rsid w:val="00870A33"/>
    <w:rsid w:val="00871962"/>
    <w:rsid w:val="008725EC"/>
    <w:rsid w:val="00874ED5"/>
    <w:rsid w:val="008837B4"/>
    <w:rsid w:val="008A4100"/>
    <w:rsid w:val="008A7288"/>
    <w:rsid w:val="008B6155"/>
    <w:rsid w:val="008C1A94"/>
    <w:rsid w:val="008C567C"/>
    <w:rsid w:val="008C5B82"/>
    <w:rsid w:val="008E297F"/>
    <w:rsid w:val="008F3908"/>
    <w:rsid w:val="008F5F02"/>
    <w:rsid w:val="009014B6"/>
    <w:rsid w:val="009041D9"/>
    <w:rsid w:val="00907439"/>
    <w:rsid w:val="00907D57"/>
    <w:rsid w:val="00911860"/>
    <w:rsid w:val="0091231C"/>
    <w:rsid w:val="00912882"/>
    <w:rsid w:val="00912895"/>
    <w:rsid w:val="00913422"/>
    <w:rsid w:val="009210DE"/>
    <w:rsid w:val="009230E4"/>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5757"/>
    <w:rsid w:val="009B7C11"/>
    <w:rsid w:val="009C12C9"/>
    <w:rsid w:val="009C1CE7"/>
    <w:rsid w:val="009D55F7"/>
    <w:rsid w:val="009E300F"/>
    <w:rsid w:val="009E34BC"/>
    <w:rsid w:val="009E38A2"/>
    <w:rsid w:val="009E697F"/>
    <w:rsid w:val="009E76BE"/>
    <w:rsid w:val="009E79BF"/>
    <w:rsid w:val="009F12DA"/>
    <w:rsid w:val="009F3FE6"/>
    <w:rsid w:val="009F53AF"/>
    <w:rsid w:val="00A00E34"/>
    <w:rsid w:val="00A02BBA"/>
    <w:rsid w:val="00A039D0"/>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139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2BE3"/>
    <w:rsid w:val="00B83D9D"/>
    <w:rsid w:val="00B84529"/>
    <w:rsid w:val="00B92FD3"/>
    <w:rsid w:val="00B954E5"/>
    <w:rsid w:val="00B96F7F"/>
    <w:rsid w:val="00BB2111"/>
    <w:rsid w:val="00BB5C09"/>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97176"/>
    <w:rsid w:val="00DA6122"/>
    <w:rsid w:val="00DB4809"/>
    <w:rsid w:val="00DB5E8F"/>
    <w:rsid w:val="00DC3E99"/>
    <w:rsid w:val="00DC5214"/>
    <w:rsid w:val="00DC7C3E"/>
    <w:rsid w:val="00DD247B"/>
    <w:rsid w:val="00DE0FE1"/>
    <w:rsid w:val="00DE30E0"/>
    <w:rsid w:val="00DE46D0"/>
    <w:rsid w:val="00DE6646"/>
    <w:rsid w:val="00E208EA"/>
    <w:rsid w:val="00E21FC7"/>
    <w:rsid w:val="00E22BCE"/>
    <w:rsid w:val="00E255BF"/>
    <w:rsid w:val="00E2590B"/>
    <w:rsid w:val="00E26355"/>
    <w:rsid w:val="00E326FF"/>
    <w:rsid w:val="00E337DC"/>
    <w:rsid w:val="00E35F55"/>
    <w:rsid w:val="00E361B0"/>
    <w:rsid w:val="00E410F0"/>
    <w:rsid w:val="00E5738D"/>
    <w:rsid w:val="00E5771C"/>
    <w:rsid w:val="00E62DB8"/>
    <w:rsid w:val="00E66517"/>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1FB7"/>
    <w:rsid w:val="00EE456B"/>
    <w:rsid w:val="00EF35BF"/>
    <w:rsid w:val="00F00C37"/>
    <w:rsid w:val="00F00C8E"/>
    <w:rsid w:val="00F01EA6"/>
    <w:rsid w:val="00F02D51"/>
    <w:rsid w:val="00F033B6"/>
    <w:rsid w:val="00F034AC"/>
    <w:rsid w:val="00F160D2"/>
    <w:rsid w:val="00F221AB"/>
    <w:rsid w:val="00F23DC0"/>
    <w:rsid w:val="00F311CD"/>
    <w:rsid w:val="00F34B26"/>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97467"/>
    <w:rsid w:val="00FA459D"/>
    <w:rsid w:val="00FB28E1"/>
    <w:rsid w:val="00FB43F9"/>
    <w:rsid w:val="00FB7206"/>
    <w:rsid w:val="00FC1255"/>
    <w:rsid w:val="00FC1D72"/>
    <w:rsid w:val="00FE0C92"/>
    <w:rsid w:val="00FE0E60"/>
    <w:rsid w:val="00FE438F"/>
    <w:rsid w:val="00FE5577"/>
    <w:rsid w:val="00FE711D"/>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nl-NL"/>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nl-NL"/>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nl-NL"/>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511E87"/>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711D"/>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FE711D"/>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71312036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37335572">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EB8B-0501-4DE5-8F72-7A3AEF962CA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10</ap:TotalTime>
  <ap:Pages>18</ap:Pages>
  <ap:Words>3528</ap:Words>
  <ap:Characters>23956</ap:Characters>
  <ap:Application>Microsoft Office Word</ap:Application>
  <ap:DocSecurity>0</ap:DocSecurity>
  <ap:Lines>199</ap:Lines>
  <ap:Paragraphs>54</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27430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5</revision>
  <lastPrinted>2020-11-04T10:23:00.0000000Z</lastPrinted>
  <dcterms:created xsi:type="dcterms:W3CDTF">2024-04-09T09:00:00.0000000Z</dcterms:created>
  <dcterms:modified xsi:type="dcterms:W3CDTF">2024-04-22T07:27:00.0000000Z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f4dc9e4e-a9a7-4614-9d61-ac6900effe05</vt:lpwstr>
  </property>
</Properties>
</file>