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463211"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4253"/>
          </w:tblGrid>
          <w:tr w:rsidRPr="00463211" w:rsidR="005B3658" w:rsidTr="00563F75" w14:paraId="3170F2D8" w14:textId="77777777">
            <w:tc>
              <w:tcPr>
                <w:tcW w:w="4253" w:type="dxa"/>
                <w:tcBorders>
                  <w:bottom w:val="single" w:color="A6A6A6" w:themeColor="background1" w:themeShade="A6" w:sz="4" w:space="0"/>
                </w:tcBorders>
                <w:shd w:val="clear" w:color="auto" w:fill="auto"/>
              </w:tcPr>
              <w:p w:rsidRPr="00463211" w:rsidR="005B3658" w:rsidP="005B3658" w:rsidRDefault="005B3658" w14:paraId="6AAE07DF" w14:textId="01D14B3C">
                <w:r w:rsidRPr="00463211">
                  <w:t>EBA/GL/2020/14</w:t>
                </w:r>
                <w:r w:rsidRPr="00563F75" w:rsidR="00563F75">
                  <w:t xml:space="preserve"> (konsolideeritud versioon)</w:t>
                </w:r>
              </w:p>
            </w:tc>
          </w:tr>
          <w:tr w:rsidRPr="00463211" w:rsidR="005B3658" w:rsidTr="00563F75" w14:paraId="70F4DBFA" w14:textId="77777777">
            <w:tc>
              <w:tcPr>
                <w:tcW w:w="4253" w:type="dxa"/>
                <w:tcBorders>
                  <w:top w:val="single" w:color="A6A6A6" w:themeColor="background1" w:themeShade="A6" w:sz="4" w:space="0"/>
                  <w:bottom w:val="single" w:color="A6A6A6" w:themeColor="background1" w:themeShade="A6" w:sz="4" w:space="0"/>
                </w:tcBorders>
                <w:shd w:val="clear" w:color="auto" w:fill="auto"/>
              </w:tcPr>
              <w:p w:rsidRPr="00463211" w:rsidR="005B3658" w:rsidP="005B3658" w:rsidRDefault="005B3658" w14:paraId="55211379" w14:textId="73FFF2EB">
                <w:r w:rsidRPr="00463211">
                  <w:rPr>
                    <w:color w:val="000000"/>
                  </w:rPr>
                  <w:t>4. november 2020</w:t>
                </w:r>
              </w:p>
            </w:tc>
          </w:tr>
        </w:tbl>
        <w:p w:rsidRPr="00463211"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463211"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A8469D" w:rsidP="00A8469D" w:rsidRDefault="00A8469D" w14:paraId="6000ED9F"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463211" w:rsidR="00B43E07" w:rsidP="00721D07" w:rsidRDefault="00A81586" w14:paraId="6E80AD78" w14:textId="13AB283F">
                <w:pPr>
                  <w:pStyle w:val="Contenttitle"/>
                </w:pPr>
                <w:r w:rsidRPr="00463211">
                  <w:t xml:space="preserve">Suunised </w:t>
                </w:r>
              </w:p>
            </w:tc>
          </w:tr>
          <w:tr w:rsidRPr="00463211" w:rsidR="00B43E07" w:rsidTr="00993B1E" w14:paraId="15A7E3AC" w14:textId="77777777">
            <w:tc>
              <w:tcPr>
                <w:tcW w:w="8781" w:type="dxa"/>
                <w:tcMar>
                  <w:left w:w="0" w:type="dxa"/>
                  <w:right w:w="0" w:type="dxa"/>
                </w:tcMar>
                <w:vAlign w:val="top"/>
              </w:tcPr>
              <w:p w:rsidRPr="00463211" w:rsidR="00B43E07" w:rsidP="00E410F0" w:rsidRDefault="00B43E07" w14:paraId="0720F01B" w14:textId="502EF582">
                <w:pPr>
                  <w:pStyle w:val="Titlelevel4"/>
                  <w:rPr>
                    <w:lang w:val="et-EE"/>
                  </w:rPr>
                </w:pPr>
                <w:r w:rsidRPr="00463211">
                  <w:rPr>
                    <w:rFonts w:asciiTheme="majorHAnsi" w:hAnsiTheme="majorHAnsi"/>
                    <w:bCs/>
                    <w:color w:val="2F5773" w:themeColor="text2"/>
                    <w:sz w:val="52"/>
                    <w:szCs w:val="52"/>
                    <w:lang w:val="et-EE"/>
                  </w:rPr>
                  <w:t>süsteemse tähtsuse näitajate täpsustamise ja avalikustamise kohta</w:t>
                </w:r>
              </w:p>
            </w:tc>
          </w:tr>
        </w:tbl>
        <w:p w:rsidRPr="00563F75" w:rsidR="00B43E07" w:rsidP="00B43E07" w:rsidRDefault="00B43E07" w14:paraId="41F2A21B" w14:textId="77777777">
          <w:pPr>
            <w:rPr>
              <w:sz w:val="52"/>
              <w:szCs w:val="52"/>
            </w:rPr>
          </w:pPr>
        </w:p>
        <w:p w:rsidRPr="00563F75" w:rsidR="00B43E07" w:rsidP="00B43E07" w:rsidRDefault="00B43E07" w14:paraId="1441AC18" w14:textId="340804C1">
          <w:pPr>
            <w:rPr>
              <w:sz w:val="52"/>
              <w:szCs w:val="52"/>
            </w:rPr>
          </w:pPr>
        </w:p>
        <w:p w:rsidRPr="00563F75" w:rsidR="00563F75" w:rsidP="00B43E07" w:rsidRDefault="00563F75" w14:paraId="32AB1F47" w14:textId="69DBC55A">
          <w:pPr>
            <w:rPr>
              <w:sz w:val="52"/>
              <w:szCs w:val="52"/>
            </w:rPr>
          </w:pPr>
        </w:p>
        <w:p w:rsidRPr="00563F75" w:rsidR="00563F75" w:rsidP="00B43E07" w:rsidRDefault="00563F75" w14:paraId="2F2EF061" w14:textId="36C8752F">
          <w:pPr>
            <w:rPr>
              <w:sz w:val="52"/>
              <w:szCs w:val="52"/>
            </w:rPr>
          </w:pPr>
        </w:p>
        <w:p w:rsidR="00563F75" w:rsidP="00B43E07" w:rsidRDefault="00563F75" w14:paraId="43444B8A" w14:textId="2E12C134"/>
        <w:tbl>
          <w:tblPr>
            <w:tblStyle w:val="EBAtable"/>
            <w:tblW w:w="9125" w:type="dxa"/>
            <w:tblLook w:val="04A0" w:firstRow="1" w:lastRow="0" w:firstColumn="1" w:lastColumn="0" w:noHBand="0" w:noVBand="1"/>
          </w:tblPr>
          <w:tblGrid>
            <w:gridCol w:w="824"/>
            <w:gridCol w:w="2190"/>
            <w:gridCol w:w="6111"/>
          </w:tblGrid>
          <w:tr w:rsidRPr="00D13DB3" w:rsidR="00563F75" w:rsidTr="005D18C0" w14:paraId="4C5E3CC4"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563F75" w:rsidP="005D18C0" w:rsidRDefault="00563F75" w14:paraId="6466A851" w14:textId="77777777">
                <w:pPr>
                  <w:spacing w:before="240" w:after="120" w:line="276" w:lineRule="auto"/>
                  <w:jc w:val="both"/>
                  <w:rPr>
                    <w:rFonts w:eastAsia="MS PGothic" w:cs="Times New Roman"/>
                    <w:lang w:eastAsia="en-GB"/>
                  </w:rPr>
                </w:pPr>
              </w:p>
              <w:p w:rsidRPr="00D13DB3" w:rsidR="00563F75" w:rsidP="005D18C0" w:rsidRDefault="00563F75" w14:paraId="515423C3" w14:textId="77777777">
                <w:pPr>
                  <w:rPr>
                    <w:rFonts w:eastAsia="MS PGothic" w:cs="Times New Roman"/>
                    <w:lang w:val="en-GB" w:eastAsia="en-GB"/>
                  </w:rPr>
                </w:pPr>
              </w:p>
            </w:tc>
            <w:tc>
              <w:tcPr>
                <w:tcW w:w="6111" w:type="dxa"/>
                <w:tcBorders>
                  <w:top w:val="single" w:color="auto" w:sz="12" w:space="0"/>
                  <w:right w:val="single" w:color="auto" w:sz="12" w:space="0"/>
                </w:tcBorders>
              </w:tcPr>
              <w:p w:rsidRPr="00563F75" w:rsidR="00563F75" w:rsidP="00563F75" w:rsidRDefault="00563F75" w14:paraId="23ECBEBE" w14:textId="7958A2E6">
                <w:pPr>
                  <w:rPr>
                    <w:rFonts w:ascii="Calibri" w:hAnsi="Calibri" w:cs="Calibri"/>
                    <w:color w:val="000000"/>
                    <w:szCs w:val="22"/>
                  </w:rPr>
                </w:pPr>
                <w:r>
                  <w:rPr>
                    <w:rFonts w:ascii="Calibri" w:hAnsi="Calibri" w:cs="Calibri"/>
                    <w:color w:val="000000"/>
                    <w:szCs w:val="22"/>
                  </w:rPr>
                  <w:t>Kohaldamise kuupäev</w:t>
                </w:r>
              </w:p>
            </w:tc>
          </w:tr>
          <w:tr w:rsidRPr="00D13DB3" w:rsidR="00563F75" w:rsidTr="005D18C0" w14:paraId="4ECF23E1" w14:textId="77777777">
            <w:trPr>
              <w:trHeight w:val="300"/>
            </w:trPr>
            <w:tc>
              <w:tcPr>
                <w:tcW w:w="3014" w:type="dxa"/>
                <w:gridSpan w:val="2"/>
                <w:tcBorders>
                  <w:left w:val="single" w:color="auto" w:sz="12" w:space="0"/>
                </w:tcBorders>
              </w:tcPr>
              <w:p w:rsidRPr="00D13DB3" w:rsidR="00563F75" w:rsidP="005D18C0" w:rsidRDefault="00563F75" w14:paraId="564DF874"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563F75" w:rsidP="005D18C0" w:rsidRDefault="00563F75" w14:paraId="08415E66"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563F75" w:rsidTr="005D18C0" w14:paraId="44A8CBFB" w14:textId="77777777">
            <w:trPr>
              <w:trHeight w:val="300"/>
            </w:trPr>
            <w:tc>
              <w:tcPr>
                <w:tcW w:w="3014" w:type="dxa"/>
                <w:gridSpan w:val="2"/>
                <w:tcBorders>
                  <w:left w:val="single" w:color="auto" w:sz="12" w:space="0"/>
                </w:tcBorders>
              </w:tcPr>
              <w:p w:rsidRPr="00563F75" w:rsidR="00563F75" w:rsidP="00563F75" w:rsidRDefault="00563F75" w14:paraId="7BA04ABF" w14:textId="612F63E2">
                <w:pPr>
                  <w:rPr>
                    <w:rFonts w:ascii="Calibri" w:hAnsi="Calibri" w:cs="Calibri"/>
                    <w:color w:val="000000"/>
                    <w:szCs w:val="22"/>
                  </w:rPr>
                </w:pPr>
                <w:r>
                  <w:rPr>
                    <w:rFonts w:ascii="Calibri" w:hAnsi="Calibri" w:cs="Calibri"/>
                    <w:color w:val="000000"/>
                    <w:szCs w:val="22"/>
                  </w:rPr>
                  <w:t>Muudetud:</w:t>
                </w:r>
              </w:p>
            </w:tc>
            <w:tc>
              <w:tcPr>
                <w:tcW w:w="6111" w:type="dxa"/>
                <w:tcBorders>
                  <w:right w:val="single" w:color="auto" w:sz="12" w:space="0"/>
                </w:tcBorders>
              </w:tcPr>
              <w:p w:rsidRPr="00D13DB3" w:rsidR="00563F75" w:rsidP="005D18C0" w:rsidRDefault="00563F75" w14:paraId="4F6083B0" w14:textId="77777777">
                <w:pPr>
                  <w:rPr>
                    <w:rFonts w:eastAsia="MS PGothic" w:cs="Times New Roman"/>
                    <w:lang w:val="en-GB" w:eastAsia="en-GB"/>
                  </w:rPr>
                </w:pPr>
              </w:p>
            </w:tc>
          </w:tr>
          <w:tr w:rsidRPr="00D13DB3" w:rsidR="00563F75" w:rsidTr="005D18C0" w14:paraId="1650FA8D" w14:textId="77777777">
            <w:trPr>
              <w:trHeight w:val="58"/>
            </w:trPr>
            <w:tc>
              <w:tcPr>
                <w:tcW w:w="824" w:type="dxa"/>
                <w:tcBorders>
                  <w:left w:val="single" w:color="auto" w:sz="12" w:space="0"/>
                  <w:bottom w:val="single" w:color="auto" w:sz="12" w:space="0"/>
                </w:tcBorders>
              </w:tcPr>
              <w:p w:rsidRPr="00D13DB3" w:rsidR="00563F75" w:rsidP="005D18C0" w:rsidRDefault="00563F75" w14:paraId="1AA63C3F"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563F75" w:rsidP="005D18C0" w:rsidRDefault="00563F75" w14:paraId="7661EB1D"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563F75" w:rsidP="005D18C0" w:rsidRDefault="00563F75" w14:paraId="2585BA83" w14:textId="77777777">
                <w:pPr>
                  <w:rPr>
                    <w:rFonts w:eastAsia="MS PGothic" w:cs="Times New Roman"/>
                    <w:lang w:val="en-GB" w:eastAsia="en-GB"/>
                  </w:rPr>
                </w:pPr>
              </w:p>
            </w:tc>
          </w:tr>
        </w:tbl>
        <w:p w:rsidRPr="00463211" w:rsidR="00563F75" w:rsidP="00B43E07" w:rsidRDefault="00563F75" w14:paraId="208ABA17" w14:textId="77777777"/>
        <w:p w:rsidRPr="00463211" w:rsidR="00B43E07" w:rsidP="00B43E07" w:rsidRDefault="00B43E07" w14:paraId="3673D6BB" w14:textId="77777777">
          <w:r w:rsidRPr="00463211">
            <w:br w:type="page"/>
          </w:r>
        </w:p>
      </w:sdtContent>
    </w:sdt>
    <w:p w:rsidRPr="00463211" w:rsidR="00B43E07" w:rsidP="00CE3517" w:rsidRDefault="00B43E07" w14:paraId="72D6F5BF" w14:textId="77777777">
      <w:pPr>
        <w:pStyle w:val="Numberedtilelevel1"/>
        <w:numPr>
          <w:ilvl w:val="0"/>
          <w:numId w:val="34"/>
        </w:numPr>
      </w:pPr>
      <w:r w:rsidRPr="00463211">
        <w:lastRenderedPageBreak/>
        <w:t>Järgimis- ja teatamiskohustused</w:t>
      </w:r>
    </w:p>
    <w:p w:rsidRPr="00463211" w:rsidR="00B43E07" w:rsidP="00B43E07" w:rsidRDefault="00B43E07" w14:paraId="3B9E826E" w14:textId="5EE3EC56">
      <w:pPr>
        <w:pStyle w:val="Titlelevel2"/>
      </w:pPr>
      <w:r w:rsidRPr="00463211">
        <w:t>Suuniste staatus</w:t>
      </w:r>
    </w:p>
    <w:p w:rsidRPr="00463211" w:rsidR="00B43E07" w:rsidP="00B43E07" w:rsidRDefault="00B43E07" w14:paraId="4AFE96B1" w14:textId="13B187BE">
      <w:pPr>
        <w:pStyle w:val="body"/>
        <w:numPr>
          <w:ilvl w:val="0"/>
          <w:numId w:val="28"/>
        </w:numPr>
      </w:pPr>
      <w:r w:rsidRPr="00463211">
        <w:t>Käesolev dokument sisaldab määruse (EL) nr 1093/2010</w:t>
      </w:r>
      <w:r w:rsidRPr="00463211">
        <w:rPr>
          <w:rStyle w:val="FootnoteReference"/>
          <w:lang w:val="en-GB"/>
        </w:rPr>
        <w:footnoteReference w:id="2"/>
      </w:r>
      <w:r w:rsidRPr="00463211">
        <w:t xml:space="preserve"> artikli 16 kohaselt väljastatud suuniseid. Määruse (EL) nr 1093/2010 artikli 16 lõike 3 kohaselt peavad pädevad asutused ja finantseerimisasutused võtma mis tahes meetmeid, et suuniseid järgida.</w:t>
      </w:r>
    </w:p>
    <w:p w:rsidRPr="00463211" w:rsidR="00B43E07" w:rsidP="00B43E07" w:rsidRDefault="00B43E07" w14:paraId="23E7F140" w14:textId="591D7378">
      <w:pPr>
        <w:pStyle w:val="body"/>
        <w:numPr>
          <w:ilvl w:val="0"/>
          <w:numId w:val="28"/>
        </w:numPr>
      </w:pPr>
      <w:r w:rsidRPr="00463211">
        <w:t>Suunistes esitatakse Euroopa Pangandusjärelevalve seisukoht nõuetekohase järelevalvetava kohta Euroopa Finantsjärelevalve Süsteemis ehk kuidas tuleks liidu õigust konkreetses valdkonnas kohaldada. Määruse (EL) nr 1093/2010 artikli 4 punktis 2 määratletud pädevad asutused, kelle suhtes suuniseid kohaldatakse, peaksid neid järgima, kaasates need sobival viisil oma tavadesse (nt muutes oma õigusraamistikku või järelevalveprotsesse) ka siis, kui suunised on ette nähtud eelkõige finantseerimisasutustele.</w:t>
      </w:r>
    </w:p>
    <w:p w:rsidRPr="00463211" w:rsidR="00B43E07" w:rsidP="00B43E07" w:rsidRDefault="00B43E07" w14:paraId="141EDBC6" w14:textId="77777777">
      <w:pPr>
        <w:pStyle w:val="Titlelevel2"/>
      </w:pPr>
      <w:r w:rsidRPr="00463211">
        <w:t>Teatamiskohustus</w:t>
      </w:r>
    </w:p>
    <w:p w:rsidRPr="00463211" w:rsidR="00B43E07" w:rsidP="00B43E07" w:rsidRDefault="00236329" w14:paraId="7EE20541" w14:textId="1A000029">
      <w:pPr>
        <w:pStyle w:val="body"/>
        <w:numPr>
          <w:ilvl w:val="0"/>
          <w:numId w:val="28"/>
        </w:numPr>
      </w:pPr>
      <w:r w:rsidRPr="00463211">
        <w:t>Määruse (EL) nr 1093/2010 artikli 16 lõike 3 kohaselt peavad pädevad asutused teatama EBA</w:t>
      </w:r>
      <w:r w:rsidRPr="00463211" w:rsidR="005F093F">
        <w:noBreakHyphen/>
      </w:r>
      <w:r w:rsidRPr="00463211">
        <w:t>le hiljemalt</w:t>
      </w:r>
      <w:r w:rsidR="000C6424">
        <w:t xml:space="preserve"> 16.02.2021</w:t>
      </w:r>
      <w:r w:rsidRPr="00463211">
        <w:t>, kas nad järgivad või kavatsevad järgida kõnealuseid suuniseid, või vastasel juhul mittejärgimise põhjused. Kui selleks tähtajaks teadet ei saada, peab EBA pädevat asutust nõudeid mitte täitvaks. Teated tuleks saata EBA veebilehel avaldatud vormil, märkides viite EBA/GL/2020/14. Teate peaksid saatma isikud, kes on asjakohaselt volitatud esitama oma pädeva asutuse nimel nõuete järgimise teateid. Nõuete järgimise staatuse mis tahes muutusest tuleb EBA-le teatada.</w:t>
      </w:r>
    </w:p>
    <w:p w:rsidRPr="00463211" w:rsidR="00B43E07" w:rsidP="00B43E07" w:rsidRDefault="00B43E07" w14:paraId="3FF09602" w14:textId="563622BD">
      <w:pPr>
        <w:pStyle w:val="body"/>
        <w:numPr>
          <w:ilvl w:val="0"/>
          <w:numId w:val="28"/>
        </w:numPr>
      </w:pPr>
      <w:r w:rsidRPr="00463211">
        <w:t>Kooskõlas määruse nr 1093/2010 artikli 16 lõikega 3 avaldatakse teated EBA veebilehel.</w:t>
      </w:r>
    </w:p>
    <w:p w:rsidRPr="00463211" w:rsidR="00B43E07" w:rsidP="00B43E07" w:rsidRDefault="00B43E07" w14:paraId="0BB7AD43" w14:textId="77777777">
      <w:pPr>
        <w:pStyle w:val="Titlelevel2"/>
      </w:pPr>
      <w:r w:rsidRPr="00463211">
        <w:br w:type="page"/>
      </w:r>
    </w:p>
    <w:p w:rsidRPr="00463211" w:rsidR="00B43E07" w:rsidP="00CE3517" w:rsidRDefault="00B43E07" w14:paraId="207E9159" w14:textId="77777777">
      <w:pPr>
        <w:pStyle w:val="Numberedtilelevel1"/>
      </w:pPr>
      <w:r w:rsidRPr="00463211">
        <w:lastRenderedPageBreak/>
        <w:t>Sisu, kohaldamisala ja mõisted</w:t>
      </w:r>
    </w:p>
    <w:p w:rsidRPr="00463211" w:rsidR="00B43E07" w:rsidP="00B43E07" w:rsidRDefault="00B43E07" w14:paraId="329ACB0A" w14:textId="77777777">
      <w:pPr>
        <w:pStyle w:val="Titlelevel2"/>
      </w:pPr>
      <w:r w:rsidRPr="00463211">
        <w:t>Sisu</w:t>
      </w:r>
    </w:p>
    <w:p w:rsidRPr="00463211" w:rsidR="00DE0FE1" w:rsidP="00DE0FE1" w:rsidRDefault="00DE0FE1" w14:paraId="667A5E79" w14:textId="75DF9FF9">
      <w:pPr>
        <w:pStyle w:val="body"/>
        <w:numPr>
          <w:ilvl w:val="0"/>
          <w:numId w:val="28"/>
        </w:numPr>
      </w:pPr>
      <w:r w:rsidRPr="00463211">
        <w:t>Käesolevates suunistes käsitletakse järgmist:</w:t>
      </w:r>
    </w:p>
    <w:p w:rsidRPr="00463211" w:rsidR="00DE0FE1" w:rsidP="00DE0FE1" w:rsidRDefault="00DE0FE1" w14:paraId="7F872996" w14:textId="66C1655D">
      <w:pPr>
        <w:pStyle w:val="body"/>
        <w:numPr>
          <w:ilvl w:val="1"/>
          <w:numId w:val="35"/>
        </w:numPr>
      </w:pPr>
      <w:r w:rsidRPr="00463211">
        <w:t>määruses (EL) nr 1222/2014 sätestatud globaalsete süsteemselt oluliste ettevõtjate kindlaksmääramiseks kasutatavate näitajate (edaspidi „näitajad“) täpsustamine ning</w:t>
      </w:r>
    </w:p>
    <w:p w:rsidRPr="00463211" w:rsidR="00B43E07" w:rsidP="00DE0FE1" w:rsidRDefault="00DE0FE1" w14:paraId="776C11F3" w14:textId="58E74370">
      <w:pPr>
        <w:pStyle w:val="body"/>
        <w:numPr>
          <w:ilvl w:val="1"/>
          <w:numId w:val="35"/>
        </w:numPr>
      </w:pPr>
      <w:r w:rsidRPr="00463211">
        <w:t>alusandmete (näitajad, lisaandmed ja memokirjed) esitamine ja globaalsete süsteemselt oluliste ettevõtjate kindlaksmääramiseks kasutatavate näitajate väärtuste iga-aastane avaldamine nende andmete alusel.</w:t>
      </w:r>
    </w:p>
    <w:p w:rsidRPr="00463211" w:rsidR="00B43E07" w:rsidP="00B43E07" w:rsidRDefault="00B43E07" w14:paraId="07F996E2" w14:textId="77777777">
      <w:pPr>
        <w:pStyle w:val="Titlelevel2"/>
      </w:pPr>
      <w:r w:rsidRPr="00463211">
        <w:t>Kohaldamisala</w:t>
      </w:r>
    </w:p>
    <w:p w:rsidRPr="00463211" w:rsidR="00DE0FE1" w:rsidP="00B43E07" w:rsidRDefault="00B43E07" w14:paraId="71B629CF" w14:textId="05197A71">
      <w:pPr>
        <w:pStyle w:val="body"/>
        <w:numPr>
          <w:ilvl w:val="0"/>
          <w:numId w:val="28"/>
        </w:numPr>
      </w:pPr>
      <w:r w:rsidRPr="00463211">
        <w:t>Käesolevaid suuniseid kohaldatakse järgmistele asutustele:</w:t>
      </w:r>
    </w:p>
    <w:p w:rsidRPr="00463211" w:rsidR="00DE0FE1" w:rsidP="00DE0FE1" w:rsidRDefault="000F3C24" w14:paraId="73EAD676" w14:textId="3B02E1D2">
      <w:pPr>
        <w:pStyle w:val="body"/>
        <w:numPr>
          <w:ilvl w:val="0"/>
          <w:numId w:val="36"/>
        </w:numPr>
      </w:pPr>
      <w:r w:rsidRPr="00463211">
        <w:t xml:space="preserve">kontsernid, mida juhib ELis emaettevõtjana tegutsev </w:t>
      </w:r>
      <w:r w:rsidRPr="006A62DE">
        <w:t>krediidiasutus</w:t>
      </w:r>
      <w:r w:rsidR="00F30766">
        <w:t xml:space="preserve"> või investeerimisühing</w:t>
      </w:r>
      <w:r w:rsidRPr="00463211">
        <w:t>, ELis emaettevõtjana tegutsev finantsvaldusettevõtja või ELis emaettevõtjana tegutsev segafinantsvaldusettevõtja, ning</w:t>
      </w:r>
    </w:p>
    <w:p w:rsidRPr="00463211" w:rsidR="00B43E07" w:rsidP="00DE0FE1" w:rsidRDefault="00F30766" w14:paraId="0D1E1C78" w14:textId="417D7700">
      <w:pPr>
        <w:pStyle w:val="body"/>
        <w:numPr>
          <w:ilvl w:val="0"/>
          <w:numId w:val="36"/>
        </w:numPr>
      </w:pPr>
      <w:r>
        <w:t>krediidiasutused ja investeerimisühingud</w:t>
      </w:r>
      <w:r w:rsidRPr="00463211" w:rsidR="00DE0FE1">
        <w:t xml:space="preserve">, mis ei ole ELis emaettevõtjana tegutseva </w:t>
      </w:r>
      <w:r w:rsidRPr="006A62DE" w:rsidR="00DE0FE1">
        <w:t>krediidiasutuse</w:t>
      </w:r>
      <w:r>
        <w:t xml:space="preserve"> või investeerimisühingu</w:t>
      </w:r>
      <w:r w:rsidRPr="00463211" w:rsidR="00DE0FE1">
        <w:t>, ELis emaettevõtjana tegutseva finantsvaldusettevõtja või ELis emaettevõtjana tegutseva segafinantsvaldusettevõtja tütarettevõtjad,</w:t>
      </w:r>
    </w:p>
    <w:p w:rsidRPr="00463211" w:rsidR="00B43E07" w:rsidP="00DE0FE1" w:rsidRDefault="003A2221" w14:paraId="5736DC31" w14:textId="54A8D23B">
      <w:pPr>
        <w:pStyle w:val="body"/>
      </w:pPr>
      <w:r w:rsidRPr="00463211">
        <w:t>kes kasutavad vastavalt konsolideeritult või individuaalselt (koos kindlustusvaldkonnas tegutsevate tütarettevõtjatega) enam kui 200 miljardi euro suurust finantsvõimenduse määra riskipositsiooni näitajat, milles võetakse arvesse majandusaasta lõpus kehtivat Euroopa Keskpanga avaldatud viitekurssi ja rahvusvahelisi standardeid (edaspidi „asjaomased üksused“).</w:t>
      </w:r>
    </w:p>
    <w:p w:rsidRPr="00463211" w:rsidR="00B43E07" w:rsidP="00B43E07" w:rsidRDefault="00B43E07" w14:paraId="6EAA3145" w14:textId="77777777">
      <w:pPr>
        <w:pStyle w:val="Titlelevel2"/>
      </w:pPr>
      <w:r w:rsidRPr="00463211">
        <w:t>Adressaadid</w:t>
      </w:r>
    </w:p>
    <w:p w:rsidRPr="00463211" w:rsidR="00B43E07" w:rsidP="00DE0FE1" w:rsidRDefault="00DE0FE1" w14:paraId="12310C5F" w14:textId="42F50B99">
      <w:pPr>
        <w:pStyle w:val="body"/>
        <w:numPr>
          <w:ilvl w:val="0"/>
          <w:numId w:val="28"/>
        </w:numPr>
      </w:pPr>
      <w:r w:rsidRPr="00463211">
        <w:t>Käesolevad suunised on adresseeritud määruse (EL) nr 1093/2010 artikli 4 punkti 2 alapunktis i määratletud pädevatele asutustele ja finantseerimisasutustele, kellele neid suuniseid kohaldatakse. Suuniseid võiksid kohaldada ka direktiivi 2013/36/EL artikli 131 lõikes 1 osutatud määratud asutused, mis ei ole pädevad asutused. Käesolevates suunistes osutatakse nii pädevatele kui ka määratud asutustele kui „asjaomastele asutustele“.</w:t>
      </w:r>
    </w:p>
    <w:p w:rsidRPr="00463211" w:rsidR="00DE0FE1" w:rsidP="00DE0FE1" w:rsidRDefault="00DE0FE1" w14:paraId="52A8B3D5" w14:textId="77777777">
      <w:pPr>
        <w:pStyle w:val="ListParagraph"/>
        <w:numPr>
          <w:ilvl w:val="0"/>
          <w:numId w:val="28"/>
        </w:numPr>
      </w:pPr>
      <w:r w:rsidRPr="00463211">
        <w:br w:type="page"/>
      </w:r>
    </w:p>
    <w:p w:rsidRPr="00463211" w:rsidR="00B43E07" w:rsidP="00CE3517" w:rsidRDefault="00B43E07" w14:paraId="25D099DB" w14:textId="77777777">
      <w:pPr>
        <w:pStyle w:val="Numberedtilelevel1"/>
      </w:pPr>
      <w:r w:rsidRPr="00463211">
        <w:lastRenderedPageBreak/>
        <w:t>Rakendamine</w:t>
      </w:r>
    </w:p>
    <w:p w:rsidRPr="00463211" w:rsidR="00B43E07" w:rsidP="00B43E07" w:rsidRDefault="00B43E07" w14:paraId="4EAB2FB0" w14:textId="77777777">
      <w:pPr>
        <w:pStyle w:val="Titlelevel2"/>
      </w:pPr>
      <w:r w:rsidRPr="00463211">
        <w:t>Kohaldamiskuupäev</w:t>
      </w:r>
    </w:p>
    <w:p w:rsidRPr="00463211" w:rsidR="00B43E07" w:rsidP="00DE0FE1" w:rsidRDefault="00DE0FE1" w14:paraId="18515792" w14:textId="401131B2">
      <w:pPr>
        <w:pStyle w:val="body"/>
        <w:numPr>
          <w:ilvl w:val="0"/>
          <w:numId w:val="38"/>
        </w:numPr>
      </w:pPr>
      <w:r w:rsidRPr="00463211">
        <w:t>Suuniseid kohaldatakse alates</w:t>
      </w:r>
      <w:r w:rsidR="000C6424">
        <w:t xml:space="preserve"> 16.12.2020.</w:t>
      </w:r>
    </w:p>
    <w:p w:rsidRPr="00463211" w:rsidR="00B43E07" w:rsidP="00B43E07" w:rsidRDefault="00B43E07" w14:paraId="4AB150AF" w14:textId="64BC8239">
      <w:pPr>
        <w:pStyle w:val="Titlelevel2"/>
      </w:pPr>
      <w:r w:rsidRPr="00463211">
        <w:t>Kehtetuks tunnistamine</w:t>
      </w:r>
    </w:p>
    <w:p w:rsidRPr="00463211" w:rsidR="00B43E07" w:rsidP="00A41338" w:rsidRDefault="00BD1538" w14:paraId="0F71334D" w14:textId="4DCAC658">
      <w:r w:rsidRPr="00463211">
        <w:t>Käesolevaga tunnistatakse kehtestuks 29. veebruari 2016. aasta läbivaadatud suunised globaalsete süsteemselt oluliste näitajate edasise täpsustamise ja avalikustamise kohta (EBA/GL/2016/01).</w:t>
      </w:r>
    </w:p>
    <w:p w:rsidRPr="00463211" w:rsidR="00BD1538" w:rsidP="00B43E07" w:rsidRDefault="00BD1538" w14:paraId="30F30A96" w14:textId="77777777">
      <w:pPr>
        <w:pStyle w:val="body"/>
        <w:sectPr w:rsidRPr="00463211" w:rsidR="00BD1538" w:rsidSect="00B8502F">
          <w:headerReference w:type="even" r:id="rId8"/>
          <w:headerReference w:type="default" r:id="rId9"/>
          <w:footerReference w:type="even" r:id="rId10"/>
          <w:footerReference w:type="default" r:id="rId11"/>
          <w:headerReference w:type="first" r:id="rId12"/>
          <w:pgSz w:w="11900" w:h="16840"/>
          <w:pgMar w:top="2268" w:right="1418" w:bottom="1134" w:left="1701" w:header="709" w:footer="737" w:gutter="0"/>
          <w:cols w:space="708"/>
          <w:docGrid w:linePitch="299"/>
        </w:sectPr>
      </w:pPr>
    </w:p>
    <w:p w:rsidRPr="00463211" w:rsidR="00B43E07" w:rsidP="00BD1538" w:rsidRDefault="00BD1538" w14:paraId="4D344DEC" w14:textId="3CE1317D">
      <w:pPr>
        <w:pStyle w:val="Numberedtilelevel1"/>
        <w:jc w:val="both"/>
      </w:pPr>
      <w:r w:rsidRPr="00463211">
        <w:lastRenderedPageBreak/>
        <w:t>Globaalsete süsteemselt oluliste ettevõtjate kindlaksmääramiseks kasutatavate alusandmete ja näitajate täpsustamine</w:t>
      </w:r>
    </w:p>
    <w:p w:rsidR="009955A2" w:rsidP="009955A2" w:rsidRDefault="009955A2" w14:paraId="412A1A2C" w14:textId="073ACEB3">
      <w:pPr>
        <w:pStyle w:val="body"/>
        <w:rPr>
          <w:iCs/>
        </w:rPr>
      </w:pPr>
      <w:r w:rsidRPr="007B541C">
        <w:rPr>
          <w:spacing w:val="-1"/>
          <w:highlight w:val="green"/>
        </w:rPr>
        <w:sym w:font="Wingdings" w:char="F0DA"/>
      </w:r>
      <w:r w:rsidRPr="007B541C">
        <w:rPr>
          <w:spacing w:val="-1"/>
          <w:highlight w:val="green"/>
        </w:rPr>
        <w:t>A1</w:t>
      </w:r>
    </w:p>
    <w:p w:rsidRPr="008609BB" w:rsidR="00B43E07" w:rsidP="00BD1538" w:rsidRDefault="008609BB" w14:paraId="50643877" w14:textId="6DBB2FEA">
      <w:pPr>
        <w:pStyle w:val="body"/>
        <w:numPr>
          <w:ilvl w:val="0"/>
          <w:numId w:val="38"/>
        </w:numPr>
        <w:rPr>
          <w:iCs/>
        </w:rPr>
      </w:pPr>
      <w:r w:rsidRPr="008609BB">
        <w:rPr>
          <w:iCs/>
        </w:rPr>
        <w:t>Asjaomased asutused ja asjaomased üksused peaksid järgima lisas loetletud andmekirjete juhiseid ja spetsifikatsioone, nagu on esitatud EBA veebisaidil globaalsete süsteemselt oluliste ettevõtjate jaotises oleval lingil „Aruandlusjuhised“</w:t>
      </w:r>
      <w:r w:rsidRPr="008609BB">
        <w:rPr>
          <w:rStyle w:val="FootnoteReference"/>
          <w:iCs/>
        </w:rPr>
        <w:footnoteReference w:id="3"/>
      </w:r>
      <w:r w:rsidRPr="008609BB">
        <w:rPr>
          <w:iCs/>
        </w:rPr>
        <w:t>.</w:t>
      </w:r>
    </w:p>
    <w:p w:rsidR="00B43E07" w:rsidP="00BD1538" w:rsidRDefault="008609BB" w14:paraId="2FD6FE4E" w14:textId="21616C42">
      <w:pPr>
        <w:pStyle w:val="body"/>
        <w:numPr>
          <w:ilvl w:val="0"/>
          <w:numId w:val="38"/>
        </w:numPr>
        <w:rPr>
          <w:iCs/>
        </w:rPr>
      </w:pPr>
      <w:r w:rsidRPr="008609BB">
        <w:rPr>
          <w:iCs/>
        </w:rPr>
        <w:t>Oma järelevalveotsuse põhjendamiseks peaksid asjaomased asutused kasutama lisaandmeid (käesolevate suuniste lisa 15. ja 16. jagu) kooskõlas direktiivi 2013/36/EL artikli 131 lõikega 10 ja memokirjeid (lisa 17.–22. jagu), et parandada andmete kvaliteeti ja aidata kindlaksmääramise metoodikat tulevikus täiustada. Kui see on asjakohane, tuleks memokirjetele lisada asjaomaste üksuste üksikasjalikud kommentaarid andmete kvaliteedi ja kättesaadavuse kohta.</w:t>
      </w:r>
    </w:p>
    <w:p w:rsidRPr="00463211" w:rsidR="00BD1538" w:rsidP="008609BB" w:rsidRDefault="008609BB" w14:paraId="6A6FBBAE" w14:textId="541BA46B">
      <w:pPr>
        <w:pStyle w:val="body"/>
        <w:ind w:left="284" w:right="-8" w:hanging="284"/>
        <w:rPr>
          <w:highlight w:val="yellow"/>
        </w:rPr>
      </w:pPr>
      <w:r w:rsidRPr="008609BB">
        <w:rPr>
          <w:iCs/>
        </w:rPr>
        <w:t>10a. Vastavalt direktiivi 2013/36/EL artikli 131 lõikele 2a, millega nõutakse täiendava kindlaksmääramise metoodikat, mis välistab piiriülese tegevuse ühtse kriisilahenduskorra raames, ning Baseli komitee 31. mai 2022. aasta rahvusvahelisele kokkuleppele, et tunnustada Euroopa pangandusliidu arendamisel tehtud edusamme, tuleks ühtses kriisilahenduskorras osalevates liikmesriikides asuvate finantseerimisasutuste korrigeeritud jurisdiktsiooniüleste näitajate arvutamiseks asjakohaseid andmekirjeid käsitada jurisdiktsiooniüleste tegevusnäitajate osana ja sellistena avalikustatavatena vastavalt lõikele 12, mitte globaalse süsteemselt olulise ettevõtja kindlaksmääramise ja alamkategooriate jaotamise metoodika lisa- või memokirjetena.</w:t>
      </w:r>
    </w:p>
    <w:p w:rsidRPr="00463211" w:rsidR="00BD1538" w:rsidP="00505C64" w:rsidRDefault="00BD1538" w14:paraId="2DFFA9BA" w14:textId="77777777">
      <w:pPr>
        <w:pStyle w:val="Titlelevel2"/>
        <w:sectPr w:rsidRPr="00463211" w:rsidR="00BD1538" w:rsidSect="000F33D3">
          <w:pgSz w:w="11900" w:h="16840"/>
          <w:pgMar w:top="2268" w:right="1418" w:bottom="1134" w:left="1701" w:header="709" w:footer="709" w:gutter="0"/>
          <w:cols w:space="708"/>
          <w:docGrid w:linePitch="299"/>
        </w:sectPr>
      </w:pPr>
    </w:p>
    <w:p w:rsidRPr="00463211" w:rsidR="00B43E07" w:rsidP="00BD1538" w:rsidRDefault="00BD1538" w14:paraId="6CDBC73A" w14:textId="63126AA5">
      <w:pPr>
        <w:pStyle w:val="Numberedtilelevel1"/>
        <w:jc w:val="both"/>
      </w:pPr>
      <w:r w:rsidRPr="00463211">
        <w:lastRenderedPageBreak/>
        <w:t>Asjaomaste finantseerimisasutuste poolsele andmete esitamisele ja avalikustamisele kohaldatavad nõuded</w:t>
      </w:r>
    </w:p>
    <w:p w:rsidRPr="008609BB" w:rsidR="0007574B" w:rsidP="0007574B" w:rsidRDefault="008609BB" w14:paraId="107B3895" w14:textId="14A9AF8D">
      <w:pPr>
        <w:pStyle w:val="body"/>
        <w:numPr>
          <w:ilvl w:val="0"/>
          <w:numId w:val="38"/>
        </w:numPr>
        <w:rPr>
          <w:iCs/>
        </w:rPr>
      </w:pPr>
      <w:r w:rsidRPr="008609BB">
        <w:rPr>
          <w:iCs/>
        </w:rPr>
        <w:t>Asjaomased asutused peaksid tagama, et nad koguvad kõigilt üksustelt, mis vastavad käesolevate suuniste lõikes 6 nimetatud kriteeriumidele, iga aasta 31. detsembril kõik suuniste lisas täpsustatud andmed.</w:t>
      </w:r>
    </w:p>
    <w:p w:rsidR="0007574B" w:rsidP="0007574B" w:rsidRDefault="008609BB" w14:paraId="623657F6" w14:textId="28BE5C80">
      <w:pPr>
        <w:pStyle w:val="body"/>
        <w:numPr>
          <w:ilvl w:val="0"/>
          <w:numId w:val="38"/>
        </w:numPr>
        <w:rPr>
          <w:iCs/>
        </w:rPr>
      </w:pPr>
      <w:r w:rsidRPr="008609BB">
        <w:rPr>
          <w:iCs/>
        </w:rPr>
        <w:t>Asjaomased asutused peaksid tagama, et asjaomased üksused avalikustavad igal aastal oma veebilehtedel käesolevate suuniste lisa 1.–14. jaos kindlaksmääratud näitajate väärtused ning juhul, kui on vaja ühtse kriisilahenduskorra täiendava kindlaksmääramise metoodikat, 21. jao punktid e, f ja g ning kõik muud 21. jao kirjed, mis viitavad ühtse kriisilahenduskorra jurisdiktsiooniülesele tegevusele, mida asjaomane asutus võib pidada sellise metoodika arvutamisel asjakohaseks</w:t>
      </w:r>
      <w:r w:rsidRPr="008609BB" w:rsidR="003A2221">
        <w:rPr>
          <w:iCs/>
        </w:rPr>
        <w:t>.</w:t>
      </w:r>
    </w:p>
    <w:p w:rsidRPr="008609BB" w:rsidR="009955A2" w:rsidP="009955A2" w:rsidRDefault="009955A2" w14:paraId="29EF55C5" w14:textId="38ADE435">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07574B" w:rsidRDefault="0007574B" w14:paraId="59D95C2C" w14:textId="128D9524">
      <w:pPr>
        <w:pStyle w:val="body"/>
        <w:numPr>
          <w:ilvl w:val="0"/>
          <w:numId w:val="38"/>
        </w:numPr>
      </w:pPr>
      <w:r w:rsidRPr="00463211">
        <w:t>Asjaomased üksused peaksid punktides 11–12 nimetatud teabe esitamisel ja avalikustamisel kasutama EBA veebilehel avaldatud elektroonilist vormi ja iga-aastaseid juhiseid.</w:t>
      </w:r>
    </w:p>
    <w:p w:rsidRPr="00463211" w:rsidR="009955A2" w:rsidP="009955A2" w:rsidRDefault="009955A2" w14:paraId="5C9F4E9B" w14:textId="669789EA">
      <w:pPr>
        <w:pStyle w:val="body"/>
      </w:pPr>
      <w:r w:rsidRPr="007B541C">
        <w:rPr>
          <w:spacing w:val="-1"/>
          <w:highlight w:val="green"/>
        </w:rPr>
        <w:sym w:font="Wingdings" w:char="F0DA"/>
      </w:r>
      <w:r w:rsidRPr="007B541C">
        <w:rPr>
          <w:spacing w:val="-1"/>
          <w:highlight w:val="green"/>
        </w:rPr>
        <w:t>A1</w:t>
      </w:r>
    </w:p>
    <w:p w:rsidR="006C6D8E" w:rsidP="0007574B" w:rsidRDefault="008609BB" w14:paraId="5F511C1E" w14:textId="7EF78771">
      <w:pPr>
        <w:pStyle w:val="body"/>
        <w:numPr>
          <w:ilvl w:val="0"/>
          <w:numId w:val="38"/>
        </w:numPr>
        <w:rPr>
          <w:iCs/>
        </w:rPr>
      </w:pPr>
      <w:r w:rsidRPr="008609BB">
        <w:rPr>
          <w:iCs/>
        </w:rPr>
        <w:t>Asjaomased üksused peaksid esitama lõikes 11 osutatud teabe asjaomastele asutustele ja avalikustama lõikes 12 osutatud teabe kord aastas hiljemalt neli kuud pärast iga majandusaasta lõpu kuupäeva alates teisest järjestikusest majandusaasta lõpu kuupäevast, mil käesolevate suuniste lõikes 6 sätestatud künnis on ületatud. Asjaomased üksused peaksid end seejuures juriidilise isiku tunnuse (LEI) abil identifitseerima</w:t>
      </w:r>
      <w:r w:rsidRPr="008609BB" w:rsidR="0007574B">
        <w:rPr>
          <w:iCs/>
        </w:rPr>
        <w:t>.</w:t>
      </w:r>
    </w:p>
    <w:p w:rsidRPr="008609BB" w:rsidR="009955A2" w:rsidP="009955A2" w:rsidRDefault="009955A2" w14:paraId="791403EA" w14:textId="585E5FFC">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463211" w:rsidR="0007574B" w:rsidP="0007574B" w:rsidRDefault="003A2221" w14:paraId="02B1DBBB" w14:textId="3F5D8863">
      <w:pPr>
        <w:pStyle w:val="body"/>
        <w:numPr>
          <w:ilvl w:val="0"/>
          <w:numId w:val="38"/>
        </w:numPr>
      </w:pPr>
      <w:r w:rsidRPr="00463211">
        <w:t>Asjaomased asutused võivad lubada asjaomastel üksustel, mille majandusaasta ei lõpe 31.</w:t>
      </w:r>
      <w:r w:rsidRPr="00463211" w:rsidR="005F093F">
        <w:t> </w:t>
      </w:r>
      <w:r w:rsidRPr="00463211">
        <w:t>detsembril, selle teabe esitada ja avalikustada oma seisundist lähtuvalt 31. detsembrile lähimal ajal. Igal juhul tuleks teave avalikustada hiljemalt 31. juulil.</w:t>
      </w:r>
      <w:r w:rsidR="00EA59CE">
        <w:t xml:space="preserve"> </w:t>
      </w:r>
    </w:p>
    <w:p w:rsidRPr="00463211" w:rsidR="00B43E07" w:rsidP="00B43E07" w:rsidRDefault="003A2221" w14:paraId="0BE8B0EA" w14:textId="3AD888C3">
      <w:pPr>
        <w:pStyle w:val="body"/>
        <w:numPr>
          <w:ilvl w:val="0"/>
          <w:numId w:val="38"/>
        </w:numPr>
      </w:pPr>
      <w:r w:rsidRPr="00463211">
        <w:t>Kui see on asjakohane, peaksid asjaomased asutused tagama, et esitatud ja avalikustatud andmed on identsed Baseli pangajärelevalve komiteele esitatud andmetega.</w:t>
      </w:r>
    </w:p>
    <w:p w:rsidRPr="00463211" w:rsidR="006C6D8E" w:rsidP="006C6D8E" w:rsidRDefault="006C6D8E" w14:paraId="304AED26" w14:textId="0684F911">
      <w:pPr>
        <w:pStyle w:val="body"/>
      </w:pPr>
    </w:p>
    <w:p w:rsidRPr="00463211" w:rsidR="006C6D8E" w:rsidP="006C6D8E" w:rsidRDefault="006C6D8E" w14:paraId="3653C3DD" w14:textId="77777777">
      <w:pPr>
        <w:pStyle w:val="body"/>
        <w:sectPr w:rsidRPr="00463211" w:rsidR="006C6D8E" w:rsidSect="000F33D3">
          <w:pgSz w:w="11900" w:h="16840"/>
          <w:pgMar w:top="2268" w:right="1418" w:bottom="1134" w:left="1701" w:header="709" w:footer="709" w:gutter="0"/>
          <w:cols w:space="708"/>
          <w:docGrid w:linePitch="299"/>
        </w:sectPr>
      </w:pPr>
    </w:p>
    <w:p w:rsidRPr="00463211" w:rsidR="00B43E07" w:rsidP="006C6D8E" w:rsidRDefault="006C6D8E" w14:paraId="78D7CAE2" w14:textId="0D9CA5B9">
      <w:pPr>
        <w:pStyle w:val="Numberedtilelevel1"/>
        <w:jc w:val="both"/>
      </w:pPr>
      <w:r w:rsidRPr="00463211">
        <w:lastRenderedPageBreak/>
        <w:t>EBA-le esitatav teave</w:t>
      </w:r>
    </w:p>
    <w:p w:rsidRPr="00463211" w:rsidR="006C6D8E" w:rsidP="006C6D8E" w:rsidRDefault="003A2221" w14:paraId="0966C959" w14:textId="52E7A3EF">
      <w:pPr>
        <w:pStyle w:val="body"/>
        <w:numPr>
          <w:ilvl w:val="0"/>
          <w:numId w:val="38"/>
        </w:numPr>
      </w:pPr>
      <w:r w:rsidRPr="00463211">
        <w:t>Asjaomased asutused peaksid esitama EBA-le kõik käesolevate suuniste kohaselt kogutud andmed, sealhulgas lisaandmed ja memokirjed, et need saaks EBA veebilehel kokkuvõtlikult esitada. Asjaomased üksused peaksid end identifitseerima juriidilise isiku tunnuse abil. Lisaandmeid ja memokirjeid EBA ei avalda.</w:t>
      </w:r>
    </w:p>
    <w:p w:rsidRPr="00463211" w:rsidR="006C6D8E" w:rsidP="00B43E07" w:rsidRDefault="006C6D8E" w14:paraId="001293F4" w14:textId="77777777">
      <w:pPr>
        <w:pStyle w:val="body"/>
        <w:rPr>
          <w:lang w:eastAsia="en-GB"/>
        </w:rPr>
        <w:sectPr w:rsidRPr="00463211" w:rsidR="006C6D8E" w:rsidSect="000F33D3">
          <w:pgSz w:w="11900" w:h="16840"/>
          <w:pgMar w:top="2268" w:right="1418" w:bottom="1134" w:left="1701" w:header="709" w:footer="709" w:gutter="0"/>
          <w:cols w:space="708"/>
          <w:docGrid w:linePitch="299"/>
        </w:sectPr>
      </w:pPr>
    </w:p>
    <w:p w:rsidRPr="00463211" w:rsidR="006C6D8E" w:rsidP="006C6D8E" w:rsidRDefault="006C6D8E" w14:paraId="6FBD395E" w14:textId="77777777">
      <w:pPr>
        <w:pStyle w:val="Contenttitle"/>
      </w:pPr>
      <w:r w:rsidRPr="00463211">
        <w:lastRenderedPageBreak/>
        <w:t>Lisa</w:t>
      </w:r>
    </w:p>
    <w:tbl>
      <w:tblPr>
        <w:tblStyle w:val="TableGrid1"/>
        <w:tblW w:w="9549" w:type="dxa"/>
        <w:tblLook w:val="04A0" w:firstRow="1" w:lastRow="0" w:firstColumn="1" w:lastColumn="0" w:noHBand="0" w:noVBand="1"/>
      </w:tblPr>
      <w:tblGrid>
        <w:gridCol w:w="2350"/>
        <w:gridCol w:w="4454"/>
        <w:gridCol w:w="2745"/>
      </w:tblGrid>
      <w:tr w:rsidRPr="00BE2643" w:rsidR="00A3063F" w:rsidTr="0020784C" w14:paraId="5CE77C4F" w14:textId="77777777">
        <w:trPr>
          <w:trHeight w:val="420"/>
        </w:trPr>
        <w:tc>
          <w:tcPr>
            <w:tcW w:w="2350" w:type="dxa"/>
            <w:tcBorders>
              <w:top w:val="nil"/>
              <w:left w:val="nil"/>
              <w:bottom w:val="nil"/>
              <w:right w:val="nil"/>
            </w:tcBorders>
            <w:noWrap/>
            <w:hideMark/>
          </w:tcPr>
          <w:bookmarkEnd w:id="9"/>
          <w:bookmarkEnd w:id="8"/>
          <w:bookmarkEnd w:id="7"/>
          <w:bookmarkEnd w:id="6"/>
          <w:bookmarkEnd w:id="5"/>
          <w:bookmarkEnd w:id="4"/>
          <w:bookmarkEnd w:id="3"/>
          <w:bookmarkEnd w:id="2"/>
          <w:bookmarkEnd w:id="1"/>
          <w:bookmarkEnd w:id="0"/>
          <w:p w:rsidR="009955A2" w:rsidP="0020784C" w:rsidRDefault="009955A2" w14:paraId="3561781B" w14:textId="77497900">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BE2643" w:rsidR="00A3063F" w:rsidP="0020784C" w:rsidRDefault="00A3063F" w14:paraId="49A8C86D" w14:textId="5A1366F4">
            <w:pPr>
              <w:keepNext/>
              <w:keepLines/>
              <w:spacing w:before="47"/>
              <w:outlineLvl w:val="5"/>
              <w:rPr>
                <w:rFonts w:asciiTheme="majorHAnsi" w:hAnsiTheme="majorHAnsi" w:eastAsiaTheme="majorEastAsia" w:cstheme="majorBidi"/>
                <w:b/>
                <w:bCs/>
                <w:i/>
                <w:iCs/>
                <w:caps/>
                <w:color w:val="172B39" w:themeColor="accent1" w:themeShade="80"/>
              </w:rPr>
            </w:pPr>
            <w:r w:rsidRPr="00BE2643">
              <w:rPr>
                <w:rFonts w:ascii="Arial" w:hAnsi="Arial"/>
                <w:b/>
                <w:i/>
                <w:caps/>
                <w:color w:val="172B39" w:themeColor="accent1" w:themeShade="80"/>
                <w:sz w:val="24"/>
              </w:rPr>
              <w:t> </w:t>
            </w:r>
            <w:r w:rsidRPr="00BE2643">
              <w:rPr>
                <w:rFonts w:asciiTheme="majorHAnsi" w:hAnsiTheme="majorHAnsi"/>
                <w:b/>
                <w:i/>
                <w:caps/>
              </w:rPr>
              <w:t>Panga üldandmed</w:t>
            </w:r>
            <w:r w:rsidRPr="00BE2643">
              <w:rPr>
                <w:rFonts w:ascii="Arial" w:hAnsi="Arial"/>
                <w:i/>
                <w:caps/>
                <w:color w:val="172B39" w:themeColor="accent1" w:themeShade="80"/>
                <w:sz w:val="20"/>
              </w:rPr>
              <w:t> </w:t>
            </w:r>
          </w:p>
        </w:tc>
        <w:tc>
          <w:tcPr>
            <w:tcW w:w="7199" w:type="dxa"/>
            <w:gridSpan w:val="2"/>
            <w:tcBorders>
              <w:top w:val="nil"/>
              <w:left w:val="nil"/>
              <w:bottom w:val="nil"/>
              <w:right w:val="nil"/>
            </w:tcBorders>
          </w:tcPr>
          <w:p w:rsidRPr="00BE2643" w:rsidR="00A3063F" w:rsidP="0020784C" w:rsidRDefault="00A3063F" w14:paraId="6B1DDB41" w14:textId="77777777">
            <w:pPr>
              <w:rPr>
                <w:rFonts w:ascii="Arial" w:hAnsi="Arial" w:eastAsia="Times New Roman" w:cs="Arial"/>
                <w:b/>
                <w:bCs/>
                <w:sz w:val="24"/>
                <w:szCs w:val="24"/>
                <w:lang w:eastAsia="en-GB"/>
              </w:rPr>
            </w:pPr>
          </w:p>
          <w:p w:rsidRPr="00BE2643" w:rsidR="00A3063F" w:rsidP="0020784C" w:rsidRDefault="00A3063F" w14:paraId="73714EC3" w14:textId="77777777">
            <w:pPr>
              <w:rPr>
                <w:rFonts w:ascii="Arial" w:hAnsi="Arial" w:eastAsia="Times New Roman" w:cs="Arial"/>
                <w:b/>
                <w:bCs/>
                <w:sz w:val="24"/>
                <w:szCs w:val="24"/>
              </w:rPr>
            </w:pPr>
            <w:r w:rsidRPr="00BE2643">
              <w:rPr>
                <w:rFonts w:ascii="Arial" w:hAnsi="Arial"/>
                <w:sz w:val="20"/>
              </w:rPr>
              <w:t> </w:t>
            </w:r>
          </w:p>
        </w:tc>
      </w:tr>
      <w:tr w:rsidRPr="00BE2643" w:rsidR="00A3063F" w:rsidTr="0020784C" w14:paraId="2E44B604" w14:textId="77777777">
        <w:trPr>
          <w:trHeight w:val="300"/>
        </w:trPr>
        <w:tc>
          <w:tcPr>
            <w:tcW w:w="6804" w:type="dxa"/>
            <w:gridSpan w:val="2"/>
            <w:tcBorders>
              <w:top w:val="nil"/>
              <w:left w:val="nil"/>
              <w:bottom w:val="single" w:color="auto" w:sz="4" w:space="0"/>
              <w:right w:val="nil"/>
            </w:tcBorders>
            <w:noWrap/>
          </w:tcPr>
          <w:p w:rsidRPr="00BE2643" w:rsidR="00A3063F" w:rsidP="0020784C" w:rsidRDefault="00A3063F" w14:paraId="3798CB13"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BE2643" w:rsidR="00A3063F" w:rsidP="0020784C" w:rsidRDefault="00A3063F" w14:paraId="7BB372B6" w14:textId="77777777">
            <w:pPr>
              <w:jc w:val="center"/>
              <w:rPr>
                <w:rFonts w:ascii="Arial" w:hAnsi="Arial" w:eastAsia="Times New Roman" w:cs="Arial"/>
                <w:b/>
                <w:bCs/>
                <w:sz w:val="20"/>
                <w:szCs w:val="20"/>
                <w:lang w:eastAsia="en-GB"/>
              </w:rPr>
            </w:pPr>
          </w:p>
        </w:tc>
      </w:tr>
      <w:tr w:rsidRPr="00BE2643" w:rsidR="00A3063F" w:rsidTr="0020784C" w14:paraId="7BC8F680" w14:textId="77777777">
        <w:trPr>
          <w:trHeight w:val="300"/>
        </w:trPr>
        <w:tc>
          <w:tcPr>
            <w:tcW w:w="6804" w:type="dxa"/>
            <w:gridSpan w:val="2"/>
            <w:tcBorders>
              <w:top w:val="single" w:color="auto" w:sz="4" w:space="0"/>
              <w:left w:val="nil"/>
              <w:bottom w:val="single" w:color="auto" w:sz="4" w:space="0"/>
              <w:right w:val="nil"/>
            </w:tcBorders>
            <w:noWrap/>
            <w:hideMark/>
          </w:tcPr>
          <w:p w:rsidRPr="00BE2643" w:rsidR="00A3063F" w:rsidP="0020784C" w:rsidRDefault="00A3063F" w14:paraId="1D0781B6" w14:textId="77777777">
            <w:pPr>
              <w:rPr>
                <w:rFonts w:ascii="Arial" w:hAnsi="Arial" w:eastAsia="Times New Roman" w:cs="Arial"/>
                <w:b/>
                <w:bCs/>
                <w:sz w:val="20"/>
                <w:szCs w:val="20"/>
              </w:rPr>
            </w:pPr>
            <w:r w:rsidRPr="00BE2643">
              <w:rPr>
                <w:rFonts w:ascii="Arial" w:hAnsi="Arial"/>
                <w:b/>
                <w:sz w:val="20"/>
              </w:rPr>
              <w:t>1. jagu. Üldteave</w:t>
            </w:r>
          </w:p>
        </w:tc>
        <w:tc>
          <w:tcPr>
            <w:tcW w:w="2745" w:type="dxa"/>
            <w:tcBorders>
              <w:top w:val="single" w:color="auto" w:sz="4" w:space="0"/>
              <w:left w:val="nil"/>
              <w:right w:val="nil"/>
            </w:tcBorders>
            <w:noWrap/>
            <w:hideMark/>
          </w:tcPr>
          <w:p w:rsidRPr="00BE2643" w:rsidR="00A3063F" w:rsidP="0020784C" w:rsidRDefault="00A3063F" w14:paraId="4407D6D1" w14:textId="77777777">
            <w:pPr>
              <w:jc w:val="center"/>
              <w:rPr>
                <w:rFonts w:ascii="Arial" w:hAnsi="Arial" w:eastAsia="Times New Roman" w:cs="Arial"/>
                <w:b/>
                <w:bCs/>
                <w:sz w:val="20"/>
                <w:szCs w:val="20"/>
              </w:rPr>
            </w:pPr>
            <w:r w:rsidRPr="00BE2643">
              <w:rPr>
                <w:rFonts w:ascii="Arial" w:hAnsi="Arial"/>
                <w:b/>
                <w:sz w:val="20"/>
              </w:rPr>
              <w:t>Vastus</w:t>
            </w:r>
          </w:p>
        </w:tc>
      </w:tr>
      <w:tr w:rsidRPr="00BE2643" w:rsidR="00A3063F" w:rsidTr="0020784C" w14:paraId="53281D2D" w14:textId="77777777">
        <w:trPr>
          <w:gridAfter w:val="1"/>
          <w:wAfter w:w="2745" w:type="dxa"/>
          <w:trHeight w:val="300"/>
        </w:trPr>
        <w:tc>
          <w:tcPr>
            <w:tcW w:w="6804" w:type="dxa"/>
            <w:gridSpan w:val="2"/>
            <w:tcBorders>
              <w:top w:val="single" w:color="auto" w:sz="4" w:space="0"/>
              <w:left w:val="nil"/>
              <w:bottom w:val="single" w:color="auto" w:sz="4" w:space="0"/>
              <w:right w:val="nil"/>
            </w:tcBorders>
            <w:noWrap/>
            <w:hideMark/>
          </w:tcPr>
          <w:p w:rsidRPr="00BE2643" w:rsidR="00A3063F" w:rsidP="0020784C" w:rsidRDefault="00A3063F" w14:paraId="67A57FE3" w14:textId="77777777">
            <w:pPr>
              <w:ind w:firstLine="200" w:firstLineChars="100"/>
              <w:rPr>
                <w:rFonts w:ascii="Arial" w:hAnsi="Arial" w:eastAsia="Times New Roman" w:cs="Arial"/>
                <w:sz w:val="20"/>
                <w:szCs w:val="20"/>
              </w:rPr>
            </w:pPr>
            <w:r w:rsidRPr="00BE2643">
              <w:rPr>
                <w:rFonts w:ascii="Arial" w:hAnsi="Arial"/>
                <w:sz w:val="20"/>
              </w:rPr>
              <w:t>a. Asjaomase järelevalveasutuse esitatav üldteave</w:t>
            </w:r>
          </w:p>
        </w:tc>
      </w:tr>
      <w:tr w:rsidRPr="00BE2643" w:rsidR="00A3063F" w:rsidTr="0020784C" w14:paraId="3D28BD8E" w14:textId="77777777">
        <w:trPr>
          <w:trHeight w:val="300"/>
        </w:trPr>
        <w:tc>
          <w:tcPr>
            <w:tcW w:w="6804" w:type="dxa"/>
            <w:gridSpan w:val="2"/>
            <w:tcBorders>
              <w:left w:val="nil"/>
              <w:right w:val="nil"/>
            </w:tcBorders>
            <w:noWrap/>
            <w:hideMark/>
          </w:tcPr>
          <w:p w:rsidRPr="00BE2643" w:rsidR="00A3063F" w:rsidP="0020784C" w:rsidRDefault="00A3063F" w14:paraId="44F42EE6"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Riigikood</w:t>
            </w:r>
          </w:p>
        </w:tc>
        <w:tc>
          <w:tcPr>
            <w:tcW w:w="2745" w:type="dxa"/>
            <w:tcBorders>
              <w:left w:val="nil"/>
              <w:bottom w:val="single" w:color="auto" w:sz="4" w:space="0"/>
              <w:right w:val="nil"/>
            </w:tcBorders>
            <w:noWrap/>
            <w:hideMark/>
          </w:tcPr>
          <w:p w:rsidRPr="00BE2643" w:rsidR="00A3063F" w:rsidP="0020784C" w:rsidRDefault="00A3063F" w14:paraId="66B80871" w14:textId="77777777">
            <w:pPr>
              <w:jc w:val="center"/>
              <w:rPr>
                <w:rFonts w:ascii="Arial" w:hAnsi="Arial" w:eastAsia="Times New Roman" w:cs="Arial"/>
                <w:sz w:val="20"/>
                <w:szCs w:val="20"/>
              </w:rPr>
            </w:pPr>
            <w:r w:rsidRPr="00BE2643">
              <w:rPr>
                <w:rFonts w:ascii="Arial" w:hAnsi="Arial"/>
                <w:sz w:val="20"/>
              </w:rPr>
              <w:t> </w:t>
            </w:r>
          </w:p>
        </w:tc>
      </w:tr>
      <w:tr w:rsidRPr="00BE2643" w:rsidR="00A3063F" w:rsidTr="0020784C" w14:paraId="7B77C251" w14:textId="77777777">
        <w:trPr>
          <w:trHeight w:val="300"/>
        </w:trPr>
        <w:tc>
          <w:tcPr>
            <w:tcW w:w="6804" w:type="dxa"/>
            <w:gridSpan w:val="2"/>
            <w:tcBorders>
              <w:left w:val="nil"/>
              <w:right w:val="nil"/>
            </w:tcBorders>
            <w:noWrap/>
            <w:hideMark/>
          </w:tcPr>
          <w:p w:rsidRPr="00BE2643" w:rsidR="00A3063F" w:rsidP="0020784C" w:rsidRDefault="00A3063F" w14:paraId="5EFCB6A4" w14:textId="77777777">
            <w:pPr>
              <w:ind w:firstLine="400" w:firstLineChars="200"/>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Panga nimi</w:t>
            </w:r>
          </w:p>
        </w:tc>
        <w:tc>
          <w:tcPr>
            <w:tcW w:w="2745" w:type="dxa"/>
            <w:tcBorders>
              <w:left w:val="nil"/>
              <w:bottom w:val="single" w:color="auto" w:sz="4" w:space="0"/>
              <w:right w:val="nil"/>
            </w:tcBorders>
            <w:hideMark/>
          </w:tcPr>
          <w:p w:rsidRPr="00BE2643" w:rsidR="00A3063F" w:rsidP="0020784C" w:rsidRDefault="00A3063F" w14:paraId="1FF7AB6A" w14:textId="77777777">
            <w:pPr>
              <w:jc w:val="center"/>
              <w:rPr>
                <w:rFonts w:ascii="Arial" w:hAnsi="Arial" w:eastAsia="Times New Roman" w:cs="Arial"/>
                <w:sz w:val="20"/>
                <w:szCs w:val="20"/>
              </w:rPr>
            </w:pPr>
            <w:r w:rsidRPr="00BE2643">
              <w:rPr>
                <w:rFonts w:ascii="Arial" w:hAnsi="Arial"/>
                <w:sz w:val="20"/>
              </w:rPr>
              <w:t> </w:t>
            </w:r>
          </w:p>
        </w:tc>
      </w:tr>
      <w:tr w:rsidRPr="00BE2643" w:rsidR="00A3063F" w:rsidTr="0020784C" w14:paraId="0BAC689E" w14:textId="77777777">
        <w:trPr>
          <w:trHeight w:val="300"/>
        </w:trPr>
        <w:tc>
          <w:tcPr>
            <w:tcW w:w="6804" w:type="dxa"/>
            <w:gridSpan w:val="2"/>
            <w:tcBorders>
              <w:left w:val="nil"/>
              <w:right w:val="nil"/>
            </w:tcBorders>
            <w:noWrap/>
            <w:hideMark/>
          </w:tcPr>
          <w:p w:rsidRPr="00BE2643" w:rsidR="00A3063F" w:rsidP="0020784C" w:rsidRDefault="00A3063F" w14:paraId="3C66A233" w14:textId="77777777">
            <w:pPr>
              <w:ind w:firstLine="400" w:firstLineChars="200"/>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Aruandluskuupäev (aaaa-kk-pp)</w:t>
            </w:r>
          </w:p>
        </w:tc>
        <w:tc>
          <w:tcPr>
            <w:tcW w:w="2745" w:type="dxa"/>
            <w:tcBorders>
              <w:left w:val="nil"/>
              <w:bottom w:val="single" w:color="auto" w:sz="4" w:space="0"/>
              <w:right w:val="nil"/>
            </w:tcBorders>
            <w:noWrap/>
            <w:hideMark/>
          </w:tcPr>
          <w:p w:rsidRPr="00BE2643" w:rsidR="00A3063F" w:rsidP="0020784C" w:rsidRDefault="00A3063F" w14:paraId="48695345" w14:textId="77777777">
            <w:pPr>
              <w:jc w:val="center"/>
              <w:rPr>
                <w:rFonts w:ascii="Arial" w:hAnsi="Arial" w:eastAsia="Times New Roman" w:cs="Arial"/>
                <w:sz w:val="20"/>
                <w:szCs w:val="20"/>
                <w:lang w:eastAsia="en-GB"/>
              </w:rPr>
            </w:pPr>
          </w:p>
        </w:tc>
      </w:tr>
      <w:tr w:rsidRPr="00BE2643" w:rsidR="00A3063F" w:rsidTr="0020784C" w14:paraId="68EA1059" w14:textId="77777777">
        <w:trPr>
          <w:trHeight w:val="300"/>
        </w:trPr>
        <w:tc>
          <w:tcPr>
            <w:tcW w:w="6804" w:type="dxa"/>
            <w:gridSpan w:val="2"/>
            <w:tcBorders>
              <w:left w:val="nil"/>
              <w:right w:val="nil"/>
            </w:tcBorders>
            <w:noWrap/>
            <w:hideMark/>
          </w:tcPr>
          <w:p w:rsidRPr="00BE2643" w:rsidR="00A3063F" w:rsidP="0020784C" w:rsidRDefault="00A3063F" w14:paraId="7036341C" w14:textId="77777777">
            <w:pPr>
              <w:ind w:firstLine="400" w:firstLineChars="200"/>
              <w:rPr>
                <w:rFonts w:ascii="Arial" w:hAnsi="Arial" w:eastAsia="Times New Roman" w:cs="Arial"/>
                <w:sz w:val="20"/>
                <w:szCs w:val="20"/>
              </w:rPr>
            </w:pPr>
            <w:r w:rsidRPr="00BE2643">
              <w:rPr>
                <w:rFonts w:ascii="Arial" w:hAnsi="Arial"/>
                <w:sz w:val="20"/>
                <w:lang w:eastAsia="en-GB"/>
              </w:rPr>
              <w:t xml:space="preserve">(4) </w:t>
            </w:r>
            <w:r w:rsidRPr="00BE2643">
              <w:rPr>
                <w:rFonts w:ascii="Arial" w:hAnsi="Arial"/>
                <w:sz w:val="20"/>
              </w:rPr>
              <w:t>Aruandlusvaluuta</w:t>
            </w:r>
          </w:p>
        </w:tc>
        <w:tc>
          <w:tcPr>
            <w:tcW w:w="2745" w:type="dxa"/>
            <w:tcBorders>
              <w:left w:val="nil"/>
              <w:bottom w:val="single" w:color="auto" w:sz="4" w:space="0"/>
              <w:right w:val="nil"/>
            </w:tcBorders>
            <w:noWrap/>
            <w:hideMark/>
          </w:tcPr>
          <w:p w:rsidRPr="00BE2643" w:rsidR="00A3063F" w:rsidP="0020784C" w:rsidRDefault="00A3063F" w14:paraId="6A7A17A5" w14:textId="77777777">
            <w:pPr>
              <w:jc w:val="center"/>
              <w:rPr>
                <w:rFonts w:ascii="Arial" w:hAnsi="Arial" w:eastAsia="Times New Roman" w:cs="Arial"/>
                <w:sz w:val="20"/>
                <w:szCs w:val="20"/>
                <w:lang w:eastAsia="en-GB"/>
              </w:rPr>
            </w:pPr>
          </w:p>
        </w:tc>
      </w:tr>
      <w:tr w:rsidRPr="00BE2643" w:rsidR="00A3063F" w:rsidTr="0020784C" w14:paraId="19AF806C" w14:textId="77777777">
        <w:trPr>
          <w:trHeight w:val="300"/>
        </w:trPr>
        <w:tc>
          <w:tcPr>
            <w:tcW w:w="6804" w:type="dxa"/>
            <w:gridSpan w:val="2"/>
            <w:tcBorders>
              <w:left w:val="nil"/>
              <w:right w:val="nil"/>
            </w:tcBorders>
            <w:noWrap/>
            <w:hideMark/>
          </w:tcPr>
          <w:p w:rsidRPr="00BE2643" w:rsidR="00A3063F" w:rsidP="0020784C" w:rsidRDefault="00A3063F" w14:paraId="76820663" w14:textId="77777777">
            <w:pPr>
              <w:ind w:firstLine="400" w:firstLineChars="200"/>
              <w:rPr>
                <w:rFonts w:ascii="Arial" w:hAnsi="Arial" w:eastAsia="Times New Roman" w:cs="Arial"/>
                <w:sz w:val="20"/>
                <w:szCs w:val="20"/>
              </w:rPr>
            </w:pPr>
            <w:r w:rsidRPr="00BE2643">
              <w:rPr>
                <w:rFonts w:ascii="Arial" w:hAnsi="Arial"/>
                <w:sz w:val="20"/>
                <w:lang w:eastAsia="en-GB"/>
              </w:rPr>
              <w:t xml:space="preserve">(5) </w:t>
            </w:r>
            <w:r w:rsidRPr="00BE2643">
              <w:rPr>
                <w:rFonts w:ascii="Arial" w:hAnsi="Arial"/>
                <w:sz w:val="20"/>
              </w:rPr>
              <w:t>Euro ümberarvestuskurss</w:t>
            </w:r>
          </w:p>
        </w:tc>
        <w:tc>
          <w:tcPr>
            <w:tcW w:w="2745" w:type="dxa"/>
            <w:tcBorders>
              <w:left w:val="nil"/>
              <w:bottom w:val="single" w:color="auto" w:sz="4" w:space="0"/>
              <w:right w:val="nil"/>
            </w:tcBorders>
            <w:noWrap/>
            <w:hideMark/>
          </w:tcPr>
          <w:p w:rsidRPr="00BE2643" w:rsidR="00A3063F" w:rsidP="0020784C" w:rsidRDefault="00A3063F" w14:paraId="753BFEEB" w14:textId="77777777">
            <w:pPr>
              <w:rPr>
                <w:rFonts w:ascii="Arial" w:hAnsi="Arial" w:eastAsia="Times New Roman" w:cs="Arial"/>
                <w:sz w:val="20"/>
                <w:szCs w:val="20"/>
              </w:rPr>
            </w:pPr>
            <w:r w:rsidRPr="00BE2643">
              <w:rPr>
                <w:rFonts w:ascii="Arial" w:hAnsi="Arial"/>
                <w:sz w:val="20"/>
              </w:rPr>
              <w:t> </w:t>
            </w:r>
          </w:p>
        </w:tc>
      </w:tr>
      <w:tr w:rsidRPr="00BE2643" w:rsidR="00A3063F" w:rsidTr="0020784C" w14:paraId="4078D911" w14:textId="77777777">
        <w:trPr>
          <w:trHeight w:val="300"/>
        </w:trPr>
        <w:tc>
          <w:tcPr>
            <w:tcW w:w="6804" w:type="dxa"/>
            <w:gridSpan w:val="2"/>
            <w:tcBorders>
              <w:left w:val="nil"/>
              <w:right w:val="nil"/>
            </w:tcBorders>
            <w:noWrap/>
            <w:hideMark/>
          </w:tcPr>
          <w:p w:rsidRPr="00BE2643" w:rsidR="00A3063F" w:rsidP="0020784C" w:rsidRDefault="00A3063F" w14:paraId="7CDE7D3B" w14:textId="77777777">
            <w:pPr>
              <w:ind w:firstLine="400" w:firstLineChars="200"/>
              <w:rPr>
                <w:rFonts w:ascii="Arial" w:hAnsi="Arial" w:eastAsia="Times New Roman" w:cs="Arial"/>
                <w:sz w:val="20"/>
                <w:szCs w:val="20"/>
              </w:rPr>
            </w:pPr>
            <w:r w:rsidRPr="00BE2643">
              <w:rPr>
                <w:rFonts w:ascii="Arial" w:hAnsi="Arial"/>
                <w:sz w:val="20"/>
                <w:lang w:eastAsia="en-GB"/>
              </w:rPr>
              <w:t xml:space="preserve">(6) </w:t>
            </w:r>
            <w:r w:rsidRPr="00BE2643">
              <w:rPr>
                <w:rFonts w:ascii="Arial" w:hAnsi="Arial"/>
                <w:sz w:val="20"/>
              </w:rPr>
              <w:t>Esitamise kuupäev (aaaa-kk-pp)</w:t>
            </w:r>
          </w:p>
        </w:tc>
        <w:tc>
          <w:tcPr>
            <w:tcW w:w="2745" w:type="dxa"/>
            <w:tcBorders>
              <w:left w:val="nil"/>
              <w:bottom w:val="single" w:color="auto" w:sz="4" w:space="0"/>
              <w:right w:val="nil"/>
            </w:tcBorders>
            <w:noWrap/>
            <w:hideMark/>
          </w:tcPr>
          <w:p w:rsidRPr="00BE2643" w:rsidR="00A3063F" w:rsidP="0020784C" w:rsidRDefault="00A3063F" w14:paraId="7E774401" w14:textId="77777777">
            <w:pPr>
              <w:jc w:val="center"/>
              <w:rPr>
                <w:rFonts w:ascii="Arial" w:hAnsi="Arial" w:eastAsia="Times New Roman" w:cs="Arial"/>
                <w:sz w:val="20"/>
                <w:szCs w:val="20"/>
              </w:rPr>
            </w:pPr>
            <w:r w:rsidRPr="00BE2643">
              <w:rPr>
                <w:rFonts w:ascii="Arial" w:hAnsi="Arial"/>
                <w:sz w:val="20"/>
              </w:rPr>
              <w:t> </w:t>
            </w:r>
          </w:p>
        </w:tc>
      </w:tr>
      <w:tr w:rsidRPr="00BE2643" w:rsidR="00A3063F" w:rsidTr="0020784C" w14:paraId="211DEE6B" w14:textId="77777777">
        <w:trPr>
          <w:trHeight w:val="300"/>
        </w:trPr>
        <w:tc>
          <w:tcPr>
            <w:tcW w:w="6804" w:type="dxa"/>
            <w:gridSpan w:val="2"/>
            <w:tcBorders>
              <w:left w:val="nil"/>
              <w:right w:val="nil"/>
            </w:tcBorders>
            <w:noWrap/>
            <w:hideMark/>
          </w:tcPr>
          <w:p w:rsidRPr="00BE2643" w:rsidR="00A3063F" w:rsidP="0020784C" w:rsidRDefault="00A3063F" w14:paraId="772C4102" w14:textId="77777777">
            <w:pPr>
              <w:ind w:firstLine="200" w:firstLineChars="100"/>
              <w:rPr>
                <w:rFonts w:ascii="Arial" w:hAnsi="Arial" w:eastAsia="Times New Roman" w:cs="Arial"/>
                <w:sz w:val="20"/>
                <w:szCs w:val="20"/>
              </w:rPr>
            </w:pPr>
            <w:r w:rsidRPr="00BE2643">
              <w:rPr>
                <w:rFonts w:ascii="Arial" w:hAnsi="Arial"/>
                <w:sz w:val="20"/>
              </w:rPr>
              <w:t>b. Aruandva finantseerimisasutuse esitatav üldteave:</w:t>
            </w:r>
          </w:p>
        </w:tc>
        <w:tc>
          <w:tcPr>
            <w:tcW w:w="2745" w:type="dxa"/>
            <w:tcBorders>
              <w:left w:val="nil"/>
              <w:bottom w:val="single" w:color="auto" w:sz="4" w:space="0"/>
              <w:right w:val="nil"/>
            </w:tcBorders>
            <w:noWrap/>
            <w:hideMark/>
          </w:tcPr>
          <w:p w:rsidRPr="00BE2643" w:rsidR="00A3063F" w:rsidP="0020784C" w:rsidRDefault="00A3063F" w14:paraId="77C6CFC7" w14:textId="77777777">
            <w:pPr>
              <w:ind w:firstLine="200" w:firstLineChars="100"/>
              <w:rPr>
                <w:rFonts w:ascii="Arial" w:hAnsi="Arial" w:eastAsia="Times New Roman" w:cs="Arial"/>
                <w:sz w:val="20"/>
                <w:szCs w:val="20"/>
              </w:rPr>
            </w:pPr>
            <w:r w:rsidRPr="00BE2643">
              <w:rPr>
                <w:rFonts w:ascii="Arial" w:hAnsi="Arial"/>
                <w:sz w:val="20"/>
              </w:rPr>
              <w:t> </w:t>
            </w:r>
          </w:p>
        </w:tc>
      </w:tr>
      <w:tr w:rsidRPr="00BE2643" w:rsidR="00A3063F" w:rsidTr="0020784C" w14:paraId="62317A84" w14:textId="77777777">
        <w:trPr>
          <w:trHeight w:val="300"/>
        </w:trPr>
        <w:tc>
          <w:tcPr>
            <w:tcW w:w="6804" w:type="dxa"/>
            <w:gridSpan w:val="2"/>
            <w:tcBorders>
              <w:left w:val="nil"/>
              <w:right w:val="nil"/>
            </w:tcBorders>
            <w:noWrap/>
            <w:hideMark/>
          </w:tcPr>
          <w:p w:rsidRPr="00BE2643" w:rsidR="00A3063F" w:rsidP="0020784C" w:rsidRDefault="00A3063F" w14:paraId="145052B8"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Aruandev üksus</w:t>
            </w:r>
          </w:p>
        </w:tc>
        <w:tc>
          <w:tcPr>
            <w:tcW w:w="2745" w:type="dxa"/>
            <w:tcBorders>
              <w:left w:val="nil"/>
              <w:bottom w:val="single" w:color="auto" w:sz="4" w:space="0"/>
              <w:right w:val="nil"/>
            </w:tcBorders>
            <w:noWrap/>
            <w:hideMark/>
          </w:tcPr>
          <w:p w:rsidRPr="00BE2643" w:rsidR="00A3063F" w:rsidP="0020784C" w:rsidRDefault="00A3063F" w14:paraId="68821A22" w14:textId="77777777">
            <w:pPr>
              <w:jc w:val="center"/>
              <w:rPr>
                <w:rFonts w:ascii="Arial" w:hAnsi="Arial" w:eastAsia="Times New Roman" w:cs="Arial"/>
                <w:sz w:val="20"/>
                <w:szCs w:val="20"/>
              </w:rPr>
            </w:pPr>
            <w:r w:rsidRPr="00BE2643">
              <w:rPr>
                <w:rFonts w:ascii="Arial" w:hAnsi="Arial"/>
                <w:sz w:val="20"/>
              </w:rPr>
              <w:t> </w:t>
            </w:r>
          </w:p>
        </w:tc>
      </w:tr>
      <w:tr w:rsidRPr="00BE2643" w:rsidR="00A3063F" w:rsidTr="0020784C" w14:paraId="0EA2D4FC" w14:textId="77777777">
        <w:trPr>
          <w:trHeight w:val="300"/>
        </w:trPr>
        <w:tc>
          <w:tcPr>
            <w:tcW w:w="6804" w:type="dxa"/>
            <w:gridSpan w:val="2"/>
            <w:tcBorders>
              <w:left w:val="nil"/>
              <w:right w:val="nil"/>
            </w:tcBorders>
            <w:noWrap/>
            <w:hideMark/>
          </w:tcPr>
          <w:p w:rsidRPr="00BE2643" w:rsidR="00A3063F" w:rsidP="0020784C" w:rsidRDefault="00A3063F" w14:paraId="1F3616F0" w14:textId="77777777">
            <w:pPr>
              <w:ind w:firstLine="400" w:firstLineChars="200"/>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Raamatupidamisstandard</w:t>
            </w:r>
          </w:p>
        </w:tc>
        <w:tc>
          <w:tcPr>
            <w:tcW w:w="2745" w:type="dxa"/>
            <w:tcBorders>
              <w:left w:val="nil"/>
              <w:bottom w:val="single" w:color="auto" w:sz="4" w:space="0"/>
              <w:right w:val="nil"/>
            </w:tcBorders>
            <w:hideMark/>
          </w:tcPr>
          <w:p w:rsidRPr="00BE2643" w:rsidR="00A3063F" w:rsidP="0020784C" w:rsidRDefault="00A3063F" w14:paraId="791AA7C3" w14:textId="77777777">
            <w:pPr>
              <w:jc w:val="center"/>
              <w:rPr>
                <w:rFonts w:ascii="Arial" w:hAnsi="Arial" w:eastAsia="Times New Roman" w:cs="Arial"/>
                <w:sz w:val="20"/>
                <w:szCs w:val="20"/>
              </w:rPr>
            </w:pPr>
            <w:r w:rsidRPr="00BE2643">
              <w:rPr>
                <w:rFonts w:ascii="Arial" w:hAnsi="Arial"/>
                <w:sz w:val="20"/>
              </w:rPr>
              <w:t> </w:t>
            </w:r>
          </w:p>
        </w:tc>
      </w:tr>
      <w:tr w:rsidRPr="00BE2643" w:rsidR="00A3063F" w:rsidTr="0020784C" w14:paraId="203722D8" w14:textId="77777777">
        <w:trPr>
          <w:trHeight w:val="300"/>
        </w:trPr>
        <w:tc>
          <w:tcPr>
            <w:tcW w:w="6804" w:type="dxa"/>
            <w:gridSpan w:val="2"/>
            <w:tcBorders>
              <w:left w:val="nil"/>
              <w:right w:val="nil"/>
            </w:tcBorders>
            <w:noWrap/>
            <w:hideMark/>
          </w:tcPr>
          <w:p w:rsidRPr="00BE2643" w:rsidR="00A3063F" w:rsidP="0020784C" w:rsidRDefault="00A3063F" w14:paraId="17D185D1" w14:textId="77777777">
            <w:pPr>
              <w:ind w:firstLine="400" w:firstLineChars="200"/>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Avalikustamise kuupäev (aaaa-kk-pp)</w:t>
            </w:r>
          </w:p>
        </w:tc>
        <w:tc>
          <w:tcPr>
            <w:tcW w:w="2745" w:type="dxa"/>
            <w:tcBorders>
              <w:left w:val="nil"/>
              <w:bottom w:val="single" w:color="auto" w:sz="4" w:space="0"/>
              <w:right w:val="nil"/>
            </w:tcBorders>
            <w:noWrap/>
            <w:hideMark/>
          </w:tcPr>
          <w:p w:rsidRPr="00BE2643" w:rsidR="00A3063F" w:rsidP="0020784C" w:rsidRDefault="00A3063F" w14:paraId="5C07543A" w14:textId="77777777">
            <w:pPr>
              <w:jc w:val="center"/>
              <w:rPr>
                <w:rFonts w:ascii="Arial" w:hAnsi="Arial" w:eastAsia="Times New Roman" w:cs="Arial"/>
                <w:sz w:val="20"/>
                <w:szCs w:val="20"/>
              </w:rPr>
            </w:pPr>
            <w:r w:rsidRPr="00BE2643">
              <w:rPr>
                <w:rFonts w:ascii="Arial" w:hAnsi="Arial"/>
                <w:sz w:val="20"/>
              </w:rPr>
              <w:t> </w:t>
            </w:r>
          </w:p>
        </w:tc>
      </w:tr>
      <w:tr w:rsidRPr="00BE2643" w:rsidR="00A3063F" w:rsidTr="0020784C" w14:paraId="1E3CE42A" w14:textId="77777777">
        <w:trPr>
          <w:trHeight w:val="300"/>
        </w:trPr>
        <w:tc>
          <w:tcPr>
            <w:tcW w:w="6804" w:type="dxa"/>
            <w:gridSpan w:val="2"/>
            <w:tcBorders>
              <w:left w:val="nil"/>
              <w:right w:val="nil"/>
            </w:tcBorders>
            <w:noWrap/>
            <w:hideMark/>
          </w:tcPr>
          <w:p w:rsidRPr="00BE2643" w:rsidR="00A3063F" w:rsidP="0020784C" w:rsidRDefault="00A3063F" w14:paraId="7E406FEA" w14:textId="77777777">
            <w:pPr>
              <w:ind w:firstLine="400" w:firstLineChars="200"/>
              <w:rPr>
                <w:rFonts w:ascii="Arial" w:hAnsi="Arial" w:eastAsia="Times New Roman" w:cs="Arial"/>
                <w:sz w:val="20"/>
                <w:szCs w:val="20"/>
              </w:rPr>
            </w:pPr>
            <w:r w:rsidRPr="00BE2643">
              <w:rPr>
                <w:rFonts w:ascii="Arial" w:hAnsi="Arial"/>
                <w:sz w:val="20"/>
                <w:lang w:eastAsia="en-GB"/>
              </w:rPr>
              <w:t xml:space="preserve">(4) </w:t>
            </w:r>
            <w:r w:rsidRPr="00BE2643">
              <w:rPr>
                <w:rFonts w:ascii="Arial" w:hAnsi="Arial"/>
                <w:sz w:val="20"/>
              </w:rPr>
              <w:t>Avalikustamise keel</w:t>
            </w:r>
          </w:p>
        </w:tc>
        <w:tc>
          <w:tcPr>
            <w:tcW w:w="2745" w:type="dxa"/>
            <w:tcBorders>
              <w:left w:val="nil"/>
              <w:bottom w:val="single" w:color="auto" w:sz="4" w:space="0"/>
              <w:right w:val="nil"/>
            </w:tcBorders>
            <w:hideMark/>
          </w:tcPr>
          <w:p w:rsidRPr="00BE2643" w:rsidR="00A3063F" w:rsidP="0020784C" w:rsidRDefault="00A3063F" w14:paraId="09124DBC" w14:textId="77777777">
            <w:pPr>
              <w:jc w:val="center"/>
              <w:rPr>
                <w:rFonts w:ascii="Arial" w:hAnsi="Arial" w:eastAsia="Times New Roman" w:cs="Arial"/>
                <w:sz w:val="20"/>
                <w:szCs w:val="20"/>
              </w:rPr>
            </w:pPr>
            <w:r w:rsidRPr="00BE2643">
              <w:rPr>
                <w:rFonts w:ascii="Arial" w:hAnsi="Arial"/>
                <w:sz w:val="20"/>
              </w:rPr>
              <w:t> </w:t>
            </w:r>
          </w:p>
        </w:tc>
      </w:tr>
      <w:tr w:rsidRPr="00BE2643" w:rsidR="00A3063F" w:rsidTr="0020784C" w14:paraId="5F39C649"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2109E1F2" w14:textId="77777777">
            <w:pPr>
              <w:ind w:firstLine="400" w:firstLineChars="200"/>
              <w:rPr>
                <w:rFonts w:ascii="Arial" w:hAnsi="Arial" w:eastAsia="Times New Roman" w:cs="Arial"/>
                <w:sz w:val="20"/>
                <w:szCs w:val="20"/>
              </w:rPr>
            </w:pPr>
            <w:r w:rsidRPr="00BE2643">
              <w:rPr>
                <w:rFonts w:ascii="Arial" w:hAnsi="Arial"/>
                <w:sz w:val="20"/>
                <w:lang w:eastAsia="en-GB"/>
              </w:rPr>
              <w:t xml:space="preserve">(5) </w:t>
            </w:r>
            <w:r w:rsidRPr="00BE2643">
              <w:rPr>
                <w:rFonts w:ascii="Arial" w:hAnsi="Arial"/>
                <w:sz w:val="20"/>
              </w:rPr>
              <w:t>Avalikustamise veebiaadress</w:t>
            </w:r>
          </w:p>
        </w:tc>
        <w:tc>
          <w:tcPr>
            <w:tcW w:w="2745" w:type="dxa"/>
            <w:tcBorders>
              <w:left w:val="nil"/>
              <w:bottom w:val="single" w:color="auto" w:sz="4" w:space="0"/>
              <w:right w:val="nil"/>
            </w:tcBorders>
            <w:noWrap/>
            <w:hideMark/>
          </w:tcPr>
          <w:p w:rsidRPr="00BE2643" w:rsidR="00A3063F" w:rsidP="0020784C" w:rsidRDefault="00A3063F" w14:paraId="132DCDB8" w14:textId="77777777">
            <w:pPr>
              <w:jc w:val="center"/>
              <w:rPr>
                <w:rFonts w:ascii="Arial" w:hAnsi="Arial" w:eastAsia="Times New Roman" w:cs="Arial"/>
                <w:color w:val="0000FF"/>
                <w:sz w:val="20"/>
                <w:szCs w:val="20"/>
                <w:u w:val="single"/>
                <w:lang w:eastAsia="en-GB"/>
              </w:rPr>
            </w:pPr>
          </w:p>
        </w:tc>
      </w:tr>
      <w:tr w:rsidRPr="00BE2643" w:rsidR="00A3063F" w:rsidTr="0020784C" w14:paraId="0B152B10"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4678D26F" w14:textId="77777777">
            <w:pPr>
              <w:ind w:firstLine="400" w:firstLineChars="200"/>
              <w:rPr>
                <w:rFonts w:ascii="Arial" w:hAnsi="Arial" w:eastAsia="Times New Roman" w:cs="Arial"/>
                <w:sz w:val="20"/>
                <w:szCs w:val="20"/>
              </w:rPr>
            </w:pPr>
            <w:r w:rsidRPr="00BE2643">
              <w:rPr>
                <w:rFonts w:ascii="Arial" w:hAnsi="Arial"/>
                <w:sz w:val="20"/>
                <w:lang w:eastAsia="en-GB"/>
              </w:rPr>
              <w:t xml:space="preserve">(6) </w:t>
            </w:r>
            <w:r w:rsidRPr="00BE2643">
              <w:rPr>
                <w:rFonts w:ascii="Arial" w:hAnsi="Arial"/>
                <w:sz w:val="20"/>
              </w:rPr>
              <w:t>LEI-kood</w:t>
            </w:r>
          </w:p>
        </w:tc>
        <w:tc>
          <w:tcPr>
            <w:tcW w:w="2745" w:type="dxa"/>
            <w:tcBorders>
              <w:left w:val="nil"/>
              <w:bottom w:val="single" w:color="auto" w:sz="4" w:space="0"/>
              <w:right w:val="nil"/>
            </w:tcBorders>
            <w:hideMark/>
          </w:tcPr>
          <w:p w:rsidRPr="00BE2643" w:rsidR="00A3063F" w:rsidP="0020784C" w:rsidRDefault="00A3063F" w14:paraId="242DC617" w14:textId="77777777">
            <w:pPr>
              <w:jc w:val="center"/>
              <w:rPr>
                <w:rFonts w:ascii="Arial" w:hAnsi="Arial" w:eastAsia="Times New Roman" w:cs="Arial"/>
                <w:sz w:val="20"/>
                <w:szCs w:val="20"/>
              </w:rPr>
            </w:pPr>
            <w:r w:rsidRPr="00BE2643">
              <w:rPr>
                <w:rFonts w:ascii="Arial" w:hAnsi="Arial"/>
                <w:sz w:val="20"/>
              </w:rPr>
              <w:t> </w:t>
            </w:r>
          </w:p>
        </w:tc>
      </w:tr>
      <w:tr w:rsidRPr="00BE2643" w:rsidR="00A3063F" w:rsidTr="0020784C" w14:paraId="580D259E" w14:textId="77777777">
        <w:trPr>
          <w:trHeight w:val="300"/>
        </w:trPr>
        <w:tc>
          <w:tcPr>
            <w:tcW w:w="6804" w:type="dxa"/>
            <w:gridSpan w:val="2"/>
            <w:tcBorders>
              <w:left w:val="nil"/>
              <w:bottom w:val="nil"/>
              <w:right w:val="nil"/>
            </w:tcBorders>
            <w:noWrap/>
          </w:tcPr>
          <w:p w:rsidRPr="00BE2643" w:rsidR="00A3063F" w:rsidP="0020784C" w:rsidRDefault="00A3063F" w14:paraId="4621BBF6"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BE2643" w:rsidR="00A3063F" w:rsidP="0020784C" w:rsidRDefault="00A3063F" w14:paraId="17349A38" w14:textId="77777777">
            <w:pPr>
              <w:jc w:val="center"/>
              <w:rPr>
                <w:rFonts w:ascii="Arial" w:hAnsi="Arial" w:eastAsia="Times New Roman" w:cs="Arial"/>
                <w:sz w:val="20"/>
                <w:szCs w:val="20"/>
                <w:lang w:eastAsia="en-GB"/>
              </w:rPr>
            </w:pPr>
          </w:p>
        </w:tc>
      </w:tr>
      <w:tr w:rsidRPr="00BE2643" w:rsidR="00A3063F" w:rsidTr="0020784C" w14:paraId="75C8B7ED" w14:textId="77777777">
        <w:trPr>
          <w:trHeight w:val="300"/>
        </w:trPr>
        <w:tc>
          <w:tcPr>
            <w:tcW w:w="6804" w:type="dxa"/>
            <w:gridSpan w:val="2"/>
            <w:tcBorders>
              <w:top w:val="nil"/>
              <w:left w:val="nil"/>
              <w:bottom w:val="nil"/>
              <w:right w:val="nil"/>
            </w:tcBorders>
            <w:noWrap/>
          </w:tcPr>
          <w:p w:rsidRPr="00BE2643" w:rsidR="00A3063F" w:rsidP="0020784C" w:rsidRDefault="00A3063F" w14:paraId="0B68FEFC" w14:textId="77777777">
            <w:pPr>
              <w:keepNext/>
              <w:keepLines/>
              <w:spacing w:before="47"/>
              <w:outlineLvl w:val="5"/>
              <w:rPr>
                <w:rFonts w:ascii="Arial" w:hAnsi="Arial" w:eastAsia="Times New Roman" w:cs="Arial"/>
                <w:i/>
                <w:iCs/>
                <w:caps/>
                <w:color w:val="172B39" w:themeColor="accent1" w:themeShade="80"/>
                <w:sz w:val="20"/>
                <w:szCs w:val="20"/>
              </w:rPr>
            </w:pPr>
            <w:r w:rsidRPr="00BE2643">
              <w:rPr>
                <w:rFonts w:asciiTheme="majorHAnsi" w:hAnsiTheme="majorHAnsi"/>
                <w:b/>
                <w:i/>
                <w:caps/>
              </w:rPr>
              <w:t>Suuruse näitajad</w:t>
            </w:r>
          </w:p>
        </w:tc>
        <w:tc>
          <w:tcPr>
            <w:tcW w:w="2745" w:type="dxa"/>
            <w:tcBorders>
              <w:top w:val="nil"/>
              <w:left w:val="nil"/>
              <w:bottom w:val="nil"/>
              <w:right w:val="nil"/>
            </w:tcBorders>
          </w:tcPr>
          <w:p w:rsidRPr="00BE2643" w:rsidR="00A3063F" w:rsidP="0020784C" w:rsidRDefault="00A3063F" w14:paraId="560AC231" w14:textId="77777777">
            <w:pPr>
              <w:jc w:val="center"/>
              <w:rPr>
                <w:rFonts w:ascii="Arial" w:hAnsi="Arial" w:eastAsia="Times New Roman" w:cs="Arial"/>
                <w:sz w:val="20"/>
                <w:szCs w:val="20"/>
                <w:lang w:eastAsia="en-GB"/>
              </w:rPr>
            </w:pPr>
          </w:p>
        </w:tc>
      </w:tr>
      <w:tr w:rsidRPr="00BE2643" w:rsidR="00A3063F" w:rsidTr="0020784C" w14:paraId="2E45D6CD" w14:textId="77777777">
        <w:trPr>
          <w:trHeight w:val="300"/>
        </w:trPr>
        <w:tc>
          <w:tcPr>
            <w:tcW w:w="6804" w:type="dxa"/>
            <w:gridSpan w:val="2"/>
            <w:tcBorders>
              <w:top w:val="nil"/>
              <w:left w:val="nil"/>
              <w:bottom w:val="single" w:color="auto" w:sz="4" w:space="0"/>
              <w:right w:val="nil"/>
            </w:tcBorders>
            <w:noWrap/>
          </w:tcPr>
          <w:p w:rsidRPr="00BE2643" w:rsidR="00A3063F" w:rsidP="0020784C" w:rsidRDefault="00A3063F" w14:paraId="3044EF0B"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BE2643" w:rsidR="00A3063F" w:rsidP="0020784C" w:rsidRDefault="00A3063F" w14:paraId="5F933ADB" w14:textId="77777777">
            <w:pPr>
              <w:jc w:val="center"/>
              <w:rPr>
                <w:rFonts w:ascii="Arial" w:hAnsi="Arial" w:eastAsia="Times New Roman" w:cs="Arial"/>
                <w:sz w:val="20"/>
                <w:szCs w:val="20"/>
                <w:lang w:eastAsia="en-GB"/>
              </w:rPr>
            </w:pPr>
          </w:p>
        </w:tc>
      </w:tr>
      <w:tr w:rsidRPr="00BE2643" w:rsidR="00A3063F" w:rsidTr="0020784C" w14:paraId="7AA1D354" w14:textId="77777777">
        <w:trPr>
          <w:trHeight w:val="300"/>
        </w:trPr>
        <w:tc>
          <w:tcPr>
            <w:tcW w:w="6804" w:type="dxa"/>
            <w:gridSpan w:val="2"/>
            <w:tcBorders>
              <w:left w:val="nil"/>
              <w:right w:val="nil"/>
            </w:tcBorders>
            <w:noWrap/>
          </w:tcPr>
          <w:p w:rsidRPr="00BE2643" w:rsidR="00A3063F" w:rsidP="0020784C" w:rsidRDefault="00A3063F" w14:paraId="484E37E3" w14:textId="77777777">
            <w:pPr>
              <w:rPr>
                <w:rFonts w:ascii="Arial" w:hAnsi="Arial" w:eastAsia="Times New Roman" w:cs="Arial"/>
                <w:sz w:val="20"/>
                <w:szCs w:val="20"/>
              </w:rPr>
            </w:pPr>
            <w:r w:rsidRPr="00BE2643">
              <w:rPr>
                <w:rFonts w:ascii="Arial" w:hAnsi="Arial"/>
                <w:b/>
                <w:sz w:val="20"/>
              </w:rPr>
              <w:t>2. jagu. Koguriskipositsioon</w:t>
            </w:r>
          </w:p>
        </w:tc>
        <w:tc>
          <w:tcPr>
            <w:tcW w:w="2745" w:type="dxa"/>
            <w:tcBorders>
              <w:left w:val="nil"/>
              <w:right w:val="nil"/>
            </w:tcBorders>
            <w:noWrap/>
          </w:tcPr>
          <w:p w:rsidRPr="00BE2643" w:rsidR="00A3063F" w:rsidP="0020784C" w:rsidRDefault="00A3063F" w14:paraId="7BC2C8E4" w14:textId="77777777">
            <w:pPr>
              <w:ind w:firstLine="201" w:firstLineChars="100"/>
              <w:jc w:val="center"/>
              <w:rPr>
                <w:rFonts w:ascii="Arial" w:hAnsi="Arial" w:eastAsia="Times New Roman" w:cs="Arial"/>
                <w:sz w:val="20"/>
                <w:szCs w:val="20"/>
              </w:rPr>
            </w:pPr>
            <w:r w:rsidRPr="00BE2643">
              <w:rPr>
                <w:rFonts w:ascii="Arial" w:hAnsi="Arial"/>
                <w:b/>
                <w:sz w:val="20"/>
              </w:rPr>
              <w:t>Summa</w:t>
            </w:r>
          </w:p>
        </w:tc>
      </w:tr>
      <w:tr w:rsidRPr="00BE2643" w:rsidR="00A3063F" w:rsidTr="0020784C" w14:paraId="73472553" w14:textId="77777777">
        <w:trPr>
          <w:trHeight w:val="300"/>
        </w:trPr>
        <w:tc>
          <w:tcPr>
            <w:tcW w:w="6804" w:type="dxa"/>
            <w:gridSpan w:val="2"/>
            <w:tcBorders>
              <w:left w:val="nil"/>
              <w:right w:val="nil"/>
            </w:tcBorders>
            <w:noWrap/>
            <w:hideMark/>
          </w:tcPr>
          <w:p w:rsidRPr="00BE2643" w:rsidR="00A3063F" w:rsidP="0020784C" w:rsidRDefault="00A3063F" w14:paraId="2D352B23" w14:textId="77777777">
            <w:pPr>
              <w:ind w:firstLine="200" w:firstLineChars="100"/>
              <w:rPr>
                <w:rFonts w:ascii="Arial" w:hAnsi="Arial" w:eastAsia="Times New Roman" w:cs="Arial"/>
                <w:sz w:val="20"/>
                <w:szCs w:val="20"/>
              </w:rPr>
            </w:pPr>
            <w:r w:rsidRPr="00BE2643">
              <w:rPr>
                <w:rFonts w:ascii="Arial" w:hAnsi="Arial"/>
                <w:sz w:val="20"/>
              </w:rPr>
              <w:t>a. Tuletisinstrumendid</w:t>
            </w:r>
          </w:p>
        </w:tc>
        <w:tc>
          <w:tcPr>
            <w:tcW w:w="2745" w:type="dxa"/>
            <w:tcBorders>
              <w:left w:val="nil"/>
              <w:right w:val="nil"/>
            </w:tcBorders>
            <w:noWrap/>
            <w:hideMark/>
          </w:tcPr>
          <w:p w:rsidRPr="00BE2643" w:rsidR="00A3063F" w:rsidP="0020784C" w:rsidRDefault="00A3063F" w14:paraId="6BC4ADA9" w14:textId="77777777">
            <w:pPr>
              <w:ind w:firstLine="200" w:firstLineChars="100"/>
              <w:rPr>
                <w:rFonts w:ascii="Arial" w:hAnsi="Arial" w:eastAsia="Times New Roman" w:cs="Arial"/>
                <w:sz w:val="20"/>
                <w:szCs w:val="20"/>
              </w:rPr>
            </w:pPr>
            <w:r w:rsidRPr="00BE2643">
              <w:rPr>
                <w:rFonts w:ascii="Arial" w:hAnsi="Arial"/>
                <w:sz w:val="20"/>
              </w:rPr>
              <w:t> </w:t>
            </w:r>
          </w:p>
        </w:tc>
      </w:tr>
      <w:tr w:rsidRPr="00BE2643" w:rsidR="00A3063F" w:rsidTr="0020784C" w14:paraId="3C28F293" w14:textId="77777777">
        <w:trPr>
          <w:trHeight w:val="300"/>
        </w:trPr>
        <w:tc>
          <w:tcPr>
            <w:tcW w:w="6804" w:type="dxa"/>
            <w:gridSpan w:val="2"/>
            <w:tcBorders>
              <w:left w:val="nil"/>
              <w:right w:val="nil"/>
            </w:tcBorders>
            <w:noWrap/>
            <w:hideMark/>
          </w:tcPr>
          <w:p w:rsidRPr="00BE2643" w:rsidR="00A3063F" w:rsidP="0020784C" w:rsidRDefault="00A3063F" w14:paraId="0B6FE7F4"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Tuletislepingute vastaspoole riskipositsioon</w:t>
            </w:r>
          </w:p>
        </w:tc>
        <w:tc>
          <w:tcPr>
            <w:tcW w:w="2745" w:type="dxa"/>
            <w:tcBorders>
              <w:left w:val="nil"/>
              <w:right w:val="nil"/>
            </w:tcBorders>
            <w:noWrap/>
            <w:hideMark/>
          </w:tcPr>
          <w:p w:rsidRPr="00BE2643" w:rsidR="00A3063F" w:rsidP="0020784C" w:rsidRDefault="00A3063F" w14:paraId="5F22266C"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4E104163" w14:textId="77777777">
        <w:trPr>
          <w:trHeight w:val="300"/>
        </w:trPr>
        <w:tc>
          <w:tcPr>
            <w:tcW w:w="6804" w:type="dxa"/>
            <w:gridSpan w:val="2"/>
            <w:tcBorders>
              <w:left w:val="nil"/>
              <w:right w:val="nil"/>
            </w:tcBorders>
            <w:noWrap/>
            <w:hideMark/>
          </w:tcPr>
          <w:p w:rsidRPr="00BE2643" w:rsidR="00A3063F" w:rsidP="0020784C" w:rsidRDefault="00A3063F" w14:paraId="09EEB61D" w14:textId="77777777">
            <w:pPr>
              <w:ind w:firstLine="400" w:firstLineChars="200"/>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Ülempiiriga krediidituletisinstrumentide tinglik väärtus</w:t>
            </w:r>
          </w:p>
        </w:tc>
        <w:tc>
          <w:tcPr>
            <w:tcW w:w="2745" w:type="dxa"/>
            <w:tcBorders>
              <w:left w:val="nil"/>
              <w:right w:val="nil"/>
            </w:tcBorders>
            <w:noWrap/>
            <w:hideMark/>
          </w:tcPr>
          <w:p w:rsidRPr="00BE2643" w:rsidR="00A3063F" w:rsidP="0020784C" w:rsidRDefault="00A3063F" w14:paraId="25CD3FAB"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0E2DF1CA" w14:textId="77777777">
        <w:trPr>
          <w:trHeight w:val="300"/>
        </w:trPr>
        <w:tc>
          <w:tcPr>
            <w:tcW w:w="6804" w:type="dxa"/>
            <w:gridSpan w:val="2"/>
            <w:tcBorders>
              <w:left w:val="nil"/>
              <w:right w:val="nil"/>
            </w:tcBorders>
            <w:noWrap/>
            <w:hideMark/>
          </w:tcPr>
          <w:p w:rsidRPr="00BE2643" w:rsidR="00A3063F" w:rsidP="0020784C" w:rsidRDefault="00A3063F" w14:paraId="60A94AA1" w14:textId="77777777">
            <w:pPr>
              <w:ind w:firstLine="400" w:firstLineChars="200"/>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Tuletislepingute potentsiaalne tuleviku riskipositsioon</w:t>
            </w:r>
          </w:p>
        </w:tc>
        <w:tc>
          <w:tcPr>
            <w:tcW w:w="2745" w:type="dxa"/>
            <w:tcBorders>
              <w:left w:val="nil"/>
              <w:right w:val="nil"/>
            </w:tcBorders>
            <w:noWrap/>
            <w:hideMark/>
          </w:tcPr>
          <w:p w:rsidRPr="00BE2643" w:rsidR="00A3063F" w:rsidP="0020784C" w:rsidRDefault="00A3063F" w14:paraId="59A0F042"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CEDC36D" w14:textId="77777777">
        <w:trPr>
          <w:trHeight w:val="300"/>
        </w:trPr>
        <w:tc>
          <w:tcPr>
            <w:tcW w:w="6804" w:type="dxa"/>
            <w:gridSpan w:val="2"/>
            <w:tcBorders>
              <w:left w:val="nil"/>
              <w:right w:val="nil"/>
            </w:tcBorders>
            <w:noWrap/>
            <w:hideMark/>
          </w:tcPr>
          <w:p w:rsidRPr="00BE2643" w:rsidR="00A3063F" w:rsidP="0020784C" w:rsidRDefault="00A3063F" w14:paraId="13A195BF" w14:textId="77777777">
            <w:pPr>
              <w:ind w:firstLine="200" w:firstLineChars="100"/>
              <w:rPr>
                <w:rFonts w:ascii="Arial" w:hAnsi="Arial" w:eastAsia="Times New Roman" w:cs="Arial"/>
                <w:sz w:val="20"/>
                <w:szCs w:val="20"/>
              </w:rPr>
            </w:pPr>
            <w:r w:rsidRPr="00BE2643">
              <w:rPr>
                <w:rFonts w:ascii="Arial" w:hAnsi="Arial"/>
                <w:sz w:val="20"/>
              </w:rPr>
              <w:t>b. Väärtpaberite kaudu finantseerimise tehingud</w:t>
            </w:r>
          </w:p>
        </w:tc>
        <w:tc>
          <w:tcPr>
            <w:tcW w:w="2745" w:type="dxa"/>
            <w:tcBorders>
              <w:left w:val="nil"/>
              <w:right w:val="nil"/>
            </w:tcBorders>
            <w:noWrap/>
            <w:hideMark/>
          </w:tcPr>
          <w:p w:rsidRPr="00BE2643" w:rsidR="00A3063F" w:rsidP="0020784C" w:rsidRDefault="00A3063F" w14:paraId="38FA7F2D" w14:textId="77777777">
            <w:pPr>
              <w:ind w:firstLine="200" w:firstLineChars="100"/>
              <w:rPr>
                <w:rFonts w:ascii="Arial" w:hAnsi="Arial" w:eastAsia="Times New Roman" w:cs="Arial"/>
                <w:sz w:val="20"/>
                <w:szCs w:val="20"/>
              </w:rPr>
            </w:pPr>
            <w:r w:rsidRPr="00BE2643">
              <w:rPr>
                <w:rFonts w:ascii="Arial" w:hAnsi="Arial"/>
                <w:sz w:val="20"/>
              </w:rPr>
              <w:t> </w:t>
            </w:r>
          </w:p>
        </w:tc>
      </w:tr>
      <w:tr w:rsidRPr="00BE2643" w:rsidR="00A3063F" w:rsidTr="0020784C" w14:paraId="7469D9D7" w14:textId="77777777">
        <w:trPr>
          <w:trHeight w:val="300"/>
        </w:trPr>
        <w:tc>
          <w:tcPr>
            <w:tcW w:w="6804" w:type="dxa"/>
            <w:gridSpan w:val="2"/>
            <w:tcBorders>
              <w:left w:val="nil"/>
              <w:right w:val="nil"/>
            </w:tcBorders>
            <w:noWrap/>
            <w:hideMark/>
          </w:tcPr>
          <w:p w:rsidRPr="00BE2643" w:rsidR="00A3063F" w:rsidP="0020784C" w:rsidRDefault="00A3063F" w14:paraId="486F23E2"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Väärtpaberite kaudu finantseerimise tehingute korrigeeritud brutoväärtus</w:t>
            </w:r>
          </w:p>
        </w:tc>
        <w:tc>
          <w:tcPr>
            <w:tcW w:w="2745" w:type="dxa"/>
            <w:tcBorders>
              <w:left w:val="nil"/>
              <w:right w:val="nil"/>
            </w:tcBorders>
            <w:noWrap/>
            <w:hideMark/>
          </w:tcPr>
          <w:p w:rsidRPr="00BE2643" w:rsidR="00A3063F" w:rsidP="0020784C" w:rsidRDefault="00A3063F" w14:paraId="6AC07588"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9FEC0CB" w14:textId="77777777">
        <w:trPr>
          <w:trHeight w:val="300"/>
        </w:trPr>
        <w:tc>
          <w:tcPr>
            <w:tcW w:w="6804" w:type="dxa"/>
            <w:gridSpan w:val="2"/>
            <w:tcBorders>
              <w:left w:val="nil"/>
              <w:right w:val="nil"/>
            </w:tcBorders>
            <w:noWrap/>
            <w:hideMark/>
          </w:tcPr>
          <w:p w:rsidRPr="00BE2643" w:rsidR="00A3063F" w:rsidP="0020784C" w:rsidRDefault="00A3063F" w14:paraId="1BD6FB7A" w14:textId="77777777">
            <w:pPr>
              <w:ind w:firstLine="400" w:firstLineChars="200"/>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Väärtpaberite kaudu finantseerimise tehingute vastaspoole riskipositsioon</w:t>
            </w:r>
          </w:p>
        </w:tc>
        <w:tc>
          <w:tcPr>
            <w:tcW w:w="2745" w:type="dxa"/>
            <w:tcBorders>
              <w:left w:val="nil"/>
              <w:right w:val="nil"/>
            </w:tcBorders>
            <w:noWrap/>
            <w:hideMark/>
          </w:tcPr>
          <w:p w:rsidRPr="00BE2643" w:rsidR="00A3063F" w:rsidP="0020784C" w:rsidRDefault="00A3063F" w14:paraId="217A403A"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379EEED" w14:textId="77777777">
        <w:trPr>
          <w:trHeight w:val="300"/>
        </w:trPr>
        <w:tc>
          <w:tcPr>
            <w:tcW w:w="6804" w:type="dxa"/>
            <w:gridSpan w:val="2"/>
            <w:tcBorders>
              <w:left w:val="nil"/>
              <w:right w:val="nil"/>
            </w:tcBorders>
            <w:noWrap/>
            <w:hideMark/>
          </w:tcPr>
          <w:p w:rsidRPr="00BE2643" w:rsidR="00A3063F" w:rsidP="0020784C" w:rsidRDefault="00A3063F" w14:paraId="6D370FC6" w14:textId="77777777">
            <w:pPr>
              <w:ind w:firstLine="200" w:firstLineChars="100"/>
              <w:rPr>
                <w:rFonts w:ascii="Arial" w:hAnsi="Arial" w:eastAsia="Times New Roman" w:cs="Arial"/>
                <w:sz w:val="20"/>
                <w:szCs w:val="20"/>
              </w:rPr>
            </w:pPr>
            <w:r w:rsidRPr="00BE2643">
              <w:rPr>
                <w:rFonts w:ascii="Arial" w:hAnsi="Arial"/>
                <w:sz w:val="20"/>
              </w:rPr>
              <w:t>c. Muud varad</w:t>
            </w:r>
          </w:p>
        </w:tc>
        <w:tc>
          <w:tcPr>
            <w:tcW w:w="2745" w:type="dxa"/>
            <w:tcBorders>
              <w:left w:val="nil"/>
              <w:right w:val="nil"/>
            </w:tcBorders>
            <w:noWrap/>
            <w:hideMark/>
          </w:tcPr>
          <w:p w:rsidRPr="00BE2643" w:rsidR="00A3063F" w:rsidP="0020784C" w:rsidRDefault="00A3063F" w14:paraId="74650B93"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E8CDE72" w14:textId="77777777">
        <w:trPr>
          <w:trHeight w:val="300"/>
        </w:trPr>
        <w:tc>
          <w:tcPr>
            <w:tcW w:w="6804" w:type="dxa"/>
            <w:gridSpan w:val="2"/>
            <w:tcBorders>
              <w:left w:val="nil"/>
              <w:right w:val="nil"/>
            </w:tcBorders>
            <w:noWrap/>
            <w:hideMark/>
          </w:tcPr>
          <w:p w:rsidRPr="00BE2643" w:rsidR="00A3063F" w:rsidP="0020784C" w:rsidRDefault="00A3063F" w14:paraId="57CFE2EC" w14:textId="77777777">
            <w:pPr>
              <w:ind w:firstLine="200" w:firstLineChars="100"/>
              <w:rPr>
                <w:rFonts w:ascii="Arial" w:hAnsi="Arial" w:eastAsia="Times New Roman" w:cs="Arial"/>
                <w:sz w:val="20"/>
                <w:szCs w:val="20"/>
              </w:rPr>
            </w:pPr>
            <w:r w:rsidRPr="00BE2643">
              <w:rPr>
                <w:rFonts w:ascii="Arial" w:hAnsi="Arial"/>
                <w:sz w:val="20"/>
              </w:rPr>
              <w:t>d. Bilansiväliste kirjete tinglik brutoväärtus</w:t>
            </w:r>
          </w:p>
        </w:tc>
        <w:tc>
          <w:tcPr>
            <w:tcW w:w="2745" w:type="dxa"/>
            <w:tcBorders>
              <w:left w:val="nil"/>
              <w:right w:val="nil"/>
            </w:tcBorders>
            <w:noWrap/>
            <w:hideMark/>
          </w:tcPr>
          <w:p w:rsidRPr="00BE2643" w:rsidR="00A3063F" w:rsidP="0020784C" w:rsidRDefault="00A3063F" w14:paraId="5D4155FE" w14:textId="77777777">
            <w:pPr>
              <w:ind w:firstLine="200" w:firstLineChars="100"/>
              <w:rPr>
                <w:rFonts w:ascii="Arial" w:hAnsi="Arial" w:eastAsia="Times New Roman" w:cs="Arial"/>
                <w:sz w:val="20"/>
                <w:szCs w:val="20"/>
              </w:rPr>
            </w:pPr>
            <w:r w:rsidRPr="00BE2643">
              <w:rPr>
                <w:rFonts w:ascii="Arial" w:hAnsi="Arial"/>
                <w:sz w:val="20"/>
              </w:rPr>
              <w:t> </w:t>
            </w:r>
          </w:p>
        </w:tc>
      </w:tr>
      <w:tr w:rsidRPr="00BE2643" w:rsidR="00A3063F" w:rsidTr="0020784C" w14:paraId="556BAF8E" w14:textId="77777777">
        <w:trPr>
          <w:trHeight w:val="300"/>
        </w:trPr>
        <w:tc>
          <w:tcPr>
            <w:tcW w:w="6804" w:type="dxa"/>
            <w:gridSpan w:val="2"/>
            <w:tcBorders>
              <w:left w:val="nil"/>
              <w:right w:val="nil"/>
            </w:tcBorders>
            <w:noWrap/>
            <w:hideMark/>
          </w:tcPr>
          <w:p w:rsidRPr="00BE2643" w:rsidR="00A3063F" w:rsidP="0020784C" w:rsidRDefault="00A3063F" w14:paraId="6D3E87D7"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Kirjed, millele kohaldatakse 0% krediidi ümberhindlustegurit</w:t>
            </w:r>
          </w:p>
        </w:tc>
        <w:tc>
          <w:tcPr>
            <w:tcW w:w="2745" w:type="dxa"/>
            <w:tcBorders>
              <w:left w:val="nil"/>
              <w:right w:val="nil"/>
            </w:tcBorders>
            <w:noWrap/>
            <w:hideMark/>
          </w:tcPr>
          <w:p w:rsidRPr="00BE2643" w:rsidR="00A3063F" w:rsidP="0020784C" w:rsidRDefault="00A3063F" w14:paraId="12EE277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4CE16621" w14:textId="77777777">
        <w:trPr>
          <w:trHeight w:val="300"/>
        </w:trPr>
        <w:tc>
          <w:tcPr>
            <w:tcW w:w="6804" w:type="dxa"/>
            <w:gridSpan w:val="2"/>
            <w:tcBorders>
              <w:left w:val="nil"/>
              <w:right w:val="nil"/>
            </w:tcBorders>
            <w:noWrap/>
            <w:hideMark/>
          </w:tcPr>
          <w:p w:rsidRPr="00BE2643" w:rsidR="00A3063F" w:rsidP="0020784C" w:rsidRDefault="00A3063F" w14:paraId="1F3AB973" w14:textId="77777777">
            <w:pPr>
              <w:ind w:firstLine="400" w:firstLineChars="200"/>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Kirjed, millele kohaldatakse 20% krediidi ümberhindlustegurit</w:t>
            </w:r>
          </w:p>
        </w:tc>
        <w:tc>
          <w:tcPr>
            <w:tcW w:w="2745" w:type="dxa"/>
            <w:tcBorders>
              <w:left w:val="nil"/>
              <w:right w:val="nil"/>
            </w:tcBorders>
            <w:noWrap/>
            <w:hideMark/>
          </w:tcPr>
          <w:p w:rsidRPr="00BE2643" w:rsidR="00A3063F" w:rsidP="0020784C" w:rsidRDefault="00A3063F" w14:paraId="2AE9229B"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50E8CCC" w14:textId="77777777">
        <w:trPr>
          <w:trHeight w:val="300"/>
        </w:trPr>
        <w:tc>
          <w:tcPr>
            <w:tcW w:w="6804" w:type="dxa"/>
            <w:gridSpan w:val="2"/>
            <w:tcBorders>
              <w:left w:val="nil"/>
              <w:right w:val="nil"/>
            </w:tcBorders>
            <w:noWrap/>
            <w:hideMark/>
          </w:tcPr>
          <w:p w:rsidRPr="00BE2643" w:rsidR="00A3063F" w:rsidP="0020784C" w:rsidRDefault="00A3063F" w14:paraId="7E17E750" w14:textId="77777777">
            <w:pPr>
              <w:ind w:firstLine="400" w:firstLineChars="200"/>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Kirjed, millele kohaldatakse 50% krediidi ümberhindlustegurit</w:t>
            </w:r>
          </w:p>
        </w:tc>
        <w:tc>
          <w:tcPr>
            <w:tcW w:w="2745" w:type="dxa"/>
            <w:tcBorders>
              <w:left w:val="nil"/>
              <w:right w:val="nil"/>
            </w:tcBorders>
            <w:noWrap/>
            <w:hideMark/>
          </w:tcPr>
          <w:p w:rsidRPr="00BE2643" w:rsidR="00A3063F" w:rsidP="0020784C" w:rsidRDefault="00A3063F" w14:paraId="7611D468"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C4663B9" w14:textId="77777777">
        <w:trPr>
          <w:trHeight w:val="300"/>
        </w:trPr>
        <w:tc>
          <w:tcPr>
            <w:tcW w:w="6804" w:type="dxa"/>
            <w:gridSpan w:val="2"/>
            <w:tcBorders>
              <w:left w:val="nil"/>
              <w:right w:val="nil"/>
            </w:tcBorders>
            <w:noWrap/>
            <w:hideMark/>
          </w:tcPr>
          <w:p w:rsidRPr="00BE2643" w:rsidR="00A3063F" w:rsidP="0020784C" w:rsidRDefault="00A3063F" w14:paraId="3A3C410E" w14:textId="77777777">
            <w:pPr>
              <w:ind w:firstLine="400" w:firstLineChars="200"/>
              <w:rPr>
                <w:rFonts w:ascii="Arial" w:hAnsi="Arial" w:eastAsia="Times New Roman" w:cs="Arial"/>
                <w:sz w:val="20"/>
                <w:szCs w:val="20"/>
              </w:rPr>
            </w:pPr>
            <w:r w:rsidRPr="00BE2643">
              <w:rPr>
                <w:rFonts w:ascii="Arial" w:hAnsi="Arial"/>
                <w:sz w:val="20"/>
                <w:lang w:eastAsia="en-GB"/>
              </w:rPr>
              <w:t xml:space="preserve">(4) </w:t>
            </w:r>
            <w:r w:rsidRPr="00BE2643">
              <w:rPr>
                <w:rFonts w:ascii="Arial" w:hAnsi="Arial"/>
                <w:sz w:val="20"/>
              </w:rPr>
              <w:t>Kirjed, millele kohaldatakse 100% krediidi ümberhindlustegurit</w:t>
            </w:r>
          </w:p>
        </w:tc>
        <w:tc>
          <w:tcPr>
            <w:tcW w:w="2745" w:type="dxa"/>
            <w:tcBorders>
              <w:left w:val="nil"/>
              <w:right w:val="nil"/>
            </w:tcBorders>
            <w:noWrap/>
            <w:hideMark/>
          </w:tcPr>
          <w:p w:rsidRPr="00BE2643" w:rsidR="00A3063F" w:rsidP="0020784C" w:rsidRDefault="00A3063F" w14:paraId="349892D9"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16AF994" w14:textId="77777777">
        <w:trPr>
          <w:trHeight w:val="300"/>
        </w:trPr>
        <w:tc>
          <w:tcPr>
            <w:tcW w:w="6804" w:type="dxa"/>
            <w:gridSpan w:val="2"/>
            <w:tcBorders>
              <w:left w:val="nil"/>
              <w:right w:val="nil"/>
            </w:tcBorders>
            <w:noWrap/>
            <w:hideMark/>
          </w:tcPr>
          <w:p w:rsidRPr="00BE2643" w:rsidR="00A3063F" w:rsidP="0020784C" w:rsidRDefault="00A3063F" w14:paraId="136CA8B2" w14:textId="77777777">
            <w:pPr>
              <w:ind w:firstLine="200" w:firstLineChars="100"/>
              <w:rPr>
                <w:rFonts w:ascii="Arial" w:hAnsi="Arial" w:eastAsia="Times New Roman" w:cs="Arial"/>
                <w:sz w:val="20"/>
                <w:szCs w:val="20"/>
              </w:rPr>
            </w:pPr>
            <w:r w:rsidRPr="00BE2643">
              <w:rPr>
                <w:rFonts w:ascii="Arial" w:hAnsi="Arial"/>
                <w:sz w:val="20"/>
              </w:rPr>
              <w:lastRenderedPageBreak/>
              <w:t>e. Regulatiivsed korrigeerimised</w:t>
            </w:r>
          </w:p>
        </w:tc>
        <w:tc>
          <w:tcPr>
            <w:tcW w:w="2745" w:type="dxa"/>
            <w:tcBorders>
              <w:left w:val="nil"/>
              <w:right w:val="nil"/>
            </w:tcBorders>
            <w:noWrap/>
            <w:hideMark/>
          </w:tcPr>
          <w:p w:rsidRPr="00BE2643" w:rsidR="00A3063F" w:rsidP="0020784C" w:rsidRDefault="00A3063F" w14:paraId="4A906B23"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19C176DA" w14:textId="77777777">
        <w:trPr>
          <w:trHeight w:val="300"/>
        </w:trPr>
        <w:tc>
          <w:tcPr>
            <w:tcW w:w="6804" w:type="dxa"/>
            <w:gridSpan w:val="2"/>
            <w:tcBorders>
              <w:left w:val="nil"/>
              <w:right w:val="nil"/>
            </w:tcBorders>
            <w:noWrap/>
          </w:tcPr>
          <w:p w:rsidRPr="00BE2643" w:rsidR="00A3063F" w:rsidP="0020784C" w:rsidRDefault="00A3063F" w14:paraId="1FF570C5" w14:textId="77777777">
            <w:pPr>
              <w:ind w:left="171" w:firstLine="28" w:firstLineChars="14"/>
              <w:rPr>
                <w:rFonts w:ascii="Arial" w:hAnsi="Arial" w:eastAsia="Times New Roman" w:cs="Arial"/>
                <w:sz w:val="20"/>
                <w:szCs w:val="20"/>
              </w:rPr>
            </w:pPr>
            <w:r w:rsidRPr="00BE2643">
              <w:rPr>
                <w:rFonts w:ascii="Arial" w:hAnsi="Arial"/>
                <w:sz w:val="20"/>
              </w:rPr>
              <w:t>f. Koguriskipositsioonid enne regulatiivseid korrigeerimisi (kirjete 2.a.(1)–2.c, 0,1 × 2.d.(1), 0,2 × 2.d.(2), 0,5 × 2.d.(3) ja 2.d.(4) summa)</w:t>
            </w:r>
          </w:p>
        </w:tc>
        <w:tc>
          <w:tcPr>
            <w:tcW w:w="2745" w:type="dxa"/>
            <w:tcBorders>
              <w:left w:val="nil"/>
              <w:right w:val="nil"/>
            </w:tcBorders>
            <w:noWrap/>
          </w:tcPr>
          <w:p w:rsidRPr="00BE2643" w:rsidR="00A3063F" w:rsidP="0020784C" w:rsidRDefault="00A3063F" w14:paraId="25F3EC6A" w14:textId="77777777">
            <w:pPr>
              <w:jc w:val="right"/>
              <w:rPr>
                <w:rFonts w:ascii="Arial" w:hAnsi="Arial" w:eastAsia="Times New Roman" w:cs="Arial"/>
                <w:sz w:val="20"/>
                <w:szCs w:val="20"/>
                <w:lang w:eastAsia="en-GB"/>
              </w:rPr>
            </w:pPr>
          </w:p>
        </w:tc>
      </w:tr>
      <w:tr w:rsidRPr="00BE2643" w:rsidR="00A3063F" w:rsidTr="0020784C" w14:paraId="185ED949" w14:textId="77777777">
        <w:trPr>
          <w:trHeight w:val="300"/>
        </w:trPr>
        <w:tc>
          <w:tcPr>
            <w:tcW w:w="6804" w:type="dxa"/>
            <w:gridSpan w:val="2"/>
            <w:tcBorders>
              <w:left w:val="nil"/>
              <w:right w:val="nil"/>
            </w:tcBorders>
            <w:noWrap/>
          </w:tcPr>
          <w:p w:rsidRPr="00BE2643" w:rsidR="00A3063F" w:rsidP="0020784C" w:rsidRDefault="00A3063F" w14:paraId="2DF94298" w14:textId="77777777">
            <w:pPr>
              <w:ind w:left="171" w:firstLine="28" w:firstLineChars="14"/>
              <w:rPr>
                <w:rFonts w:ascii="Arial" w:hAnsi="Arial" w:eastAsia="Times New Roman" w:cs="Arial"/>
                <w:sz w:val="20"/>
                <w:szCs w:val="20"/>
              </w:rPr>
            </w:pPr>
            <w:r w:rsidRPr="00BE2643">
              <w:rPr>
                <w:rFonts w:ascii="Arial" w:hAnsi="Arial"/>
                <w:sz w:val="20"/>
              </w:rPr>
              <w:t>g. Punkti 2.f alla mittekuuluvad kindlustusvaldkonna tütarettevõtjate riskipositsioonid, millest on maha arvatud grupisisesed riskipositsioonid:</w:t>
            </w:r>
          </w:p>
        </w:tc>
        <w:tc>
          <w:tcPr>
            <w:tcW w:w="2745" w:type="dxa"/>
            <w:tcBorders>
              <w:left w:val="nil"/>
              <w:right w:val="nil"/>
            </w:tcBorders>
            <w:noWrap/>
          </w:tcPr>
          <w:p w:rsidRPr="00BE2643" w:rsidR="00A3063F" w:rsidP="0020784C" w:rsidRDefault="00A3063F" w14:paraId="4E7C79F0" w14:textId="77777777">
            <w:pPr>
              <w:jc w:val="right"/>
              <w:rPr>
                <w:rFonts w:ascii="Arial" w:hAnsi="Arial" w:eastAsia="Times New Roman" w:cs="Arial"/>
                <w:sz w:val="20"/>
                <w:szCs w:val="20"/>
                <w:lang w:eastAsia="en-GB"/>
              </w:rPr>
            </w:pPr>
          </w:p>
        </w:tc>
      </w:tr>
      <w:tr w:rsidRPr="00BE2643" w:rsidR="00A3063F" w:rsidTr="0020784C" w14:paraId="361E15D9" w14:textId="77777777">
        <w:trPr>
          <w:trHeight w:val="300"/>
        </w:trPr>
        <w:tc>
          <w:tcPr>
            <w:tcW w:w="6804" w:type="dxa"/>
            <w:gridSpan w:val="2"/>
            <w:tcBorders>
              <w:left w:val="nil"/>
              <w:right w:val="nil"/>
            </w:tcBorders>
            <w:noWrap/>
          </w:tcPr>
          <w:p w:rsidRPr="00BE2643" w:rsidR="00A3063F" w:rsidP="0020784C" w:rsidRDefault="00A3063F" w14:paraId="09C28AFB" w14:textId="77777777">
            <w:pPr>
              <w:ind w:left="720" w:firstLine="28" w:firstLineChars="14"/>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Kindlustusvaldkonna tütarettevõtjate bilansilised ja bilansivälised varad</w:t>
            </w:r>
          </w:p>
        </w:tc>
        <w:tc>
          <w:tcPr>
            <w:tcW w:w="2745" w:type="dxa"/>
            <w:tcBorders>
              <w:left w:val="nil"/>
              <w:right w:val="nil"/>
            </w:tcBorders>
            <w:noWrap/>
          </w:tcPr>
          <w:p w:rsidRPr="00BE2643" w:rsidR="00A3063F" w:rsidP="0020784C" w:rsidRDefault="00A3063F" w14:paraId="075A8146" w14:textId="77777777">
            <w:pPr>
              <w:jc w:val="right"/>
              <w:rPr>
                <w:rFonts w:ascii="Arial" w:hAnsi="Arial" w:eastAsia="Times New Roman" w:cs="Arial"/>
                <w:sz w:val="20"/>
                <w:szCs w:val="20"/>
                <w:lang w:eastAsia="en-GB"/>
              </w:rPr>
            </w:pPr>
          </w:p>
        </w:tc>
      </w:tr>
      <w:tr w:rsidRPr="00BE2643" w:rsidR="00A3063F" w:rsidTr="0020784C" w14:paraId="1371F6A1" w14:textId="77777777">
        <w:trPr>
          <w:trHeight w:val="300"/>
        </w:trPr>
        <w:tc>
          <w:tcPr>
            <w:tcW w:w="6804" w:type="dxa"/>
            <w:gridSpan w:val="2"/>
            <w:tcBorders>
              <w:left w:val="nil"/>
              <w:right w:val="nil"/>
            </w:tcBorders>
            <w:noWrap/>
          </w:tcPr>
          <w:p w:rsidRPr="00BE2643" w:rsidR="00A3063F" w:rsidP="0020784C" w:rsidRDefault="00A3063F" w14:paraId="3B39013F" w14:textId="77777777">
            <w:pPr>
              <w:ind w:left="720" w:firstLine="28" w:firstLineChars="14"/>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Kindlustusvaldkonna tütarettevõtjate tuletisinstrumentide võimalik tulevane riskipositsioon</w:t>
            </w:r>
          </w:p>
        </w:tc>
        <w:tc>
          <w:tcPr>
            <w:tcW w:w="2745" w:type="dxa"/>
            <w:tcBorders>
              <w:left w:val="nil"/>
              <w:right w:val="nil"/>
            </w:tcBorders>
            <w:noWrap/>
          </w:tcPr>
          <w:p w:rsidRPr="00BE2643" w:rsidR="00A3063F" w:rsidP="0020784C" w:rsidRDefault="00A3063F" w14:paraId="14F19871" w14:textId="77777777">
            <w:pPr>
              <w:jc w:val="right"/>
              <w:rPr>
                <w:rFonts w:ascii="Arial" w:hAnsi="Arial" w:eastAsia="Times New Roman" w:cs="Arial"/>
                <w:sz w:val="20"/>
                <w:szCs w:val="20"/>
                <w:lang w:eastAsia="en-GB"/>
              </w:rPr>
            </w:pPr>
          </w:p>
        </w:tc>
      </w:tr>
      <w:tr w:rsidRPr="00BE2643" w:rsidR="00A3063F" w:rsidTr="0020784C" w14:paraId="702E7446" w14:textId="77777777">
        <w:trPr>
          <w:trHeight w:val="300"/>
        </w:trPr>
        <w:tc>
          <w:tcPr>
            <w:tcW w:w="6804" w:type="dxa"/>
            <w:gridSpan w:val="2"/>
            <w:tcBorders>
              <w:left w:val="nil"/>
              <w:right w:val="nil"/>
            </w:tcBorders>
            <w:noWrap/>
          </w:tcPr>
          <w:p w:rsidRPr="00BE2643" w:rsidR="00A3063F" w:rsidP="0020784C" w:rsidRDefault="00A3063F" w14:paraId="160F2E38" w14:textId="77777777">
            <w:pPr>
              <w:ind w:left="720" w:firstLine="28" w:firstLineChars="14"/>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Konsolideeritud üksustesse tehtud investeeringute väärtus</w:t>
            </w:r>
          </w:p>
        </w:tc>
        <w:tc>
          <w:tcPr>
            <w:tcW w:w="2745" w:type="dxa"/>
            <w:tcBorders>
              <w:left w:val="nil"/>
              <w:right w:val="nil"/>
            </w:tcBorders>
            <w:noWrap/>
          </w:tcPr>
          <w:p w:rsidRPr="00BE2643" w:rsidR="00A3063F" w:rsidP="0020784C" w:rsidRDefault="00A3063F" w14:paraId="5F6CE8DE" w14:textId="77777777">
            <w:pPr>
              <w:jc w:val="right"/>
              <w:rPr>
                <w:rFonts w:ascii="Arial" w:hAnsi="Arial" w:eastAsia="Times New Roman" w:cs="Arial"/>
                <w:sz w:val="20"/>
                <w:szCs w:val="20"/>
                <w:lang w:eastAsia="en-GB"/>
              </w:rPr>
            </w:pPr>
          </w:p>
        </w:tc>
      </w:tr>
      <w:tr w:rsidRPr="00BE2643" w:rsidR="00A3063F" w:rsidTr="0020784C" w14:paraId="7B0D4917" w14:textId="77777777">
        <w:trPr>
          <w:trHeight w:val="300"/>
        </w:trPr>
        <w:tc>
          <w:tcPr>
            <w:tcW w:w="6804" w:type="dxa"/>
            <w:gridSpan w:val="2"/>
            <w:tcBorders>
              <w:left w:val="nil"/>
              <w:right w:val="nil"/>
            </w:tcBorders>
            <w:noWrap/>
          </w:tcPr>
          <w:p w:rsidRPr="00BE2643" w:rsidR="00A3063F" w:rsidP="0020784C" w:rsidRDefault="00A3063F" w14:paraId="412F8349" w14:textId="77777777">
            <w:pPr>
              <w:ind w:left="171"/>
              <w:rPr>
                <w:rFonts w:ascii="Arial" w:hAnsi="Arial" w:eastAsia="Times New Roman" w:cs="Arial"/>
                <w:sz w:val="20"/>
                <w:szCs w:val="20"/>
              </w:rPr>
            </w:pPr>
            <w:r w:rsidRPr="00BE2643">
              <w:rPr>
                <w:rFonts w:ascii="Arial" w:hAnsi="Arial"/>
                <w:sz w:val="20"/>
              </w:rPr>
              <w:t>h. Punktis 2.g teatatud kindlustusvaldkonna tütarettevõtjatele punktis 2.f lisatud grupisisesed riskipositsioonid</w:t>
            </w:r>
          </w:p>
        </w:tc>
        <w:tc>
          <w:tcPr>
            <w:tcW w:w="2745" w:type="dxa"/>
            <w:tcBorders>
              <w:left w:val="nil"/>
              <w:right w:val="nil"/>
            </w:tcBorders>
            <w:noWrap/>
          </w:tcPr>
          <w:p w:rsidRPr="00BE2643" w:rsidR="00A3063F" w:rsidP="0020784C" w:rsidRDefault="00A3063F" w14:paraId="56CC6A0D" w14:textId="77777777">
            <w:pPr>
              <w:jc w:val="right"/>
              <w:rPr>
                <w:rFonts w:ascii="Arial" w:hAnsi="Arial" w:eastAsia="Times New Roman" w:cs="Arial"/>
                <w:sz w:val="20"/>
                <w:szCs w:val="20"/>
                <w:lang w:eastAsia="en-GB"/>
              </w:rPr>
            </w:pPr>
          </w:p>
        </w:tc>
      </w:tr>
      <w:tr w:rsidRPr="00BE2643" w:rsidR="00A3063F" w:rsidTr="0020784C" w14:paraId="32C0457C"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47B9E56D" w14:textId="77777777">
            <w:pPr>
              <w:ind w:left="171"/>
              <w:rPr>
                <w:rFonts w:ascii="Arial" w:hAnsi="Arial" w:eastAsia="Times New Roman" w:cs="Arial"/>
                <w:sz w:val="20"/>
                <w:szCs w:val="20"/>
              </w:rPr>
            </w:pPr>
            <w:r w:rsidRPr="00BE2643">
              <w:rPr>
                <w:rFonts w:ascii="Arial" w:hAnsi="Arial"/>
                <w:sz w:val="20"/>
              </w:rPr>
              <w:t>i. Koguriskipositsiooni näitaja, sh kindlustusvaldkonna tütarettevõtjad (kirjete 2.f., 2.g.(1)–2.g.(2) summa, miinus 2.g.(3)–2.h.)</w:t>
            </w:r>
          </w:p>
        </w:tc>
        <w:tc>
          <w:tcPr>
            <w:tcW w:w="2745" w:type="dxa"/>
            <w:tcBorders>
              <w:left w:val="nil"/>
              <w:bottom w:val="single" w:color="auto" w:sz="4" w:space="0"/>
              <w:right w:val="nil"/>
            </w:tcBorders>
            <w:noWrap/>
          </w:tcPr>
          <w:p w:rsidRPr="00BE2643" w:rsidR="00A3063F" w:rsidP="0020784C" w:rsidRDefault="00A3063F" w14:paraId="41A359FE" w14:textId="77777777">
            <w:pPr>
              <w:jc w:val="right"/>
              <w:rPr>
                <w:rFonts w:ascii="Arial" w:hAnsi="Arial" w:eastAsia="Times New Roman" w:cs="Arial"/>
                <w:sz w:val="20"/>
                <w:szCs w:val="20"/>
                <w:lang w:eastAsia="en-GB"/>
              </w:rPr>
            </w:pPr>
          </w:p>
        </w:tc>
      </w:tr>
      <w:tr w:rsidRPr="00BE2643" w:rsidR="00A3063F" w:rsidTr="0020784C" w14:paraId="463402BD" w14:textId="77777777">
        <w:trPr>
          <w:trHeight w:val="403"/>
        </w:trPr>
        <w:tc>
          <w:tcPr>
            <w:tcW w:w="9549" w:type="dxa"/>
            <w:gridSpan w:val="3"/>
            <w:tcBorders>
              <w:left w:val="nil"/>
              <w:right w:val="nil"/>
            </w:tcBorders>
            <w:noWrap/>
            <w:hideMark/>
          </w:tcPr>
          <w:p w:rsidRPr="00BE2643" w:rsidR="00A3063F" w:rsidP="0020784C" w:rsidRDefault="00A3063F" w14:paraId="15366238"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BE2643" w:rsidR="00A3063F" w:rsidP="0020784C" w:rsidRDefault="00A3063F" w14:paraId="6262AC59" w14:textId="77777777">
            <w:pPr>
              <w:keepNext/>
              <w:keepLines/>
              <w:spacing w:before="47"/>
              <w:outlineLvl w:val="5"/>
              <w:rPr>
                <w:rFonts w:ascii="Arial" w:hAnsi="Arial" w:eastAsia="Times New Roman" w:cs="Arial"/>
                <w:i/>
                <w:iCs/>
                <w:caps/>
                <w:color w:val="172B39" w:themeColor="accent1" w:themeShade="80"/>
                <w:sz w:val="20"/>
                <w:szCs w:val="20"/>
              </w:rPr>
            </w:pPr>
            <w:r w:rsidRPr="00BE2643">
              <w:rPr>
                <w:rFonts w:ascii="Arial" w:hAnsi="Arial"/>
                <w:b/>
                <w:i/>
                <w:caps/>
                <w:color w:val="172B39" w:themeColor="accent1" w:themeShade="80"/>
                <w:sz w:val="24"/>
              </w:rPr>
              <w:t> </w:t>
            </w:r>
            <w:r w:rsidRPr="00BE2643">
              <w:rPr>
                <w:rFonts w:asciiTheme="majorHAnsi" w:hAnsiTheme="majorHAnsi"/>
                <w:b/>
                <w:i/>
                <w:caps/>
              </w:rPr>
              <w:t>Vastastikuse seotuse näitajad</w:t>
            </w:r>
          </w:p>
          <w:p w:rsidRPr="00BE2643" w:rsidR="00A3063F" w:rsidP="0020784C" w:rsidRDefault="00A3063F" w14:paraId="7E7AC066" w14:textId="77777777">
            <w:pPr>
              <w:rPr>
                <w:rFonts w:ascii="Arial" w:hAnsi="Arial" w:eastAsia="Times New Roman" w:cs="Arial"/>
                <w:b/>
                <w:bCs/>
                <w:sz w:val="24"/>
                <w:szCs w:val="24"/>
              </w:rPr>
            </w:pPr>
            <w:r w:rsidRPr="00BE2643">
              <w:rPr>
                <w:rFonts w:ascii="Arial" w:hAnsi="Arial"/>
                <w:b/>
                <w:sz w:val="24"/>
              </w:rPr>
              <w:t> </w:t>
            </w:r>
          </w:p>
        </w:tc>
      </w:tr>
      <w:tr w:rsidRPr="00BE2643" w:rsidR="00A3063F" w:rsidTr="0020784C" w14:paraId="76E3B83F"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5459E5E6" w14:textId="77777777">
            <w:pPr>
              <w:rPr>
                <w:rFonts w:ascii="Arial" w:hAnsi="Arial" w:eastAsia="Times New Roman" w:cs="Arial"/>
                <w:b/>
                <w:bCs/>
                <w:sz w:val="20"/>
                <w:szCs w:val="20"/>
              </w:rPr>
            </w:pPr>
            <w:r w:rsidRPr="00BE2643">
              <w:rPr>
                <w:rFonts w:ascii="Arial" w:hAnsi="Arial"/>
                <w:b/>
                <w:sz w:val="20"/>
              </w:rPr>
              <w:t>3. jagu. Finantssüsteemisisesed varad</w:t>
            </w:r>
          </w:p>
        </w:tc>
        <w:tc>
          <w:tcPr>
            <w:tcW w:w="2745" w:type="dxa"/>
            <w:tcBorders>
              <w:left w:val="nil"/>
              <w:bottom w:val="single" w:color="auto" w:sz="4" w:space="0"/>
              <w:right w:val="nil"/>
            </w:tcBorders>
            <w:hideMark/>
          </w:tcPr>
          <w:p w:rsidRPr="00BE2643" w:rsidR="00A3063F" w:rsidP="0020784C" w:rsidRDefault="00A3063F" w14:paraId="17D58F36"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61AA4240" w14:textId="77777777">
        <w:trPr>
          <w:trHeight w:val="300"/>
        </w:trPr>
        <w:tc>
          <w:tcPr>
            <w:tcW w:w="6804" w:type="dxa"/>
            <w:gridSpan w:val="2"/>
            <w:tcBorders>
              <w:left w:val="nil"/>
              <w:right w:val="nil"/>
            </w:tcBorders>
            <w:noWrap/>
            <w:hideMark/>
          </w:tcPr>
          <w:p w:rsidRPr="00BE2643" w:rsidR="00A3063F" w:rsidP="0020784C" w:rsidRDefault="00A3063F" w14:paraId="19203A7B" w14:textId="77777777">
            <w:pPr>
              <w:ind w:firstLine="200" w:firstLineChars="100"/>
              <w:rPr>
                <w:rFonts w:ascii="Arial" w:hAnsi="Arial" w:eastAsia="Times New Roman" w:cs="Arial"/>
                <w:sz w:val="20"/>
                <w:szCs w:val="20"/>
              </w:rPr>
            </w:pPr>
            <w:r w:rsidRPr="00BE2643">
              <w:rPr>
                <w:rFonts w:ascii="Arial" w:hAnsi="Arial"/>
                <w:sz w:val="20"/>
              </w:rPr>
              <w:t>a. Teistele finantseerimisasutustele hoiule antud või laenatud vahendid</w:t>
            </w:r>
          </w:p>
        </w:tc>
        <w:tc>
          <w:tcPr>
            <w:tcW w:w="2745" w:type="dxa"/>
            <w:tcBorders>
              <w:left w:val="nil"/>
              <w:right w:val="nil"/>
            </w:tcBorders>
            <w:noWrap/>
            <w:hideMark/>
          </w:tcPr>
          <w:p w:rsidRPr="00BE2643" w:rsidR="00A3063F" w:rsidP="0020784C" w:rsidRDefault="00A3063F" w14:paraId="0470424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34A98C8B"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5BBC8982"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 xml:space="preserve">Hoiusesertifikaadid </w:t>
            </w:r>
          </w:p>
        </w:tc>
        <w:tc>
          <w:tcPr>
            <w:tcW w:w="2745" w:type="dxa"/>
            <w:tcBorders>
              <w:left w:val="nil"/>
              <w:right w:val="nil"/>
            </w:tcBorders>
            <w:noWrap/>
            <w:hideMark/>
          </w:tcPr>
          <w:p w:rsidRPr="00BE2643" w:rsidR="00A3063F" w:rsidP="0020784C" w:rsidRDefault="00A3063F" w14:paraId="6AF42E85"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DB66D28" w14:textId="77777777">
        <w:trPr>
          <w:gridAfter w:val="1"/>
          <w:wAfter w:w="2745" w:type="dxa"/>
          <w:trHeight w:val="300"/>
        </w:trPr>
        <w:tc>
          <w:tcPr>
            <w:tcW w:w="6804" w:type="dxa"/>
            <w:gridSpan w:val="2"/>
            <w:tcBorders>
              <w:left w:val="nil"/>
              <w:right w:val="nil"/>
            </w:tcBorders>
            <w:noWrap/>
            <w:hideMark/>
          </w:tcPr>
          <w:p w:rsidRPr="00BE2643" w:rsidR="00A3063F" w:rsidP="0020784C" w:rsidRDefault="00A3063F" w14:paraId="67817D72" w14:textId="77777777">
            <w:pPr>
              <w:ind w:left="171" w:firstLine="28" w:firstLineChars="14"/>
              <w:rPr>
                <w:rFonts w:ascii="Arial" w:hAnsi="Arial" w:eastAsia="Times New Roman" w:cs="Arial"/>
                <w:sz w:val="20"/>
                <w:szCs w:val="20"/>
              </w:rPr>
            </w:pPr>
            <w:r w:rsidRPr="00BE2643">
              <w:rPr>
                <w:rFonts w:ascii="Arial" w:hAnsi="Arial"/>
                <w:sz w:val="20"/>
              </w:rPr>
              <w:t>b. Teistele finantseerimisasutustele võimaldatud kasutamata krediidi- ja likviidsusliinid</w:t>
            </w:r>
          </w:p>
        </w:tc>
      </w:tr>
      <w:tr w:rsidRPr="00BE2643" w:rsidR="00A3063F" w:rsidTr="0020784C" w14:paraId="51710550" w14:textId="77777777">
        <w:trPr>
          <w:trHeight w:val="300"/>
        </w:trPr>
        <w:tc>
          <w:tcPr>
            <w:tcW w:w="6804" w:type="dxa"/>
            <w:gridSpan w:val="2"/>
            <w:tcBorders>
              <w:left w:val="nil"/>
              <w:right w:val="nil"/>
            </w:tcBorders>
            <w:noWrap/>
            <w:hideMark/>
          </w:tcPr>
          <w:p w:rsidRPr="00BE2643" w:rsidR="00A3063F" w:rsidP="0020784C" w:rsidRDefault="00A3063F" w14:paraId="0A868335" w14:textId="77777777">
            <w:pPr>
              <w:ind w:firstLine="200" w:firstLineChars="100"/>
              <w:rPr>
                <w:rFonts w:ascii="Arial" w:hAnsi="Arial" w:eastAsia="Times New Roman" w:cs="Arial"/>
                <w:sz w:val="20"/>
                <w:szCs w:val="20"/>
              </w:rPr>
            </w:pPr>
            <w:r w:rsidRPr="00BE2643">
              <w:rPr>
                <w:rFonts w:ascii="Arial" w:hAnsi="Arial"/>
                <w:sz w:val="20"/>
              </w:rPr>
              <w:t>c. Teiste finantseerimisasutuste emiteeritud hoitavad väärtpaberid</w:t>
            </w:r>
          </w:p>
        </w:tc>
        <w:tc>
          <w:tcPr>
            <w:tcW w:w="2745" w:type="dxa"/>
            <w:tcBorders>
              <w:left w:val="nil"/>
              <w:right w:val="nil"/>
            </w:tcBorders>
            <w:noWrap/>
            <w:hideMark/>
          </w:tcPr>
          <w:p w:rsidRPr="00BE2643" w:rsidR="00A3063F" w:rsidP="0020784C" w:rsidRDefault="00A3063F" w14:paraId="65643C7A" w14:textId="77777777">
            <w:pPr>
              <w:ind w:firstLine="200" w:firstLineChars="100"/>
              <w:rPr>
                <w:rFonts w:ascii="Arial" w:hAnsi="Arial" w:eastAsia="Times New Roman" w:cs="Arial"/>
                <w:sz w:val="20"/>
                <w:szCs w:val="20"/>
              </w:rPr>
            </w:pPr>
            <w:r w:rsidRPr="00BE2643">
              <w:rPr>
                <w:rFonts w:ascii="Arial" w:hAnsi="Arial"/>
                <w:sz w:val="20"/>
              </w:rPr>
              <w:t> </w:t>
            </w:r>
          </w:p>
        </w:tc>
      </w:tr>
      <w:tr w:rsidRPr="00BE2643" w:rsidR="00A3063F" w:rsidTr="0020784C" w14:paraId="5A59B934" w14:textId="77777777">
        <w:trPr>
          <w:trHeight w:val="300"/>
        </w:trPr>
        <w:tc>
          <w:tcPr>
            <w:tcW w:w="6804" w:type="dxa"/>
            <w:gridSpan w:val="2"/>
            <w:tcBorders>
              <w:left w:val="nil"/>
              <w:right w:val="nil"/>
            </w:tcBorders>
            <w:noWrap/>
            <w:hideMark/>
          </w:tcPr>
          <w:p w:rsidRPr="00BE2643" w:rsidR="00A3063F" w:rsidP="0020784C" w:rsidRDefault="00A3063F" w14:paraId="77E5A49A"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Tagatud võlaväärtpaberid</w:t>
            </w:r>
          </w:p>
        </w:tc>
        <w:tc>
          <w:tcPr>
            <w:tcW w:w="2745" w:type="dxa"/>
            <w:tcBorders>
              <w:left w:val="nil"/>
              <w:right w:val="nil"/>
            </w:tcBorders>
            <w:noWrap/>
            <w:hideMark/>
          </w:tcPr>
          <w:p w:rsidRPr="00BE2643" w:rsidR="00A3063F" w:rsidP="0020784C" w:rsidRDefault="00A3063F" w14:paraId="3FE8A048"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F4D2A61" w14:textId="77777777">
        <w:trPr>
          <w:trHeight w:val="300"/>
        </w:trPr>
        <w:tc>
          <w:tcPr>
            <w:tcW w:w="6804" w:type="dxa"/>
            <w:gridSpan w:val="2"/>
            <w:tcBorders>
              <w:left w:val="nil"/>
              <w:right w:val="nil"/>
            </w:tcBorders>
            <w:noWrap/>
            <w:hideMark/>
          </w:tcPr>
          <w:p w:rsidRPr="00BE2643" w:rsidR="00A3063F" w:rsidP="0020784C" w:rsidRDefault="00A3063F" w14:paraId="3F22F1EF" w14:textId="77777777">
            <w:pPr>
              <w:ind w:firstLine="400" w:firstLineChars="200"/>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Kõrgema nõudeõiguse järguga tagamata võlaväärtpaberid</w:t>
            </w:r>
          </w:p>
        </w:tc>
        <w:tc>
          <w:tcPr>
            <w:tcW w:w="2745" w:type="dxa"/>
            <w:tcBorders>
              <w:left w:val="nil"/>
              <w:right w:val="nil"/>
            </w:tcBorders>
            <w:noWrap/>
            <w:hideMark/>
          </w:tcPr>
          <w:p w:rsidRPr="00BE2643" w:rsidR="00A3063F" w:rsidP="0020784C" w:rsidRDefault="00A3063F" w14:paraId="3AA822D5"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39A545E8" w14:textId="77777777">
        <w:trPr>
          <w:trHeight w:val="300"/>
        </w:trPr>
        <w:tc>
          <w:tcPr>
            <w:tcW w:w="6804" w:type="dxa"/>
            <w:gridSpan w:val="2"/>
            <w:tcBorders>
              <w:left w:val="nil"/>
              <w:right w:val="nil"/>
            </w:tcBorders>
            <w:noWrap/>
            <w:hideMark/>
          </w:tcPr>
          <w:p w:rsidRPr="00BE2643" w:rsidR="00A3063F" w:rsidP="0020784C" w:rsidRDefault="00A3063F" w14:paraId="2E5FC5BF" w14:textId="77777777">
            <w:pPr>
              <w:ind w:firstLine="400" w:firstLineChars="200"/>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Allutatud võlaväärtpaberid</w:t>
            </w:r>
          </w:p>
        </w:tc>
        <w:tc>
          <w:tcPr>
            <w:tcW w:w="2745" w:type="dxa"/>
            <w:tcBorders>
              <w:left w:val="nil"/>
              <w:right w:val="nil"/>
            </w:tcBorders>
            <w:noWrap/>
            <w:hideMark/>
          </w:tcPr>
          <w:p w:rsidRPr="00BE2643" w:rsidR="00A3063F" w:rsidP="0020784C" w:rsidRDefault="00A3063F" w14:paraId="2B32098E"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1EE46BBB" w14:textId="77777777">
        <w:trPr>
          <w:trHeight w:val="300"/>
        </w:trPr>
        <w:tc>
          <w:tcPr>
            <w:tcW w:w="6804" w:type="dxa"/>
            <w:gridSpan w:val="2"/>
            <w:tcBorders>
              <w:left w:val="nil"/>
              <w:right w:val="nil"/>
            </w:tcBorders>
            <w:noWrap/>
            <w:hideMark/>
          </w:tcPr>
          <w:p w:rsidRPr="00BE2643" w:rsidR="00A3063F" w:rsidP="0020784C" w:rsidRDefault="00A3063F" w14:paraId="1477AD66" w14:textId="77777777">
            <w:pPr>
              <w:ind w:firstLine="400" w:firstLineChars="200"/>
              <w:rPr>
                <w:rFonts w:ascii="Arial" w:hAnsi="Arial" w:eastAsia="Times New Roman" w:cs="Arial"/>
                <w:sz w:val="20"/>
                <w:szCs w:val="20"/>
              </w:rPr>
            </w:pPr>
            <w:r w:rsidRPr="00BE2643">
              <w:rPr>
                <w:rFonts w:ascii="Arial" w:hAnsi="Arial"/>
                <w:sz w:val="20"/>
                <w:lang w:eastAsia="en-GB"/>
              </w:rPr>
              <w:t xml:space="preserve">(4) </w:t>
            </w:r>
            <w:r w:rsidRPr="00BE2643">
              <w:rPr>
                <w:rFonts w:ascii="Arial" w:hAnsi="Arial"/>
                <w:sz w:val="20"/>
              </w:rPr>
              <w:t xml:space="preserve">Kommertsväärtpaberid </w:t>
            </w:r>
          </w:p>
        </w:tc>
        <w:tc>
          <w:tcPr>
            <w:tcW w:w="2745" w:type="dxa"/>
            <w:tcBorders>
              <w:left w:val="nil"/>
              <w:right w:val="nil"/>
            </w:tcBorders>
            <w:noWrap/>
            <w:hideMark/>
          </w:tcPr>
          <w:p w:rsidRPr="00BE2643" w:rsidR="00A3063F" w:rsidP="0020784C" w:rsidRDefault="00A3063F" w14:paraId="4E43ECE8"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19A5D5DC"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3C05AA8B" w14:textId="77777777">
            <w:pPr>
              <w:ind w:firstLine="400" w:firstLineChars="200"/>
              <w:rPr>
                <w:rFonts w:ascii="Arial" w:hAnsi="Arial" w:eastAsia="Times New Roman" w:cs="Arial"/>
                <w:sz w:val="20"/>
                <w:szCs w:val="20"/>
              </w:rPr>
            </w:pPr>
            <w:r w:rsidRPr="00BE2643">
              <w:rPr>
                <w:rFonts w:ascii="Arial" w:hAnsi="Arial"/>
                <w:sz w:val="20"/>
                <w:lang w:eastAsia="en-GB"/>
              </w:rPr>
              <w:t xml:space="preserve">(5) </w:t>
            </w:r>
            <w:r w:rsidRPr="00BE2643">
              <w:rPr>
                <w:rFonts w:ascii="Arial" w:hAnsi="Arial"/>
                <w:sz w:val="20"/>
              </w:rPr>
              <w:t>Kapitaliväärtpaberid</w:t>
            </w:r>
          </w:p>
        </w:tc>
        <w:tc>
          <w:tcPr>
            <w:tcW w:w="2745" w:type="dxa"/>
            <w:tcBorders>
              <w:left w:val="nil"/>
              <w:right w:val="nil"/>
            </w:tcBorders>
            <w:noWrap/>
            <w:hideMark/>
          </w:tcPr>
          <w:p w:rsidRPr="00BE2643" w:rsidR="00A3063F" w:rsidP="0020784C" w:rsidRDefault="00A3063F" w14:paraId="406C6685"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3B806992"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A0A0EB9" w14:textId="77777777">
            <w:pPr>
              <w:ind w:left="313" w:firstLine="86" w:firstLineChars="43"/>
              <w:rPr>
                <w:rFonts w:ascii="Arial" w:hAnsi="Arial" w:eastAsia="Times New Roman" w:cs="Arial"/>
                <w:sz w:val="20"/>
                <w:szCs w:val="20"/>
              </w:rPr>
            </w:pPr>
            <w:r w:rsidRPr="00BE2643">
              <w:rPr>
                <w:rFonts w:ascii="Arial" w:hAnsi="Arial"/>
                <w:sz w:val="20"/>
                <w:lang w:eastAsia="en-GB"/>
              </w:rPr>
              <w:t xml:space="preserve">(6) </w:t>
            </w:r>
            <w:r w:rsidRPr="00BE2643">
              <w:rPr>
                <w:rFonts w:ascii="Arial" w:hAnsi="Arial"/>
                <w:sz w:val="20"/>
              </w:rPr>
              <w:t>Kirjes 3.c.(5) kajastatud konkreetsete kapitaliväärtpaberitega seotud tasakaalustavad lühikesed positsioonid</w:t>
            </w:r>
          </w:p>
        </w:tc>
        <w:tc>
          <w:tcPr>
            <w:tcW w:w="2745" w:type="dxa"/>
            <w:tcBorders>
              <w:left w:val="nil"/>
              <w:right w:val="nil"/>
            </w:tcBorders>
            <w:noWrap/>
          </w:tcPr>
          <w:p w:rsidRPr="00BE2643" w:rsidR="00A3063F" w:rsidP="0020784C" w:rsidRDefault="00A3063F" w14:paraId="3EE392B8" w14:textId="77777777">
            <w:pPr>
              <w:jc w:val="right"/>
              <w:rPr>
                <w:rFonts w:ascii="Arial" w:hAnsi="Arial" w:eastAsia="Times New Roman" w:cs="Arial"/>
                <w:sz w:val="20"/>
                <w:szCs w:val="20"/>
                <w:lang w:eastAsia="en-GB"/>
              </w:rPr>
            </w:pPr>
          </w:p>
        </w:tc>
      </w:tr>
      <w:tr w:rsidRPr="00BE2643" w:rsidR="00A3063F" w:rsidTr="0020784C" w14:paraId="217A7189"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485EDFE1" w14:textId="77777777">
            <w:pPr>
              <w:ind w:firstLine="171"/>
              <w:rPr>
                <w:rFonts w:ascii="Arial" w:hAnsi="Arial" w:eastAsia="Times New Roman" w:cs="Arial"/>
                <w:sz w:val="20"/>
                <w:szCs w:val="20"/>
              </w:rPr>
            </w:pPr>
            <w:r w:rsidRPr="00BE2643">
              <w:rPr>
                <w:rFonts w:ascii="Arial" w:hAnsi="Arial"/>
                <w:sz w:val="20"/>
              </w:rPr>
              <w:t>d. Teiste finantseerimisasutustega tehtud väärtpaberite kaudu finantseerimise tehingute praegune positiivne netopositsioon</w:t>
            </w:r>
          </w:p>
        </w:tc>
        <w:tc>
          <w:tcPr>
            <w:tcW w:w="2745" w:type="dxa"/>
            <w:tcBorders>
              <w:left w:val="nil"/>
              <w:right w:val="nil"/>
            </w:tcBorders>
            <w:noWrap/>
          </w:tcPr>
          <w:p w:rsidRPr="00BE2643" w:rsidR="00A3063F" w:rsidP="0020784C" w:rsidRDefault="00A3063F" w14:paraId="7ABF8C68" w14:textId="77777777">
            <w:pPr>
              <w:jc w:val="right"/>
              <w:rPr>
                <w:rFonts w:ascii="Arial" w:hAnsi="Arial" w:eastAsia="Times New Roman" w:cs="Arial"/>
                <w:sz w:val="20"/>
                <w:szCs w:val="20"/>
                <w:lang w:eastAsia="en-GB"/>
              </w:rPr>
            </w:pPr>
          </w:p>
        </w:tc>
      </w:tr>
      <w:tr w:rsidRPr="00BE2643" w:rsidR="00A3063F" w:rsidTr="0020784C" w14:paraId="43CEDE32"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1626311" w14:textId="77777777">
            <w:pPr>
              <w:ind w:left="171"/>
              <w:rPr>
                <w:rFonts w:ascii="Arial" w:hAnsi="Arial" w:eastAsia="Times New Roman" w:cs="Arial"/>
                <w:sz w:val="20"/>
                <w:szCs w:val="20"/>
              </w:rPr>
            </w:pPr>
            <w:r w:rsidRPr="00BE2643">
              <w:rPr>
                <w:rFonts w:ascii="Arial" w:hAnsi="Arial"/>
                <w:sz w:val="20"/>
              </w:rPr>
              <w:t>e. Teiste finantseerimisasutustega tehtud börsiväliste tuletisinstrumentide tehingud, millel on positiivne õiglane netoväärtus:</w:t>
            </w:r>
          </w:p>
        </w:tc>
        <w:tc>
          <w:tcPr>
            <w:tcW w:w="2745" w:type="dxa"/>
            <w:tcBorders>
              <w:left w:val="nil"/>
              <w:right w:val="nil"/>
            </w:tcBorders>
            <w:noWrap/>
          </w:tcPr>
          <w:p w:rsidRPr="00BE2643" w:rsidR="00A3063F" w:rsidP="0020784C" w:rsidRDefault="00A3063F" w14:paraId="667F7C42" w14:textId="77777777">
            <w:pPr>
              <w:jc w:val="right"/>
              <w:rPr>
                <w:rFonts w:ascii="Arial" w:hAnsi="Arial" w:eastAsia="Times New Roman" w:cs="Arial"/>
                <w:sz w:val="20"/>
                <w:szCs w:val="20"/>
                <w:lang w:eastAsia="en-GB"/>
              </w:rPr>
            </w:pPr>
          </w:p>
        </w:tc>
      </w:tr>
      <w:tr w:rsidRPr="00BE2643" w:rsidR="00A3063F" w:rsidTr="0020784C" w14:paraId="5B3AABE9"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22F056B" w14:textId="77777777">
            <w:pPr>
              <w:ind w:left="313" w:firstLine="86" w:firstLineChars="43"/>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Positiivne õiglane netoväärtus</w:t>
            </w:r>
          </w:p>
        </w:tc>
        <w:tc>
          <w:tcPr>
            <w:tcW w:w="2745" w:type="dxa"/>
            <w:tcBorders>
              <w:left w:val="nil"/>
              <w:right w:val="nil"/>
            </w:tcBorders>
            <w:noWrap/>
          </w:tcPr>
          <w:p w:rsidRPr="00BE2643" w:rsidR="00A3063F" w:rsidP="0020784C" w:rsidRDefault="00A3063F" w14:paraId="10EFD13C" w14:textId="77777777">
            <w:pPr>
              <w:jc w:val="right"/>
              <w:rPr>
                <w:rFonts w:ascii="Arial" w:hAnsi="Arial" w:eastAsia="Times New Roman" w:cs="Arial"/>
                <w:sz w:val="20"/>
                <w:szCs w:val="20"/>
                <w:lang w:eastAsia="en-GB"/>
              </w:rPr>
            </w:pPr>
          </w:p>
        </w:tc>
      </w:tr>
      <w:tr w:rsidRPr="00BE2643" w:rsidR="00A3063F" w:rsidTr="0020784C" w14:paraId="7DEC07F1"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4E1DD90" w14:textId="77777777">
            <w:pPr>
              <w:ind w:left="313" w:firstLine="86" w:firstLineChars="43"/>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Potentsiaalne tuleviku riskipositsioon</w:t>
            </w:r>
          </w:p>
        </w:tc>
        <w:tc>
          <w:tcPr>
            <w:tcW w:w="2745" w:type="dxa"/>
            <w:tcBorders>
              <w:left w:val="nil"/>
              <w:right w:val="nil"/>
            </w:tcBorders>
            <w:noWrap/>
          </w:tcPr>
          <w:p w:rsidRPr="00BE2643" w:rsidR="00A3063F" w:rsidP="0020784C" w:rsidRDefault="00A3063F" w14:paraId="17FDC7F0" w14:textId="77777777">
            <w:pPr>
              <w:jc w:val="right"/>
              <w:rPr>
                <w:rFonts w:ascii="Arial" w:hAnsi="Arial" w:eastAsia="Times New Roman" w:cs="Arial"/>
                <w:sz w:val="20"/>
                <w:szCs w:val="20"/>
                <w:lang w:eastAsia="en-GB"/>
              </w:rPr>
            </w:pPr>
          </w:p>
        </w:tc>
      </w:tr>
      <w:tr w:rsidRPr="00BE2643" w:rsidR="00A3063F" w:rsidTr="0020784C" w14:paraId="1F69DED3" w14:textId="77777777">
        <w:trPr>
          <w:gridAfter w:val="1"/>
          <w:wAfter w:w="2745" w:type="dxa"/>
          <w:trHeight w:val="450"/>
        </w:trPr>
        <w:tc>
          <w:tcPr>
            <w:tcW w:w="6804" w:type="dxa"/>
            <w:gridSpan w:val="2"/>
            <w:vMerge w:val="restart"/>
            <w:tcBorders>
              <w:left w:val="nil"/>
              <w:right w:val="nil"/>
            </w:tcBorders>
            <w:hideMark/>
          </w:tcPr>
          <w:p w:rsidRPr="00BE2643" w:rsidR="00A3063F" w:rsidP="0020784C" w:rsidRDefault="00A3063F" w14:paraId="62F9ACDF" w14:textId="77777777">
            <w:pPr>
              <w:ind w:left="171" w:firstLine="28" w:firstLineChars="14"/>
              <w:rPr>
                <w:rFonts w:ascii="Arial" w:hAnsi="Arial" w:eastAsia="Times New Roman" w:cs="Arial"/>
                <w:sz w:val="20"/>
                <w:szCs w:val="20"/>
              </w:rPr>
            </w:pPr>
            <w:r w:rsidRPr="00BE2643">
              <w:rPr>
                <w:rFonts w:ascii="Arial" w:hAnsi="Arial"/>
                <w:sz w:val="20"/>
              </w:rPr>
              <w:t>f. Finantssüsteemisiseste varade näitaja, sh kindlustusvaldkonna tütarettevõtjad (kirjete 3.a, 3.b–3.c.(5), 3.d, 3.e.(1) ja 3.e.(2) summa, miinus kirje 3.c.(6))</w:t>
            </w:r>
          </w:p>
        </w:tc>
      </w:tr>
      <w:tr w:rsidRPr="00BE2643" w:rsidR="00A3063F" w:rsidTr="0020784C" w14:paraId="05E95E4F" w14:textId="77777777">
        <w:trPr>
          <w:gridAfter w:val="1"/>
          <w:wAfter w:w="2745" w:type="dxa"/>
          <w:trHeight w:val="450"/>
        </w:trPr>
        <w:tc>
          <w:tcPr>
            <w:tcW w:w="6804" w:type="dxa"/>
            <w:gridSpan w:val="2"/>
            <w:vMerge/>
            <w:tcBorders>
              <w:left w:val="nil"/>
              <w:right w:val="nil"/>
            </w:tcBorders>
            <w:hideMark/>
          </w:tcPr>
          <w:p w:rsidRPr="00BE2643" w:rsidR="00A3063F" w:rsidP="0020784C" w:rsidRDefault="00A3063F" w14:paraId="3B960923" w14:textId="77777777">
            <w:pPr>
              <w:rPr>
                <w:rFonts w:ascii="Arial" w:hAnsi="Arial" w:eastAsia="Times New Roman" w:cs="Arial"/>
                <w:sz w:val="20"/>
                <w:szCs w:val="20"/>
                <w:lang w:eastAsia="en-GB"/>
              </w:rPr>
            </w:pPr>
          </w:p>
        </w:tc>
      </w:tr>
      <w:tr w:rsidRPr="00BE2643" w:rsidR="00A3063F" w:rsidTr="0020784C" w14:paraId="29D82167" w14:textId="77777777">
        <w:trPr>
          <w:trHeight w:val="300"/>
        </w:trPr>
        <w:tc>
          <w:tcPr>
            <w:tcW w:w="6804" w:type="dxa"/>
            <w:gridSpan w:val="2"/>
            <w:tcBorders>
              <w:left w:val="nil"/>
              <w:bottom w:val="nil"/>
              <w:right w:val="nil"/>
            </w:tcBorders>
            <w:noWrap/>
          </w:tcPr>
          <w:p w:rsidRPr="00BE2643" w:rsidR="00A3063F" w:rsidP="0020784C" w:rsidRDefault="00A3063F" w14:paraId="64D3A0F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25D2FA46" w14:textId="77777777">
            <w:pPr>
              <w:jc w:val="center"/>
              <w:rPr>
                <w:rFonts w:ascii="Arial" w:hAnsi="Arial" w:eastAsia="Times New Roman" w:cs="Arial"/>
                <w:b/>
                <w:bCs/>
                <w:sz w:val="20"/>
                <w:szCs w:val="20"/>
                <w:lang w:eastAsia="en-GB"/>
              </w:rPr>
            </w:pPr>
          </w:p>
        </w:tc>
      </w:tr>
      <w:tr w:rsidRPr="00BE2643" w:rsidR="00A3063F" w:rsidTr="0020784C" w14:paraId="6D360CA8" w14:textId="77777777">
        <w:trPr>
          <w:trHeight w:val="300"/>
        </w:trPr>
        <w:tc>
          <w:tcPr>
            <w:tcW w:w="6804" w:type="dxa"/>
            <w:gridSpan w:val="2"/>
            <w:tcBorders>
              <w:top w:val="nil"/>
              <w:left w:val="nil"/>
              <w:bottom w:val="single" w:color="auto" w:sz="4" w:space="0"/>
              <w:right w:val="nil"/>
            </w:tcBorders>
            <w:noWrap/>
            <w:hideMark/>
          </w:tcPr>
          <w:p w:rsidRPr="00BE2643" w:rsidR="00A3063F" w:rsidP="0020784C" w:rsidRDefault="00A3063F" w14:paraId="63863B51" w14:textId="77777777">
            <w:pPr>
              <w:rPr>
                <w:rFonts w:ascii="Arial" w:hAnsi="Arial" w:eastAsia="Times New Roman" w:cs="Arial"/>
                <w:b/>
                <w:bCs/>
                <w:sz w:val="20"/>
                <w:szCs w:val="20"/>
              </w:rPr>
            </w:pPr>
            <w:r w:rsidRPr="00BE2643">
              <w:rPr>
                <w:rFonts w:ascii="Arial" w:hAnsi="Arial"/>
                <w:b/>
                <w:sz w:val="20"/>
              </w:rPr>
              <w:t>4. jagu. Finantssüsteemisisesed kohustused</w:t>
            </w:r>
          </w:p>
        </w:tc>
        <w:tc>
          <w:tcPr>
            <w:tcW w:w="2745" w:type="dxa"/>
            <w:tcBorders>
              <w:top w:val="nil"/>
              <w:left w:val="nil"/>
              <w:right w:val="nil"/>
            </w:tcBorders>
            <w:hideMark/>
          </w:tcPr>
          <w:p w:rsidRPr="00BE2643" w:rsidR="00A3063F" w:rsidP="0020784C" w:rsidRDefault="00A3063F" w14:paraId="2F9E7688"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38BD64DC" w14:textId="77777777">
        <w:trPr>
          <w:gridAfter w:val="1"/>
          <w:wAfter w:w="2745" w:type="dxa"/>
          <w:trHeight w:val="300"/>
        </w:trPr>
        <w:tc>
          <w:tcPr>
            <w:tcW w:w="6804" w:type="dxa"/>
            <w:gridSpan w:val="2"/>
            <w:tcBorders>
              <w:left w:val="nil"/>
              <w:right w:val="nil"/>
            </w:tcBorders>
            <w:noWrap/>
            <w:hideMark/>
          </w:tcPr>
          <w:p w:rsidRPr="00BE2643" w:rsidR="00A3063F" w:rsidP="0020784C" w:rsidRDefault="00A3063F" w14:paraId="4D906D49" w14:textId="77777777">
            <w:pPr>
              <w:ind w:left="171" w:firstLine="28" w:firstLineChars="14"/>
              <w:rPr>
                <w:rFonts w:ascii="Arial" w:hAnsi="Arial" w:eastAsia="Times New Roman" w:cs="Arial"/>
                <w:sz w:val="20"/>
                <w:szCs w:val="20"/>
              </w:rPr>
            </w:pPr>
            <w:r w:rsidRPr="00BE2643">
              <w:rPr>
                <w:rFonts w:ascii="Arial" w:hAnsi="Arial"/>
                <w:sz w:val="20"/>
              </w:rPr>
              <w:t>a. Teistes finantseerimisasutustes hoiustatud või teistelt finantseerimisasutustelt laenatud rahalised vahendid</w:t>
            </w:r>
          </w:p>
        </w:tc>
      </w:tr>
      <w:tr w:rsidRPr="00BE2643" w:rsidR="00A3063F" w:rsidTr="0020784C" w14:paraId="5E4A5073" w14:textId="77777777">
        <w:trPr>
          <w:trHeight w:val="300"/>
        </w:trPr>
        <w:tc>
          <w:tcPr>
            <w:tcW w:w="6804" w:type="dxa"/>
            <w:gridSpan w:val="2"/>
            <w:tcBorders>
              <w:left w:val="nil"/>
              <w:right w:val="nil"/>
            </w:tcBorders>
            <w:noWrap/>
            <w:hideMark/>
          </w:tcPr>
          <w:p w:rsidRPr="00BE2643" w:rsidR="00A3063F" w:rsidP="0020784C" w:rsidRDefault="00A3063F" w14:paraId="54D30F82"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Depositooriumidelt saadud hoiused</w:t>
            </w:r>
          </w:p>
        </w:tc>
        <w:tc>
          <w:tcPr>
            <w:tcW w:w="2745" w:type="dxa"/>
            <w:tcBorders>
              <w:left w:val="nil"/>
              <w:right w:val="nil"/>
            </w:tcBorders>
            <w:noWrap/>
            <w:hideMark/>
          </w:tcPr>
          <w:p w:rsidRPr="00BE2643" w:rsidR="00A3063F" w:rsidP="0020784C" w:rsidRDefault="00A3063F" w14:paraId="4006C1EC"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3777F52" w14:textId="77777777">
        <w:trPr>
          <w:trHeight w:val="300"/>
        </w:trPr>
        <w:tc>
          <w:tcPr>
            <w:tcW w:w="6804" w:type="dxa"/>
            <w:gridSpan w:val="2"/>
            <w:tcBorders>
              <w:left w:val="nil"/>
              <w:right w:val="nil"/>
            </w:tcBorders>
            <w:noWrap/>
            <w:hideMark/>
          </w:tcPr>
          <w:p w:rsidRPr="00BE2643" w:rsidR="00A3063F" w:rsidP="0020784C" w:rsidRDefault="00A3063F" w14:paraId="63FD442F" w14:textId="77777777">
            <w:pPr>
              <w:ind w:firstLine="400" w:firstLineChars="200"/>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Finantseerimisasutustelt, mis ei ole depositooriumid, saadud hoiused</w:t>
            </w:r>
          </w:p>
        </w:tc>
        <w:tc>
          <w:tcPr>
            <w:tcW w:w="2745" w:type="dxa"/>
            <w:tcBorders>
              <w:left w:val="nil"/>
              <w:right w:val="nil"/>
            </w:tcBorders>
            <w:noWrap/>
            <w:hideMark/>
          </w:tcPr>
          <w:p w:rsidRPr="00BE2643" w:rsidR="00A3063F" w:rsidP="0020784C" w:rsidRDefault="00A3063F" w14:paraId="062DBB4F"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8B6721B" w14:textId="77777777">
        <w:trPr>
          <w:trHeight w:val="300"/>
        </w:trPr>
        <w:tc>
          <w:tcPr>
            <w:tcW w:w="6804" w:type="dxa"/>
            <w:gridSpan w:val="2"/>
            <w:tcBorders>
              <w:left w:val="nil"/>
              <w:right w:val="nil"/>
            </w:tcBorders>
            <w:noWrap/>
            <w:hideMark/>
          </w:tcPr>
          <w:p w:rsidRPr="00BE2643" w:rsidR="00A3063F" w:rsidP="0020784C" w:rsidRDefault="00A3063F" w14:paraId="3A5C3A6A" w14:textId="77777777">
            <w:pPr>
              <w:ind w:firstLine="400" w:firstLineChars="200"/>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Muudelt finantseerimisasutustelt saadud laenud</w:t>
            </w:r>
          </w:p>
        </w:tc>
        <w:tc>
          <w:tcPr>
            <w:tcW w:w="2745" w:type="dxa"/>
            <w:tcBorders>
              <w:left w:val="nil"/>
              <w:right w:val="nil"/>
            </w:tcBorders>
            <w:noWrap/>
            <w:hideMark/>
          </w:tcPr>
          <w:p w:rsidRPr="00BE2643" w:rsidR="00A3063F" w:rsidP="0020784C" w:rsidRDefault="00A3063F" w14:paraId="7F39D53D"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4E85CE16" w14:textId="77777777">
        <w:trPr>
          <w:trHeight w:val="300"/>
        </w:trPr>
        <w:tc>
          <w:tcPr>
            <w:tcW w:w="6804" w:type="dxa"/>
            <w:gridSpan w:val="2"/>
            <w:tcBorders>
              <w:left w:val="nil"/>
              <w:right w:val="nil"/>
            </w:tcBorders>
            <w:noWrap/>
          </w:tcPr>
          <w:p w:rsidRPr="00BE2643" w:rsidR="00A3063F" w:rsidP="0020784C" w:rsidRDefault="00A3063F" w14:paraId="3A4453D8" w14:textId="77777777">
            <w:pPr>
              <w:ind w:left="171"/>
              <w:rPr>
                <w:rFonts w:ascii="Arial" w:hAnsi="Arial" w:eastAsia="Times New Roman" w:cs="Arial"/>
                <w:sz w:val="20"/>
                <w:szCs w:val="20"/>
              </w:rPr>
            </w:pPr>
            <w:r w:rsidRPr="00BE2643">
              <w:rPr>
                <w:rFonts w:ascii="Arial" w:hAnsi="Arial"/>
                <w:sz w:val="20"/>
              </w:rPr>
              <w:lastRenderedPageBreak/>
              <w:t>b. Teistelt finantseerimisasutustelt saadud kasutamata krediidi- ja likviidsusliinid</w:t>
            </w:r>
          </w:p>
        </w:tc>
        <w:tc>
          <w:tcPr>
            <w:tcW w:w="2745" w:type="dxa"/>
            <w:tcBorders>
              <w:left w:val="nil"/>
              <w:right w:val="nil"/>
            </w:tcBorders>
            <w:noWrap/>
          </w:tcPr>
          <w:p w:rsidRPr="00BE2643" w:rsidR="00A3063F" w:rsidP="0020784C" w:rsidRDefault="00A3063F" w14:paraId="6A515DBB" w14:textId="77777777">
            <w:pPr>
              <w:jc w:val="right"/>
              <w:rPr>
                <w:rFonts w:ascii="Arial" w:hAnsi="Arial" w:eastAsia="Times New Roman" w:cs="Arial"/>
                <w:sz w:val="20"/>
                <w:szCs w:val="20"/>
                <w:lang w:eastAsia="en-GB"/>
              </w:rPr>
            </w:pPr>
          </w:p>
        </w:tc>
      </w:tr>
      <w:tr w:rsidRPr="00BE2643" w:rsidR="00A3063F" w:rsidTr="0020784C" w14:paraId="184A3C86" w14:textId="77777777">
        <w:trPr>
          <w:trHeight w:val="300"/>
        </w:trPr>
        <w:tc>
          <w:tcPr>
            <w:tcW w:w="6804" w:type="dxa"/>
            <w:gridSpan w:val="2"/>
            <w:tcBorders>
              <w:left w:val="nil"/>
              <w:right w:val="nil"/>
            </w:tcBorders>
            <w:noWrap/>
          </w:tcPr>
          <w:p w:rsidRPr="00BE2643" w:rsidR="00A3063F" w:rsidP="0020784C" w:rsidRDefault="00A3063F" w14:paraId="7E400532" w14:textId="77777777">
            <w:pPr>
              <w:ind w:left="171"/>
              <w:rPr>
                <w:rFonts w:ascii="Arial" w:hAnsi="Arial" w:eastAsia="Times New Roman" w:cs="Arial"/>
                <w:sz w:val="20"/>
                <w:szCs w:val="20"/>
              </w:rPr>
            </w:pPr>
            <w:r w:rsidRPr="00BE2643">
              <w:rPr>
                <w:rFonts w:ascii="Arial" w:hAnsi="Arial"/>
                <w:sz w:val="20"/>
              </w:rPr>
              <w:t>c. Teiste finantseerimisasutustega tehtud väärtpaberite kaudu finantseerimise tehingute praegune negatiivne netopositsioon</w:t>
            </w:r>
          </w:p>
        </w:tc>
        <w:tc>
          <w:tcPr>
            <w:tcW w:w="2745" w:type="dxa"/>
            <w:tcBorders>
              <w:left w:val="nil"/>
              <w:right w:val="nil"/>
            </w:tcBorders>
            <w:noWrap/>
          </w:tcPr>
          <w:p w:rsidRPr="00BE2643" w:rsidR="00A3063F" w:rsidP="0020784C" w:rsidRDefault="00A3063F" w14:paraId="79143BE2" w14:textId="77777777">
            <w:pPr>
              <w:jc w:val="right"/>
              <w:rPr>
                <w:rFonts w:ascii="Arial" w:hAnsi="Arial" w:eastAsia="Times New Roman" w:cs="Arial"/>
                <w:sz w:val="20"/>
                <w:szCs w:val="20"/>
                <w:lang w:eastAsia="en-GB"/>
              </w:rPr>
            </w:pPr>
          </w:p>
        </w:tc>
      </w:tr>
      <w:tr w:rsidRPr="00BE2643" w:rsidR="00A3063F" w:rsidTr="0020784C" w14:paraId="46CFEABF"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300980D" w14:textId="77777777">
            <w:pPr>
              <w:ind w:left="171"/>
              <w:rPr>
                <w:rFonts w:ascii="Arial" w:hAnsi="Arial" w:eastAsia="Times New Roman" w:cs="Arial"/>
                <w:sz w:val="20"/>
                <w:szCs w:val="20"/>
              </w:rPr>
            </w:pPr>
            <w:r w:rsidRPr="00BE2643">
              <w:rPr>
                <w:rFonts w:ascii="Arial" w:hAnsi="Arial"/>
                <w:sz w:val="20"/>
              </w:rPr>
              <w:t>d. Teiste finantsasutustega tehtud börsiväliste tuletisinstrumentide tehingud, millel on negatiivne õiglane netoväärtus</w:t>
            </w:r>
          </w:p>
        </w:tc>
        <w:tc>
          <w:tcPr>
            <w:tcW w:w="2745" w:type="dxa"/>
            <w:tcBorders>
              <w:left w:val="nil"/>
              <w:bottom w:val="single" w:color="auto" w:sz="4" w:space="0"/>
              <w:right w:val="nil"/>
            </w:tcBorders>
            <w:noWrap/>
          </w:tcPr>
          <w:p w:rsidRPr="00BE2643" w:rsidR="00A3063F" w:rsidP="0020784C" w:rsidRDefault="00A3063F" w14:paraId="78D60D7A" w14:textId="77777777">
            <w:pPr>
              <w:jc w:val="right"/>
              <w:rPr>
                <w:rFonts w:ascii="Arial" w:hAnsi="Arial" w:eastAsia="Times New Roman" w:cs="Arial"/>
                <w:sz w:val="20"/>
                <w:szCs w:val="20"/>
                <w:lang w:eastAsia="en-GB"/>
              </w:rPr>
            </w:pPr>
          </w:p>
        </w:tc>
      </w:tr>
      <w:tr w:rsidRPr="00BE2643" w:rsidR="00A3063F" w:rsidTr="0020784C" w14:paraId="46871F78" w14:textId="77777777">
        <w:trPr>
          <w:trHeight w:val="300"/>
        </w:trPr>
        <w:tc>
          <w:tcPr>
            <w:tcW w:w="6804" w:type="dxa"/>
            <w:gridSpan w:val="2"/>
            <w:tcBorders>
              <w:left w:val="nil"/>
              <w:right w:val="nil"/>
            </w:tcBorders>
            <w:noWrap/>
            <w:hideMark/>
          </w:tcPr>
          <w:p w:rsidRPr="00BE2643" w:rsidR="00A3063F" w:rsidP="0020784C" w:rsidRDefault="00A3063F" w14:paraId="316D6ABE"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Negatiivne õiglane netoväärtus</w:t>
            </w:r>
          </w:p>
        </w:tc>
        <w:tc>
          <w:tcPr>
            <w:tcW w:w="2745" w:type="dxa"/>
            <w:tcBorders>
              <w:left w:val="nil"/>
              <w:right w:val="nil"/>
            </w:tcBorders>
            <w:noWrap/>
            <w:hideMark/>
          </w:tcPr>
          <w:p w:rsidRPr="00BE2643" w:rsidR="00A3063F" w:rsidP="0020784C" w:rsidRDefault="00A3063F" w14:paraId="4DA4CE31"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49C02248" w14:textId="77777777">
        <w:trPr>
          <w:trHeight w:val="300"/>
        </w:trPr>
        <w:tc>
          <w:tcPr>
            <w:tcW w:w="6804" w:type="dxa"/>
            <w:gridSpan w:val="2"/>
            <w:tcBorders>
              <w:left w:val="nil"/>
              <w:right w:val="nil"/>
            </w:tcBorders>
            <w:noWrap/>
            <w:hideMark/>
          </w:tcPr>
          <w:p w:rsidRPr="00BE2643" w:rsidR="00A3063F" w:rsidP="0020784C" w:rsidRDefault="00A3063F" w14:paraId="48CF0720" w14:textId="77777777">
            <w:pPr>
              <w:ind w:firstLine="400" w:firstLineChars="200"/>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Potentsiaalne tuleviku riskipositsioon</w:t>
            </w:r>
          </w:p>
        </w:tc>
        <w:tc>
          <w:tcPr>
            <w:tcW w:w="2745" w:type="dxa"/>
            <w:tcBorders>
              <w:left w:val="nil"/>
              <w:right w:val="nil"/>
            </w:tcBorders>
            <w:noWrap/>
            <w:hideMark/>
          </w:tcPr>
          <w:p w:rsidRPr="00BE2643" w:rsidR="00A3063F" w:rsidP="0020784C" w:rsidRDefault="00A3063F" w14:paraId="495129DF"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132B861"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6AF00EED" w14:textId="77777777">
            <w:pPr>
              <w:ind w:left="171"/>
              <w:rPr>
                <w:rFonts w:ascii="Arial" w:hAnsi="Arial" w:eastAsia="Times New Roman" w:cs="Arial"/>
                <w:sz w:val="20"/>
                <w:szCs w:val="20"/>
              </w:rPr>
            </w:pPr>
            <w:r w:rsidRPr="00BE2643">
              <w:rPr>
                <w:rFonts w:ascii="Arial" w:hAnsi="Arial"/>
                <w:sz w:val="20"/>
              </w:rPr>
              <w:t>e. Finantssüsteemisiseste kohustuste näitaja (kirjete 4.a.(1)–4.d.(2) summa)</w:t>
            </w:r>
          </w:p>
        </w:tc>
        <w:tc>
          <w:tcPr>
            <w:tcW w:w="2745" w:type="dxa"/>
            <w:tcBorders>
              <w:left w:val="nil"/>
              <w:bottom w:val="single" w:color="auto" w:sz="4" w:space="0"/>
              <w:right w:val="nil"/>
            </w:tcBorders>
            <w:noWrap/>
          </w:tcPr>
          <w:p w:rsidRPr="00BE2643" w:rsidR="00A3063F" w:rsidP="0020784C" w:rsidRDefault="00A3063F" w14:paraId="16799415" w14:textId="77777777">
            <w:pPr>
              <w:jc w:val="right"/>
              <w:rPr>
                <w:rFonts w:ascii="Arial" w:hAnsi="Arial" w:eastAsia="Times New Roman" w:cs="Arial"/>
                <w:sz w:val="20"/>
                <w:szCs w:val="20"/>
                <w:lang w:eastAsia="en-GB"/>
              </w:rPr>
            </w:pPr>
          </w:p>
        </w:tc>
      </w:tr>
      <w:tr w:rsidRPr="00BE2643" w:rsidR="00A3063F" w:rsidTr="0020784C" w14:paraId="68AA6EEF" w14:textId="77777777">
        <w:trPr>
          <w:trHeight w:val="300"/>
        </w:trPr>
        <w:tc>
          <w:tcPr>
            <w:tcW w:w="6804" w:type="dxa"/>
            <w:gridSpan w:val="2"/>
            <w:tcBorders>
              <w:left w:val="nil"/>
              <w:bottom w:val="nil"/>
              <w:right w:val="nil"/>
            </w:tcBorders>
            <w:noWrap/>
          </w:tcPr>
          <w:p w:rsidRPr="00BE2643" w:rsidR="00A3063F" w:rsidP="0020784C" w:rsidRDefault="00A3063F" w14:paraId="21D8376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7ED26645" w14:textId="77777777">
            <w:pPr>
              <w:jc w:val="center"/>
              <w:rPr>
                <w:rFonts w:ascii="Arial" w:hAnsi="Arial" w:eastAsia="Times New Roman" w:cs="Arial"/>
                <w:b/>
                <w:bCs/>
                <w:sz w:val="20"/>
                <w:szCs w:val="20"/>
                <w:lang w:eastAsia="en-GB"/>
              </w:rPr>
            </w:pPr>
          </w:p>
        </w:tc>
      </w:tr>
      <w:tr w:rsidRPr="00BE2643" w:rsidR="00A3063F" w:rsidTr="0020784C" w14:paraId="5DF28841" w14:textId="77777777">
        <w:trPr>
          <w:trHeight w:val="300"/>
        </w:trPr>
        <w:tc>
          <w:tcPr>
            <w:tcW w:w="6804" w:type="dxa"/>
            <w:gridSpan w:val="2"/>
            <w:tcBorders>
              <w:top w:val="nil"/>
              <w:left w:val="nil"/>
              <w:right w:val="nil"/>
            </w:tcBorders>
            <w:noWrap/>
            <w:hideMark/>
          </w:tcPr>
          <w:p w:rsidRPr="00BE2643" w:rsidR="00A3063F" w:rsidP="0020784C" w:rsidRDefault="00A3063F" w14:paraId="6D6EA90E" w14:textId="77777777">
            <w:pPr>
              <w:rPr>
                <w:rFonts w:ascii="Arial" w:hAnsi="Arial" w:eastAsia="Times New Roman" w:cs="Arial"/>
                <w:b/>
                <w:bCs/>
                <w:sz w:val="20"/>
                <w:szCs w:val="20"/>
              </w:rPr>
            </w:pPr>
            <w:r w:rsidRPr="00BE2643">
              <w:rPr>
                <w:rFonts w:ascii="Arial" w:hAnsi="Arial"/>
                <w:b/>
                <w:sz w:val="20"/>
              </w:rPr>
              <w:t>5. jagu. Lunastamata või tagasiostmata väärtpaberid</w:t>
            </w:r>
          </w:p>
        </w:tc>
        <w:tc>
          <w:tcPr>
            <w:tcW w:w="2745" w:type="dxa"/>
            <w:tcBorders>
              <w:top w:val="nil"/>
              <w:left w:val="nil"/>
              <w:right w:val="nil"/>
            </w:tcBorders>
            <w:hideMark/>
          </w:tcPr>
          <w:p w:rsidRPr="00BE2643" w:rsidR="00A3063F" w:rsidP="0020784C" w:rsidRDefault="00A3063F" w14:paraId="49585CF2"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7BA57050" w14:textId="77777777">
        <w:trPr>
          <w:trHeight w:val="300"/>
        </w:trPr>
        <w:tc>
          <w:tcPr>
            <w:tcW w:w="6804" w:type="dxa"/>
            <w:gridSpan w:val="2"/>
            <w:tcBorders>
              <w:left w:val="nil"/>
              <w:right w:val="nil"/>
            </w:tcBorders>
            <w:noWrap/>
            <w:hideMark/>
          </w:tcPr>
          <w:p w:rsidRPr="00BE2643" w:rsidR="00A3063F" w:rsidP="0020784C" w:rsidRDefault="00A3063F" w14:paraId="3C62055F" w14:textId="77777777">
            <w:pPr>
              <w:ind w:firstLine="200" w:firstLineChars="100"/>
              <w:rPr>
                <w:rFonts w:ascii="Arial" w:hAnsi="Arial" w:eastAsia="Times New Roman" w:cs="Arial"/>
                <w:sz w:val="20"/>
                <w:szCs w:val="20"/>
              </w:rPr>
            </w:pPr>
            <w:r w:rsidRPr="00BE2643">
              <w:rPr>
                <w:rFonts w:ascii="Arial" w:hAnsi="Arial"/>
                <w:sz w:val="20"/>
              </w:rPr>
              <w:t>a. Tagatud võlaväärtpaberid</w:t>
            </w:r>
          </w:p>
        </w:tc>
        <w:tc>
          <w:tcPr>
            <w:tcW w:w="2745" w:type="dxa"/>
            <w:tcBorders>
              <w:left w:val="nil"/>
              <w:right w:val="nil"/>
            </w:tcBorders>
            <w:noWrap/>
            <w:hideMark/>
          </w:tcPr>
          <w:p w:rsidRPr="00BE2643" w:rsidR="00A3063F" w:rsidP="0020784C" w:rsidRDefault="00A3063F" w14:paraId="1774EC99"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81828E0" w14:textId="77777777">
        <w:trPr>
          <w:trHeight w:val="300"/>
        </w:trPr>
        <w:tc>
          <w:tcPr>
            <w:tcW w:w="6804" w:type="dxa"/>
            <w:gridSpan w:val="2"/>
            <w:tcBorders>
              <w:left w:val="nil"/>
              <w:right w:val="nil"/>
            </w:tcBorders>
            <w:noWrap/>
            <w:hideMark/>
          </w:tcPr>
          <w:p w:rsidRPr="00BE2643" w:rsidR="00A3063F" w:rsidP="0020784C" w:rsidRDefault="00A3063F" w14:paraId="14D298E3" w14:textId="77777777">
            <w:pPr>
              <w:ind w:firstLine="200" w:firstLineChars="100"/>
              <w:rPr>
                <w:rFonts w:ascii="Arial" w:hAnsi="Arial" w:eastAsia="Times New Roman" w:cs="Arial"/>
                <w:sz w:val="20"/>
                <w:szCs w:val="20"/>
              </w:rPr>
            </w:pPr>
            <w:r w:rsidRPr="00BE2643">
              <w:rPr>
                <w:rFonts w:ascii="Arial" w:hAnsi="Arial"/>
                <w:sz w:val="20"/>
              </w:rPr>
              <w:t>b. Kõrgema nõudeõiguse järguga tagamata võlaväärtpaberid</w:t>
            </w:r>
          </w:p>
        </w:tc>
        <w:tc>
          <w:tcPr>
            <w:tcW w:w="2745" w:type="dxa"/>
            <w:tcBorders>
              <w:left w:val="nil"/>
              <w:right w:val="nil"/>
            </w:tcBorders>
            <w:noWrap/>
            <w:hideMark/>
          </w:tcPr>
          <w:p w:rsidRPr="00BE2643" w:rsidR="00A3063F" w:rsidP="0020784C" w:rsidRDefault="00A3063F" w14:paraId="6E3FFEA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A62E18E" w14:textId="77777777">
        <w:trPr>
          <w:trHeight w:val="300"/>
        </w:trPr>
        <w:tc>
          <w:tcPr>
            <w:tcW w:w="6804" w:type="dxa"/>
            <w:gridSpan w:val="2"/>
            <w:tcBorders>
              <w:left w:val="nil"/>
              <w:right w:val="nil"/>
            </w:tcBorders>
            <w:noWrap/>
            <w:hideMark/>
          </w:tcPr>
          <w:p w:rsidRPr="00BE2643" w:rsidR="00A3063F" w:rsidP="0020784C" w:rsidRDefault="00A3063F" w14:paraId="41E4F0D1" w14:textId="77777777">
            <w:pPr>
              <w:ind w:firstLine="200" w:firstLineChars="100"/>
              <w:rPr>
                <w:rFonts w:ascii="Arial" w:hAnsi="Arial" w:eastAsia="Times New Roman" w:cs="Arial"/>
                <w:sz w:val="20"/>
                <w:szCs w:val="20"/>
              </w:rPr>
            </w:pPr>
            <w:r w:rsidRPr="00BE2643">
              <w:rPr>
                <w:rFonts w:ascii="Arial" w:hAnsi="Arial"/>
                <w:sz w:val="20"/>
              </w:rPr>
              <w:t>c. Allutatud võlaväärtpaberid</w:t>
            </w:r>
          </w:p>
        </w:tc>
        <w:tc>
          <w:tcPr>
            <w:tcW w:w="2745" w:type="dxa"/>
            <w:tcBorders>
              <w:left w:val="nil"/>
              <w:right w:val="nil"/>
            </w:tcBorders>
            <w:noWrap/>
            <w:hideMark/>
          </w:tcPr>
          <w:p w:rsidRPr="00BE2643" w:rsidR="00A3063F" w:rsidP="0020784C" w:rsidRDefault="00A3063F" w14:paraId="06F75ACB"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3A8725EB" w14:textId="77777777">
        <w:trPr>
          <w:trHeight w:val="300"/>
        </w:trPr>
        <w:tc>
          <w:tcPr>
            <w:tcW w:w="6804" w:type="dxa"/>
            <w:gridSpan w:val="2"/>
            <w:tcBorders>
              <w:left w:val="nil"/>
              <w:right w:val="nil"/>
            </w:tcBorders>
            <w:noWrap/>
            <w:hideMark/>
          </w:tcPr>
          <w:p w:rsidRPr="00BE2643" w:rsidR="00A3063F" w:rsidP="0020784C" w:rsidRDefault="00A3063F" w14:paraId="1E73ED30" w14:textId="77777777">
            <w:pPr>
              <w:ind w:firstLine="200" w:firstLineChars="100"/>
              <w:rPr>
                <w:rFonts w:ascii="Arial" w:hAnsi="Arial" w:eastAsia="Times New Roman" w:cs="Arial"/>
                <w:sz w:val="20"/>
                <w:szCs w:val="20"/>
              </w:rPr>
            </w:pPr>
            <w:r w:rsidRPr="00BE2643">
              <w:rPr>
                <w:rFonts w:ascii="Arial" w:hAnsi="Arial"/>
                <w:sz w:val="20"/>
              </w:rPr>
              <w:t>d. Kommertsväärtpaberid</w:t>
            </w:r>
          </w:p>
        </w:tc>
        <w:tc>
          <w:tcPr>
            <w:tcW w:w="2745" w:type="dxa"/>
            <w:tcBorders>
              <w:left w:val="nil"/>
              <w:right w:val="nil"/>
            </w:tcBorders>
            <w:noWrap/>
            <w:hideMark/>
          </w:tcPr>
          <w:p w:rsidRPr="00BE2643" w:rsidR="00A3063F" w:rsidP="0020784C" w:rsidRDefault="00A3063F" w14:paraId="605F13CA"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37C0687C" w14:textId="77777777">
        <w:trPr>
          <w:trHeight w:val="300"/>
        </w:trPr>
        <w:tc>
          <w:tcPr>
            <w:tcW w:w="6804" w:type="dxa"/>
            <w:gridSpan w:val="2"/>
            <w:tcBorders>
              <w:left w:val="nil"/>
              <w:right w:val="nil"/>
            </w:tcBorders>
            <w:noWrap/>
            <w:hideMark/>
          </w:tcPr>
          <w:p w:rsidRPr="00BE2643" w:rsidR="00A3063F" w:rsidP="0020784C" w:rsidRDefault="00A3063F" w14:paraId="6DC673AC" w14:textId="77777777">
            <w:pPr>
              <w:ind w:firstLine="200" w:firstLineChars="100"/>
              <w:rPr>
                <w:rFonts w:ascii="Arial" w:hAnsi="Arial" w:eastAsia="Times New Roman" w:cs="Arial"/>
                <w:sz w:val="20"/>
                <w:szCs w:val="20"/>
              </w:rPr>
            </w:pPr>
            <w:r w:rsidRPr="00BE2643">
              <w:rPr>
                <w:rFonts w:ascii="Arial" w:hAnsi="Arial"/>
                <w:sz w:val="20"/>
              </w:rPr>
              <w:t>e. Hoiusesertifikaadid</w:t>
            </w:r>
          </w:p>
        </w:tc>
        <w:tc>
          <w:tcPr>
            <w:tcW w:w="2745" w:type="dxa"/>
            <w:tcBorders>
              <w:left w:val="nil"/>
              <w:right w:val="nil"/>
            </w:tcBorders>
            <w:noWrap/>
            <w:hideMark/>
          </w:tcPr>
          <w:p w:rsidRPr="00BE2643" w:rsidR="00A3063F" w:rsidP="0020784C" w:rsidRDefault="00A3063F" w14:paraId="71507C6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0D3DDF31" w14:textId="77777777">
        <w:trPr>
          <w:trHeight w:val="300"/>
        </w:trPr>
        <w:tc>
          <w:tcPr>
            <w:tcW w:w="6804" w:type="dxa"/>
            <w:gridSpan w:val="2"/>
            <w:tcBorders>
              <w:left w:val="nil"/>
              <w:right w:val="nil"/>
            </w:tcBorders>
            <w:noWrap/>
            <w:hideMark/>
          </w:tcPr>
          <w:p w:rsidRPr="00BE2643" w:rsidR="00A3063F" w:rsidP="0020784C" w:rsidRDefault="00A3063F" w14:paraId="6B752F64" w14:textId="77777777">
            <w:pPr>
              <w:ind w:firstLine="200" w:firstLineChars="100"/>
              <w:rPr>
                <w:rFonts w:ascii="Arial" w:hAnsi="Arial" w:eastAsia="Times New Roman" w:cs="Arial"/>
                <w:sz w:val="20"/>
                <w:szCs w:val="20"/>
              </w:rPr>
            </w:pPr>
            <w:r w:rsidRPr="00BE2643">
              <w:rPr>
                <w:rFonts w:ascii="Arial" w:hAnsi="Arial"/>
                <w:sz w:val="20"/>
              </w:rPr>
              <w:t>f. Lihtaktsiad</w:t>
            </w:r>
          </w:p>
        </w:tc>
        <w:tc>
          <w:tcPr>
            <w:tcW w:w="2745" w:type="dxa"/>
            <w:tcBorders>
              <w:left w:val="nil"/>
              <w:right w:val="nil"/>
            </w:tcBorders>
            <w:noWrap/>
            <w:hideMark/>
          </w:tcPr>
          <w:p w:rsidRPr="00BE2643" w:rsidR="00A3063F" w:rsidP="0020784C" w:rsidRDefault="00A3063F" w14:paraId="09A80113"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1D1EF6EC" w14:textId="77777777">
        <w:trPr>
          <w:trHeight w:val="300"/>
        </w:trPr>
        <w:tc>
          <w:tcPr>
            <w:tcW w:w="6804" w:type="dxa"/>
            <w:gridSpan w:val="2"/>
            <w:tcBorders>
              <w:left w:val="nil"/>
              <w:right w:val="nil"/>
            </w:tcBorders>
            <w:noWrap/>
          </w:tcPr>
          <w:p w:rsidRPr="00BE2643" w:rsidR="00A3063F" w:rsidP="0020784C" w:rsidRDefault="00A3063F" w14:paraId="19A81180" w14:textId="77777777">
            <w:pPr>
              <w:ind w:left="171"/>
              <w:rPr>
                <w:rFonts w:ascii="Arial" w:hAnsi="Arial" w:eastAsia="Times New Roman" w:cs="Arial"/>
                <w:sz w:val="20"/>
                <w:szCs w:val="20"/>
              </w:rPr>
            </w:pPr>
            <w:r w:rsidRPr="00BE2643">
              <w:rPr>
                <w:rFonts w:ascii="Arial" w:hAnsi="Arial"/>
                <w:sz w:val="20"/>
              </w:rPr>
              <w:t>g. Eelisaktsiad ja mis tahes muud laadi allutatud rahastamisvahendid, mis ei kuulu kirje 5.c alla</w:t>
            </w:r>
          </w:p>
        </w:tc>
        <w:tc>
          <w:tcPr>
            <w:tcW w:w="2745" w:type="dxa"/>
            <w:tcBorders>
              <w:left w:val="nil"/>
              <w:right w:val="nil"/>
            </w:tcBorders>
            <w:noWrap/>
          </w:tcPr>
          <w:p w:rsidRPr="00BE2643" w:rsidR="00A3063F" w:rsidP="0020784C" w:rsidRDefault="00A3063F" w14:paraId="5FB425E7" w14:textId="77777777">
            <w:pPr>
              <w:jc w:val="right"/>
              <w:rPr>
                <w:rFonts w:ascii="Arial" w:hAnsi="Arial" w:eastAsia="Times New Roman" w:cs="Arial"/>
                <w:sz w:val="20"/>
                <w:szCs w:val="20"/>
                <w:lang w:eastAsia="en-GB"/>
              </w:rPr>
            </w:pPr>
          </w:p>
        </w:tc>
      </w:tr>
      <w:tr w:rsidRPr="00BE2643" w:rsidR="00A3063F" w:rsidTr="0020784C" w14:paraId="6CDC8DB6"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47F373B5" w14:textId="77777777">
            <w:pPr>
              <w:ind w:left="171"/>
              <w:rPr>
                <w:rFonts w:ascii="Arial" w:hAnsi="Arial" w:eastAsia="Times New Roman" w:cs="Arial"/>
                <w:sz w:val="20"/>
                <w:szCs w:val="20"/>
              </w:rPr>
            </w:pPr>
            <w:r w:rsidRPr="00BE2643">
              <w:rPr>
                <w:rFonts w:ascii="Arial" w:hAnsi="Arial"/>
                <w:sz w:val="20"/>
              </w:rPr>
              <w:t>h. Lunastamata või tagasiostmata väärtpaberite näitaja, sh kindlustusvaldkonna tütarettevõtjate emiteeritud väärtpaberid (kirjete 5.a.–5.g. summa)</w:t>
            </w:r>
          </w:p>
        </w:tc>
        <w:tc>
          <w:tcPr>
            <w:tcW w:w="2745" w:type="dxa"/>
            <w:tcBorders>
              <w:left w:val="nil"/>
              <w:bottom w:val="single" w:color="auto" w:sz="4" w:space="0"/>
              <w:right w:val="nil"/>
            </w:tcBorders>
            <w:noWrap/>
          </w:tcPr>
          <w:p w:rsidRPr="00BE2643" w:rsidR="00A3063F" w:rsidP="0020784C" w:rsidRDefault="00A3063F" w14:paraId="61AAB487" w14:textId="77777777">
            <w:pPr>
              <w:jc w:val="right"/>
              <w:rPr>
                <w:rFonts w:ascii="Arial" w:hAnsi="Arial" w:eastAsia="Times New Roman" w:cs="Arial"/>
                <w:sz w:val="20"/>
                <w:szCs w:val="20"/>
                <w:lang w:eastAsia="en-GB"/>
              </w:rPr>
            </w:pPr>
          </w:p>
        </w:tc>
      </w:tr>
      <w:tr w:rsidRPr="00BE2643" w:rsidR="00A3063F" w:rsidTr="0020784C" w14:paraId="04114063" w14:textId="77777777">
        <w:trPr>
          <w:trHeight w:val="300"/>
        </w:trPr>
        <w:tc>
          <w:tcPr>
            <w:tcW w:w="6804" w:type="dxa"/>
            <w:gridSpan w:val="2"/>
            <w:tcBorders>
              <w:top w:val="single" w:color="auto" w:sz="4" w:space="0"/>
              <w:left w:val="nil"/>
              <w:bottom w:val="nil"/>
              <w:right w:val="nil"/>
            </w:tcBorders>
            <w:noWrap/>
          </w:tcPr>
          <w:p w:rsidRPr="00BE2643" w:rsidR="00A3063F" w:rsidP="0020784C" w:rsidRDefault="00A3063F" w14:paraId="643563D2"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BE2643" w:rsidR="00A3063F" w:rsidP="0020784C" w:rsidRDefault="00A3063F" w14:paraId="6F434DEC" w14:textId="77777777">
            <w:pPr>
              <w:jc w:val="center"/>
              <w:rPr>
                <w:rFonts w:ascii="Arial" w:hAnsi="Arial" w:eastAsia="Times New Roman" w:cs="Arial"/>
                <w:b/>
                <w:bCs/>
                <w:sz w:val="20"/>
                <w:szCs w:val="20"/>
                <w:lang w:eastAsia="en-GB"/>
              </w:rPr>
            </w:pPr>
          </w:p>
        </w:tc>
      </w:tr>
      <w:tr w:rsidRPr="00BE2643" w:rsidR="00A3063F" w:rsidTr="0020784C" w14:paraId="7DF23EF8" w14:textId="77777777">
        <w:trPr>
          <w:trHeight w:val="300"/>
        </w:trPr>
        <w:tc>
          <w:tcPr>
            <w:tcW w:w="6804" w:type="dxa"/>
            <w:gridSpan w:val="2"/>
            <w:tcBorders>
              <w:top w:val="nil"/>
              <w:left w:val="nil"/>
              <w:bottom w:val="nil"/>
              <w:right w:val="nil"/>
            </w:tcBorders>
            <w:noWrap/>
          </w:tcPr>
          <w:p w:rsidRPr="00BE2643" w:rsidR="00A3063F" w:rsidP="0020784C" w:rsidRDefault="00A3063F" w14:paraId="24DFCDF0" w14:textId="77777777">
            <w:pPr>
              <w:keepNext/>
              <w:keepLines/>
              <w:spacing w:before="47"/>
              <w:outlineLvl w:val="5"/>
              <w:rPr>
                <w:rFonts w:asciiTheme="majorHAnsi" w:hAnsiTheme="majorHAnsi" w:eastAsiaTheme="majorEastAsia" w:cstheme="majorBidi"/>
                <w:b/>
                <w:bCs/>
                <w:i/>
                <w:iCs/>
                <w:caps/>
                <w:spacing w:val="-2"/>
              </w:rPr>
            </w:pPr>
            <w:r w:rsidRPr="00BE2643">
              <w:rPr>
                <w:rFonts w:asciiTheme="majorHAnsi" w:hAnsiTheme="majorHAnsi"/>
                <w:b/>
                <w:i/>
                <w:caps/>
              </w:rPr>
              <w:t>Asendatavuse / finantseerimisasutuse infrastruktuuri näitajad</w:t>
            </w:r>
          </w:p>
          <w:p w:rsidRPr="00BE2643" w:rsidR="00A3063F" w:rsidP="0020784C" w:rsidRDefault="00A3063F" w14:paraId="38EC3DF7"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BE2643" w:rsidR="00A3063F" w:rsidP="0020784C" w:rsidRDefault="00A3063F" w14:paraId="5A11F509" w14:textId="77777777">
            <w:pPr>
              <w:jc w:val="center"/>
              <w:rPr>
                <w:rFonts w:ascii="Arial" w:hAnsi="Arial" w:eastAsia="Times New Roman" w:cs="Arial"/>
                <w:b/>
                <w:bCs/>
                <w:sz w:val="20"/>
                <w:szCs w:val="20"/>
                <w:lang w:eastAsia="en-GB"/>
              </w:rPr>
            </w:pPr>
          </w:p>
        </w:tc>
      </w:tr>
      <w:tr w:rsidRPr="00BE2643" w:rsidR="00A3063F" w:rsidTr="0020784C" w14:paraId="25EE6D6C"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5166B517" w14:textId="77777777">
            <w:pPr>
              <w:rPr>
                <w:rFonts w:ascii="Arial" w:hAnsi="Arial" w:eastAsia="Times New Roman" w:cs="Arial"/>
                <w:sz w:val="20"/>
                <w:szCs w:val="20"/>
              </w:rPr>
            </w:pPr>
            <w:r w:rsidRPr="00BE2643">
              <w:rPr>
                <w:rFonts w:ascii="Arial" w:hAnsi="Arial"/>
                <w:b/>
                <w:sz w:val="20"/>
              </w:rPr>
              <w:t>6. jagu. Aruandeaastal tehtud maksed (v.a grupisisesed maksed)</w:t>
            </w:r>
          </w:p>
        </w:tc>
        <w:tc>
          <w:tcPr>
            <w:tcW w:w="2745" w:type="dxa"/>
            <w:tcBorders>
              <w:left w:val="nil"/>
              <w:bottom w:val="single" w:color="auto" w:sz="4" w:space="0"/>
              <w:right w:val="nil"/>
            </w:tcBorders>
            <w:noWrap/>
          </w:tcPr>
          <w:p w:rsidRPr="00BE2643" w:rsidR="00A3063F" w:rsidP="0020784C" w:rsidRDefault="00A3063F" w14:paraId="6C3E1D14"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3F4B6087" w14:textId="77777777">
        <w:trPr>
          <w:trHeight w:val="300"/>
        </w:trPr>
        <w:tc>
          <w:tcPr>
            <w:tcW w:w="6804" w:type="dxa"/>
            <w:gridSpan w:val="2"/>
            <w:tcBorders>
              <w:left w:val="nil"/>
              <w:right w:val="nil"/>
            </w:tcBorders>
            <w:noWrap/>
            <w:hideMark/>
          </w:tcPr>
          <w:p w:rsidRPr="00BE2643" w:rsidR="00A3063F" w:rsidP="0020784C" w:rsidRDefault="00A3063F" w14:paraId="46E8841A" w14:textId="77777777">
            <w:pPr>
              <w:ind w:firstLine="200" w:firstLineChars="100"/>
              <w:rPr>
                <w:rFonts w:ascii="Arial" w:hAnsi="Arial" w:eastAsia="Times New Roman" w:cs="Arial"/>
                <w:sz w:val="20"/>
                <w:szCs w:val="20"/>
              </w:rPr>
            </w:pPr>
            <w:r w:rsidRPr="00BE2643">
              <w:rPr>
                <w:rFonts w:ascii="Arial" w:hAnsi="Arial"/>
                <w:sz w:val="20"/>
              </w:rPr>
              <w:t xml:space="preserve"> a. Austraalia dollar (AUD)</w:t>
            </w:r>
          </w:p>
        </w:tc>
        <w:tc>
          <w:tcPr>
            <w:tcW w:w="2745" w:type="dxa"/>
            <w:tcBorders>
              <w:left w:val="nil"/>
              <w:right w:val="nil"/>
            </w:tcBorders>
            <w:noWrap/>
            <w:hideMark/>
          </w:tcPr>
          <w:p w:rsidRPr="00BE2643" w:rsidR="00A3063F" w:rsidP="0020784C" w:rsidRDefault="00A3063F" w14:paraId="6120B84E"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35E16A05" w14:textId="77777777">
        <w:trPr>
          <w:trHeight w:val="300"/>
        </w:trPr>
        <w:tc>
          <w:tcPr>
            <w:tcW w:w="6804" w:type="dxa"/>
            <w:gridSpan w:val="2"/>
            <w:tcBorders>
              <w:left w:val="nil"/>
              <w:right w:val="nil"/>
            </w:tcBorders>
            <w:noWrap/>
            <w:hideMark/>
          </w:tcPr>
          <w:p w:rsidRPr="00BE2643" w:rsidR="00A3063F" w:rsidP="0020784C" w:rsidRDefault="00A3063F" w14:paraId="49C2ECDD" w14:textId="77777777">
            <w:pPr>
              <w:ind w:firstLine="200" w:firstLineChars="100"/>
              <w:rPr>
                <w:rFonts w:ascii="Arial" w:hAnsi="Arial" w:eastAsia="Times New Roman" w:cs="Arial"/>
                <w:sz w:val="20"/>
                <w:szCs w:val="20"/>
              </w:rPr>
            </w:pPr>
            <w:r w:rsidRPr="00BE2643">
              <w:rPr>
                <w:rFonts w:ascii="Arial" w:hAnsi="Arial"/>
                <w:sz w:val="20"/>
              </w:rPr>
              <w:t>b. Kanada dollar (CAD)</w:t>
            </w:r>
          </w:p>
        </w:tc>
        <w:tc>
          <w:tcPr>
            <w:tcW w:w="2745" w:type="dxa"/>
            <w:tcBorders>
              <w:left w:val="nil"/>
              <w:right w:val="nil"/>
            </w:tcBorders>
            <w:noWrap/>
            <w:hideMark/>
          </w:tcPr>
          <w:p w:rsidRPr="00BE2643" w:rsidR="00A3063F" w:rsidP="0020784C" w:rsidRDefault="00A3063F" w14:paraId="5605C19C"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38CAB3D" w14:textId="77777777">
        <w:trPr>
          <w:trHeight w:val="300"/>
        </w:trPr>
        <w:tc>
          <w:tcPr>
            <w:tcW w:w="6804" w:type="dxa"/>
            <w:gridSpan w:val="2"/>
            <w:tcBorders>
              <w:left w:val="nil"/>
              <w:right w:val="nil"/>
            </w:tcBorders>
            <w:noWrap/>
            <w:hideMark/>
          </w:tcPr>
          <w:p w:rsidRPr="00BE2643" w:rsidR="00A3063F" w:rsidP="0020784C" w:rsidRDefault="00A3063F" w14:paraId="23AD0E52" w14:textId="77777777">
            <w:pPr>
              <w:ind w:firstLine="200" w:firstLineChars="100"/>
              <w:rPr>
                <w:rFonts w:ascii="Arial" w:hAnsi="Arial" w:eastAsia="Times New Roman" w:cs="Arial"/>
                <w:sz w:val="20"/>
                <w:szCs w:val="20"/>
              </w:rPr>
            </w:pPr>
            <w:r w:rsidRPr="00BE2643">
              <w:rPr>
                <w:rFonts w:ascii="Arial" w:hAnsi="Arial"/>
                <w:sz w:val="20"/>
              </w:rPr>
              <w:t>c. Šveitsi frank (CHF)</w:t>
            </w:r>
          </w:p>
        </w:tc>
        <w:tc>
          <w:tcPr>
            <w:tcW w:w="2745" w:type="dxa"/>
            <w:tcBorders>
              <w:left w:val="nil"/>
              <w:right w:val="nil"/>
            </w:tcBorders>
            <w:noWrap/>
            <w:hideMark/>
          </w:tcPr>
          <w:p w:rsidRPr="00BE2643" w:rsidR="00A3063F" w:rsidP="0020784C" w:rsidRDefault="00A3063F" w14:paraId="410B24B9"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2036A31" w14:textId="77777777">
        <w:trPr>
          <w:trHeight w:val="300"/>
        </w:trPr>
        <w:tc>
          <w:tcPr>
            <w:tcW w:w="6804" w:type="dxa"/>
            <w:gridSpan w:val="2"/>
            <w:tcBorders>
              <w:left w:val="nil"/>
              <w:right w:val="nil"/>
            </w:tcBorders>
            <w:noWrap/>
            <w:hideMark/>
          </w:tcPr>
          <w:p w:rsidRPr="00BE2643" w:rsidR="00A3063F" w:rsidP="0020784C" w:rsidRDefault="00A3063F" w14:paraId="269241CA" w14:textId="77777777">
            <w:pPr>
              <w:ind w:firstLine="200" w:firstLineChars="100"/>
              <w:rPr>
                <w:rFonts w:ascii="Arial" w:hAnsi="Arial" w:eastAsia="Times New Roman" w:cs="Arial"/>
                <w:sz w:val="20"/>
                <w:szCs w:val="20"/>
              </w:rPr>
            </w:pPr>
            <w:r w:rsidRPr="00BE2643">
              <w:rPr>
                <w:rFonts w:ascii="Arial" w:hAnsi="Arial"/>
                <w:sz w:val="20"/>
              </w:rPr>
              <w:t>d. Hiina jüaan (CNY)</w:t>
            </w:r>
          </w:p>
        </w:tc>
        <w:tc>
          <w:tcPr>
            <w:tcW w:w="2745" w:type="dxa"/>
            <w:tcBorders>
              <w:left w:val="nil"/>
              <w:right w:val="nil"/>
            </w:tcBorders>
            <w:noWrap/>
            <w:hideMark/>
          </w:tcPr>
          <w:p w:rsidRPr="00BE2643" w:rsidR="00A3063F" w:rsidP="0020784C" w:rsidRDefault="00A3063F" w14:paraId="53F2BB2C"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20F2137" w14:textId="77777777">
        <w:trPr>
          <w:trHeight w:val="300"/>
        </w:trPr>
        <w:tc>
          <w:tcPr>
            <w:tcW w:w="6804" w:type="dxa"/>
            <w:gridSpan w:val="2"/>
            <w:tcBorders>
              <w:left w:val="nil"/>
              <w:right w:val="nil"/>
            </w:tcBorders>
            <w:noWrap/>
            <w:hideMark/>
          </w:tcPr>
          <w:p w:rsidRPr="00BE2643" w:rsidR="00A3063F" w:rsidP="0020784C" w:rsidRDefault="00A3063F" w14:paraId="780DA028" w14:textId="77777777">
            <w:pPr>
              <w:ind w:firstLine="200" w:firstLineChars="100"/>
              <w:rPr>
                <w:rFonts w:ascii="Arial" w:hAnsi="Arial" w:eastAsia="Times New Roman" w:cs="Arial"/>
                <w:sz w:val="20"/>
                <w:szCs w:val="20"/>
              </w:rPr>
            </w:pPr>
            <w:r w:rsidRPr="00BE2643">
              <w:rPr>
                <w:rFonts w:ascii="Arial" w:hAnsi="Arial"/>
                <w:sz w:val="20"/>
              </w:rPr>
              <w:t>e. Euro (EUR)</w:t>
            </w:r>
          </w:p>
        </w:tc>
        <w:tc>
          <w:tcPr>
            <w:tcW w:w="2745" w:type="dxa"/>
            <w:tcBorders>
              <w:left w:val="nil"/>
              <w:right w:val="nil"/>
            </w:tcBorders>
            <w:noWrap/>
            <w:hideMark/>
          </w:tcPr>
          <w:p w:rsidRPr="00BE2643" w:rsidR="00A3063F" w:rsidP="0020784C" w:rsidRDefault="00A3063F" w14:paraId="3DC60DE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4E32204E" w14:textId="77777777">
        <w:trPr>
          <w:trHeight w:val="300"/>
        </w:trPr>
        <w:tc>
          <w:tcPr>
            <w:tcW w:w="6804" w:type="dxa"/>
            <w:gridSpan w:val="2"/>
            <w:tcBorders>
              <w:left w:val="nil"/>
              <w:right w:val="nil"/>
            </w:tcBorders>
            <w:noWrap/>
            <w:hideMark/>
          </w:tcPr>
          <w:p w:rsidRPr="00BE2643" w:rsidR="00A3063F" w:rsidP="0020784C" w:rsidRDefault="00A3063F" w14:paraId="497A28D3" w14:textId="77777777">
            <w:pPr>
              <w:ind w:firstLine="200" w:firstLineChars="100"/>
              <w:rPr>
                <w:rFonts w:ascii="Arial" w:hAnsi="Arial" w:eastAsia="Times New Roman" w:cs="Arial"/>
                <w:sz w:val="20"/>
                <w:szCs w:val="20"/>
              </w:rPr>
            </w:pPr>
            <w:r w:rsidRPr="00BE2643">
              <w:rPr>
                <w:rFonts w:ascii="Arial" w:hAnsi="Arial"/>
                <w:sz w:val="20"/>
              </w:rPr>
              <w:t>f. Inglise nael (GBP)</w:t>
            </w:r>
          </w:p>
        </w:tc>
        <w:tc>
          <w:tcPr>
            <w:tcW w:w="2745" w:type="dxa"/>
            <w:tcBorders>
              <w:left w:val="nil"/>
              <w:right w:val="nil"/>
            </w:tcBorders>
            <w:noWrap/>
            <w:hideMark/>
          </w:tcPr>
          <w:p w:rsidRPr="00BE2643" w:rsidR="00A3063F" w:rsidP="0020784C" w:rsidRDefault="00A3063F" w14:paraId="6E7D0B94"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FDDBE1B" w14:textId="77777777">
        <w:trPr>
          <w:trHeight w:val="300"/>
        </w:trPr>
        <w:tc>
          <w:tcPr>
            <w:tcW w:w="6804" w:type="dxa"/>
            <w:gridSpan w:val="2"/>
            <w:tcBorders>
              <w:left w:val="nil"/>
              <w:right w:val="nil"/>
            </w:tcBorders>
            <w:noWrap/>
            <w:hideMark/>
          </w:tcPr>
          <w:p w:rsidRPr="00BE2643" w:rsidR="00A3063F" w:rsidP="0020784C" w:rsidRDefault="00A3063F" w14:paraId="740E2DC5" w14:textId="77777777">
            <w:pPr>
              <w:ind w:firstLine="200" w:firstLineChars="100"/>
              <w:rPr>
                <w:rFonts w:ascii="Arial" w:hAnsi="Arial" w:eastAsia="Times New Roman" w:cs="Arial"/>
                <w:sz w:val="20"/>
                <w:szCs w:val="20"/>
              </w:rPr>
            </w:pPr>
            <w:r w:rsidRPr="00BE2643">
              <w:rPr>
                <w:rFonts w:ascii="Arial" w:hAnsi="Arial"/>
                <w:sz w:val="20"/>
              </w:rPr>
              <w:t>g. Hongkongi dollar (HKD)</w:t>
            </w:r>
          </w:p>
        </w:tc>
        <w:tc>
          <w:tcPr>
            <w:tcW w:w="2745" w:type="dxa"/>
            <w:tcBorders>
              <w:left w:val="nil"/>
              <w:right w:val="nil"/>
            </w:tcBorders>
            <w:noWrap/>
            <w:hideMark/>
          </w:tcPr>
          <w:p w:rsidRPr="00BE2643" w:rsidR="00A3063F" w:rsidP="0020784C" w:rsidRDefault="00A3063F" w14:paraId="5EFECBCF"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6D2F852" w14:textId="77777777">
        <w:trPr>
          <w:trHeight w:val="300"/>
        </w:trPr>
        <w:tc>
          <w:tcPr>
            <w:tcW w:w="6804" w:type="dxa"/>
            <w:gridSpan w:val="2"/>
            <w:tcBorders>
              <w:left w:val="nil"/>
              <w:right w:val="nil"/>
            </w:tcBorders>
            <w:noWrap/>
            <w:hideMark/>
          </w:tcPr>
          <w:p w:rsidRPr="00BE2643" w:rsidR="00A3063F" w:rsidP="0020784C" w:rsidRDefault="00A3063F" w14:paraId="28D2FFF4" w14:textId="77777777">
            <w:pPr>
              <w:ind w:firstLine="200" w:firstLineChars="100"/>
              <w:rPr>
                <w:rFonts w:ascii="Arial" w:hAnsi="Arial" w:eastAsia="Times New Roman" w:cs="Arial"/>
                <w:sz w:val="20"/>
                <w:szCs w:val="20"/>
              </w:rPr>
            </w:pPr>
            <w:r w:rsidRPr="00BE2643">
              <w:rPr>
                <w:rFonts w:ascii="Arial" w:hAnsi="Arial"/>
                <w:sz w:val="20"/>
              </w:rPr>
              <w:t>h. India ruupia (INR)</w:t>
            </w:r>
          </w:p>
        </w:tc>
        <w:tc>
          <w:tcPr>
            <w:tcW w:w="2745" w:type="dxa"/>
            <w:tcBorders>
              <w:left w:val="nil"/>
              <w:right w:val="nil"/>
            </w:tcBorders>
            <w:noWrap/>
            <w:hideMark/>
          </w:tcPr>
          <w:p w:rsidRPr="00BE2643" w:rsidR="00A3063F" w:rsidP="0020784C" w:rsidRDefault="00A3063F" w14:paraId="41B20E14"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10048812" w14:textId="77777777">
        <w:trPr>
          <w:trHeight w:val="300"/>
        </w:trPr>
        <w:tc>
          <w:tcPr>
            <w:tcW w:w="6804" w:type="dxa"/>
            <w:gridSpan w:val="2"/>
            <w:tcBorders>
              <w:left w:val="nil"/>
              <w:right w:val="nil"/>
            </w:tcBorders>
            <w:noWrap/>
            <w:hideMark/>
          </w:tcPr>
          <w:p w:rsidRPr="00BE2643" w:rsidR="00A3063F" w:rsidP="0020784C" w:rsidRDefault="00A3063F" w14:paraId="468D4093" w14:textId="77777777">
            <w:pPr>
              <w:ind w:firstLine="200" w:firstLineChars="100"/>
              <w:rPr>
                <w:rFonts w:ascii="Arial" w:hAnsi="Arial" w:eastAsia="Times New Roman" w:cs="Arial"/>
                <w:sz w:val="20"/>
                <w:szCs w:val="20"/>
              </w:rPr>
            </w:pPr>
            <w:r w:rsidRPr="00BE2643">
              <w:rPr>
                <w:rFonts w:ascii="Arial" w:hAnsi="Arial"/>
                <w:sz w:val="20"/>
              </w:rPr>
              <w:t>i. Jaapani jeen (JPY)</w:t>
            </w:r>
          </w:p>
        </w:tc>
        <w:tc>
          <w:tcPr>
            <w:tcW w:w="2745" w:type="dxa"/>
            <w:tcBorders>
              <w:left w:val="nil"/>
              <w:right w:val="nil"/>
            </w:tcBorders>
            <w:noWrap/>
            <w:hideMark/>
          </w:tcPr>
          <w:p w:rsidRPr="00BE2643" w:rsidR="00A3063F" w:rsidP="0020784C" w:rsidRDefault="00A3063F" w14:paraId="33F318A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8B1A4E1" w14:textId="77777777">
        <w:trPr>
          <w:trHeight w:val="300"/>
        </w:trPr>
        <w:tc>
          <w:tcPr>
            <w:tcW w:w="6804" w:type="dxa"/>
            <w:gridSpan w:val="2"/>
            <w:tcBorders>
              <w:left w:val="nil"/>
              <w:right w:val="nil"/>
            </w:tcBorders>
            <w:noWrap/>
            <w:hideMark/>
          </w:tcPr>
          <w:p w:rsidRPr="00BE2643" w:rsidR="00A3063F" w:rsidP="0020784C" w:rsidRDefault="00A3063F" w14:paraId="18E4DB21" w14:textId="77777777">
            <w:pPr>
              <w:ind w:firstLine="200" w:firstLineChars="100"/>
              <w:rPr>
                <w:rFonts w:ascii="Arial" w:hAnsi="Arial" w:eastAsia="Times New Roman" w:cs="Arial"/>
                <w:sz w:val="20"/>
                <w:szCs w:val="20"/>
              </w:rPr>
            </w:pPr>
            <w:r w:rsidRPr="00BE2643">
              <w:rPr>
                <w:rFonts w:ascii="Arial" w:hAnsi="Arial"/>
                <w:sz w:val="20"/>
              </w:rPr>
              <w:t>j. Uus-Meremaa dollar (NZD)</w:t>
            </w:r>
          </w:p>
        </w:tc>
        <w:tc>
          <w:tcPr>
            <w:tcW w:w="2745" w:type="dxa"/>
            <w:tcBorders>
              <w:left w:val="nil"/>
              <w:right w:val="nil"/>
            </w:tcBorders>
            <w:noWrap/>
            <w:hideMark/>
          </w:tcPr>
          <w:p w:rsidRPr="00BE2643" w:rsidR="00A3063F" w:rsidP="0020784C" w:rsidRDefault="00A3063F" w14:paraId="1EB74A7F"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91C3B34" w14:textId="77777777">
        <w:trPr>
          <w:trHeight w:val="300"/>
        </w:trPr>
        <w:tc>
          <w:tcPr>
            <w:tcW w:w="6804" w:type="dxa"/>
            <w:gridSpan w:val="2"/>
            <w:tcBorders>
              <w:left w:val="nil"/>
              <w:right w:val="nil"/>
            </w:tcBorders>
            <w:noWrap/>
            <w:hideMark/>
          </w:tcPr>
          <w:p w:rsidRPr="00BE2643" w:rsidR="00A3063F" w:rsidP="0020784C" w:rsidRDefault="00A3063F" w14:paraId="520F3529" w14:textId="77777777">
            <w:pPr>
              <w:ind w:firstLine="200" w:firstLineChars="100"/>
              <w:rPr>
                <w:rFonts w:ascii="Arial" w:hAnsi="Arial" w:eastAsia="Times New Roman" w:cs="Arial"/>
                <w:sz w:val="20"/>
                <w:szCs w:val="20"/>
              </w:rPr>
            </w:pPr>
            <w:r w:rsidRPr="00BE2643">
              <w:rPr>
                <w:rFonts w:ascii="Arial" w:hAnsi="Arial"/>
                <w:sz w:val="20"/>
              </w:rPr>
              <w:t>k. Rootsi kroon (SEK)</w:t>
            </w:r>
          </w:p>
        </w:tc>
        <w:tc>
          <w:tcPr>
            <w:tcW w:w="2745" w:type="dxa"/>
            <w:tcBorders>
              <w:left w:val="nil"/>
              <w:right w:val="nil"/>
            </w:tcBorders>
            <w:noWrap/>
            <w:hideMark/>
          </w:tcPr>
          <w:p w:rsidRPr="00BE2643" w:rsidR="00A3063F" w:rsidP="0020784C" w:rsidRDefault="00A3063F" w14:paraId="2C77559D"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D4C82CC" w14:textId="77777777">
        <w:trPr>
          <w:trHeight w:val="300"/>
        </w:trPr>
        <w:tc>
          <w:tcPr>
            <w:tcW w:w="6804" w:type="dxa"/>
            <w:gridSpan w:val="2"/>
            <w:tcBorders>
              <w:left w:val="nil"/>
              <w:right w:val="nil"/>
            </w:tcBorders>
            <w:noWrap/>
            <w:hideMark/>
          </w:tcPr>
          <w:p w:rsidRPr="00BE2643" w:rsidR="00A3063F" w:rsidP="0020784C" w:rsidRDefault="00A3063F" w14:paraId="4B182B8E" w14:textId="77777777">
            <w:pPr>
              <w:ind w:firstLine="200" w:firstLineChars="100"/>
              <w:rPr>
                <w:rFonts w:ascii="Arial" w:hAnsi="Arial" w:eastAsia="Times New Roman" w:cs="Arial"/>
                <w:sz w:val="20"/>
                <w:szCs w:val="20"/>
              </w:rPr>
            </w:pPr>
            <w:r w:rsidRPr="00BE2643">
              <w:rPr>
                <w:rFonts w:ascii="Arial" w:hAnsi="Arial"/>
                <w:sz w:val="20"/>
              </w:rPr>
              <w:t>l. USA dollar (USD)</w:t>
            </w:r>
          </w:p>
        </w:tc>
        <w:tc>
          <w:tcPr>
            <w:tcW w:w="2745" w:type="dxa"/>
            <w:tcBorders>
              <w:left w:val="nil"/>
              <w:right w:val="nil"/>
            </w:tcBorders>
            <w:noWrap/>
            <w:hideMark/>
          </w:tcPr>
          <w:p w:rsidRPr="00BE2643" w:rsidR="00A3063F" w:rsidP="0020784C" w:rsidRDefault="00A3063F" w14:paraId="794BD58D"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AE8609C"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2B42C0A0" w14:textId="77777777">
            <w:pPr>
              <w:ind w:firstLine="200" w:firstLineChars="100"/>
              <w:rPr>
                <w:rFonts w:ascii="Arial" w:hAnsi="Arial" w:eastAsia="Times New Roman" w:cs="Arial"/>
                <w:sz w:val="20"/>
                <w:szCs w:val="20"/>
              </w:rPr>
            </w:pPr>
            <w:r w:rsidRPr="00BE2643">
              <w:rPr>
                <w:rFonts w:ascii="Arial" w:hAnsi="Arial"/>
                <w:sz w:val="20"/>
              </w:rPr>
              <w:t>m. Maksetegevuse näitaja (kirjete 6.a.–6.l. summa)</w:t>
            </w:r>
          </w:p>
        </w:tc>
        <w:tc>
          <w:tcPr>
            <w:tcW w:w="2745" w:type="dxa"/>
            <w:tcBorders>
              <w:left w:val="nil"/>
              <w:bottom w:val="single" w:color="auto" w:sz="4" w:space="0"/>
              <w:right w:val="nil"/>
            </w:tcBorders>
            <w:noWrap/>
            <w:hideMark/>
          </w:tcPr>
          <w:p w:rsidRPr="00BE2643" w:rsidR="00A3063F" w:rsidP="0020784C" w:rsidRDefault="00A3063F" w14:paraId="3AE47EFC" w14:textId="77777777">
            <w:pPr>
              <w:jc w:val="right"/>
              <w:rPr>
                <w:rFonts w:ascii="Arial" w:hAnsi="Arial" w:eastAsia="Times New Roman" w:cs="Arial"/>
                <w:sz w:val="20"/>
                <w:szCs w:val="20"/>
              </w:rPr>
            </w:pPr>
            <w:r w:rsidRPr="00BE2643">
              <w:rPr>
                <w:rFonts w:ascii="Arial" w:hAnsi="Arial"/>
                <w:sz w:val="20"/>
              </w:rPr>
              <w:t xml:space="preserve"> </w:t>
            </w:r>
          </w:p>
        </w:tc>
      </w:tr>
      <w:tr w:rsidRPr="00BE2643" w:rsidR="00A3063F" w:rsidTr="0020784C" w14:paraId="0EF0CCFB" w14:textId="77777777">
        <w:trPr>
          <w:trHeight w:val="300"/>
        </w:trPr>
        <w:tc>
          <w:tcPr>
            <w:tcW w:w="6804" w:type="dxa"/>
            <w:gridSpan w:val="2"/>
            <w:tcBorders>
              <w:left w:val="nil"/>
              <w:bottom w:val="nil"/>
              <w:right w:val="nil"/>
            </w:tcBorders>
            <w:noWrap/>
          </w:tcPr>
          <w:p w:rsidRPr="00BE2643" w:rsidR="00A3063F" w:rsidP="0020784C" w:rsidRDefault="00A3063F" w14:paraId="6FCF436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7D5A5EB9" w14:textId="77777777">
            <w:pPr>
              <w:jc w:val="center"/>
              <w:rPr>
                <w:rFonts w:ascii="Arial" w:hAnsi="Arial" w:eastAsia="Times New Roman" w:cs="Arial"/>
                <w:b/>
                <w:bCs/>
                <w:sz w:val="20"/>
                <w:szCs w:val="20"/>
                <w:lang w:eastAsia="en-GB"/>
              </w:rPr>
            </w:pPr>
          </w:p>
        </w:tc>
      </w:tr>
      <w:tr w:rsidRPr="00BE2643" w:rsidR="00A3063F" w:rsidTr="0020784C" w14:paraId="21E7F8AA" w14:textId="77777777">
        <w:trPr>
          <w:trHeight w:val="300"/>
        </w:trPr>
        <w:tc>
          <w:tcPr>
            <w:tcW w:w="6804" w:type="dxa"/>
            <w:gridSpan w:val="2"/>
            <w:tcBorders>
              <w:top w:val="nil"/>
              <w:left w:val="nil"/>
              <w:bottom w:val="single" w:color="auto" w:sz="4" w:space="0"/>
              <w:right w:val="nil"/>
            </w:tcBorders>
            <w:noWrap/>
            <w:hideMark/>
          </w:tcPr>
          <w:p w:rsidRPr="00BE2643" w:rsidR="00A3063F" w:rsidP="0020784C" w:rsidRDefault="00A3063F" w14:paraId="46F470B5" w14:textId="77777777">
            <w:pPr>
              <w:rPr>
                <w:rFonts w:ascii="Arial" w:hAnsi="Arial" w:eastAsia="Times New Roman" w:cs="Arial"/>
                <w:b/>
                <w:bCs/>
                <w:sz w:val="20"/>
                <w:szCs w:val="20"/>
              </w:rPr>
            </w:pPr>
            <w:r w:rsidRPr="00BE2643">
              <w:rPr>
                <w:rFonts w:ascii="Arial" w:hAnsi="Arial"/>
                <w:b/>
                <w:sz w:val="20"/>
              </w:rPr>
              <w:t>7. jagu. Hoiul olevad varad</w:t>
            </w:r>
          </w:p>
        </w:tc>
        <w:tc>
          <w:tcPr>
            <w:tcW w:w="2745" w:type="dxa"/>
            <w:tcBorders>
              <w:top w:val="nil"/>
              <w:left w:val="nil"/>
              <w:bottom w:val="single" w:color="auto" w:sz="4" w:space="0"/>
              <w:right w:val="nil"/>
            </w:tcBorders>
            <w:hideMark/>
          </w:tcPr>
          <w:p w:rsidRPr="00BE2643" w:rsidR="00A3063F" w:rsidP="0020784C" w:rsidRDefault="00A3063F" w14:paraId="2A949A16"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16E0C66A"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5B3B4DD9" w14:textId="77777777">
            <w:pPr>
              <w:ind w:firstLine="200" w:firstLineChars="100"/>
              <w:rPr>
                <w:rFonts w:ascii="Arial" w:hAnsi="Arial" w:eastAsia="Times New Roman" w:cs="Arial"/>
                <w:sz w:val="20"/>
                <w:szCs w:val="20"/>
              </w:rPr>
            </w:pPr>
            <w:r w:rsidRPr="00BE2643">
              <w:rPr>
                <w:rFonts w:ascii="Arial" w:hAnsi="Arial"/>
                <w:sz w:val="20"/>
              </w:rPr>
              <w:t>a. Hoiul olevate varade näitaja</w:t>
            </w:r>
          </w:p>
        </w:tc>
        <w:tc>
          <w:tcPr>
            <w:tcW w:w="2745" w:type="dxa"/>
            <w:tcBorders>
              <w:left w:val="nil"/>
              <w:bottom w:val="single" w:color="auto" w:sz="4" w:space="0"/>
              <w:right w:val="nil"/>
            </w:tcBorders>
            <w:noWrap/>
            <w:hideMark/>
          </w:tcPr>
          <w:p w:rsidRPr="00BE2643" w:rsidR="00A3063F" w:rsidP="0020784C" w:rsidRDefault="00A3063F" w14:paraId="0D26719A"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ACB2BCB" w14:textId="77777777">
        <w:trPr>
          <w:trHeight w:val="300"/>
        </w:trPr>
        <w:tc>
          <w:tcPr>
            <w:tcW w:w="6804" w:type="dxa"/>
            <w:gridSpan w:val="2"/>
            <w:tcBorders>
              <w:left w:val="nil"/>
              <w:bottom w:val="nil"/>
              <w:right w:val="nil"/>
            </w:tcBorders>
            <w:noWrap/>
          </w:tcPr>
          <w:p w:rsidRPr="00BE2643" w:rsidR="00A3063F" w:rsidP="0020784C" w:rsidRDefault="00A3063F" w14:paraId="48287D17"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BE2643" w:rsidR="00A3063F" w:rsidP="0020784C" w:rsidRDefault="00A3063F" w14:paraId="5453B81E" w14:textId="77777777">
            <w:pPr>
              <w:jc w:val="center"/>
              <w:rPr>
                <w:rFonts w:ascii="Arial" w:hAnsi="Arial" w:eastAsia="Times New Roman" w:cs="Arial"/>
                <w:b/>
                <w:bCs/>
                <w:sz w:val="20"/>
                <w:szCs w:val="20"/>
                <w:lang w:eastAsia="en-GB"/>
              </w:rPr>
            </w:pPr>
          </w:p>
        </w:tc>
      </w:tr>
      <w:tr w:rsidRPr="00BE2643" w:rsidR="00A3063F" w:rsidTr="0020784C" w14:paraId="185329E9" w14:textId="77777777">
        <w:trPr>
          <w:trHeight w:val="300"/>
        </w:trPr>
        <w:tc>
          <w:tcPr>
            <w:tcW w:w="6804" w:type="dxa"/>
            <w:gridSpan w:val="2"/>
            <w:tcBorders>
              <w:top w:val="nil"/>
              <w:left w:val="nil"/>
              <w:bottom w:val="single" w:color="auto" w:sz="4" w:space="0"/>
              <w:right w:val="nil"/>
            </w:tcBorders>
            <w:noWrap/>
          </w:tcPr>
          <w:p w:rsidRPr="00BE2643" w:rsidR="00A3063F" w:rsidP="0020784C" w:rsidRDefault="00A3063F" w14:paraId="4F5BDCDE" w14:textId="77777777">
            <w:pPr>
              <w:rPr>
                <w:rFonts w:ascii="Arial" w:hAnsi="Arial" w:eastAsia="Times New Roman" w:cs="Arial"/>
                <w:sz w:val="20"/>
                <w:szCs w:val="20"/>
              </w:rPr>
            </w:pPr>
            <w:r w:rsidRPr="00BE2643">
              <w:rPr>
                <w:rFonts w:ascii="Arial" w:hAnsi="Arial"/>
                <w:b/>
                <w:sz w:val="20"/>
              </w:rPr>
              <w:lastRenderedPageBreak/>
              <w:t>8. jagu. Võlakirja- ja aktsiaturgudel tehtud emissiooni tagamise tehingud</w:t>
            </w:r>
          </w:p>
        </w:tc>
        <w:tc>
          <w:tcPr>
            <w:tcW w:w="2745" w:type="dxa"/>
            <w:tcBorders>
              <w:top w:val="nil"/>
              <w:left w:val="nil"/>
              <w:bottom w:val="single" w:color="auto" w:sz="4" w:space="0"/>
              <w:right w:val="nil"/>
            </w:tcBorders>
            <w:noWrap/>
          </w:tcPr>
          <w:p w:rsidRPr="00BE2643" w:rsidR="00A3063F" w:rsidP="0020784C" w:rsidRDefault="00A3063F" w14:paraId="12350D7D"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241BD083" w14:textId="77777777">
        <w:trPr>
          <w:trHeight w:val="300"/>
        </w:trPr>
        <w:tc>
          <w:tcPr>
            <w:tcW w:w="6804" w:type="dxa"/>
            <w:gridSpan w:val="2"/>
            <w:tcBorders>
              <w:left w:val="nil"/>
              <w:right w:val="nil"/>
            </w:tcBorders>
            <w:noWrap/>
            <w:hideMark/>
          </w:tcPr>
          <w:p w:rsidRPr="00BE2643" w:rsidR="00A3063F" w:rsidP="0020784C" w:rsidRDefault="00A3063F" w14:paraId="497B9DA5" w14:textId="77777777">
            <w:pPr>
              <w:ind w:firstLine="200" w:firstLineChars="100"/>
              <w:rPr>
                <w:rFonts w:ascii="Arial" w:hAnsi="Arial" w:eastAsia="Times New Roman" w:cs="Arial"/>
                <w:sz w:val="20"/>
                <w:szCs w:val="20"/>
              </w:rPr>
            </w:pPr>
            <w:r w:rsidRPr="00BE2643">
              <w:rPr>
                <w:rFonts w:ascii="Arial" w:hAnsi="Arial"/>
                <w:sz w:val="20"/>
              </w:rPr>
              <w:t>a. Omakapitaliinstrumentide emissioonide tagamise tehingud</w:t>
            </w:r>
          </w:p>
        </w:tc>
        <w:tc>
          <w:tcPr>
            <w:tcW w:w="2745" w:type="dxa"/>
            <w:tcBorders>
              <w:left w:val="nil"/>
              <w:right w:val="nil"/>
            </w:tcBorders>
            <w:noWrap/>
            <w:hideMark/>
          </w:tcPr>
          <w:p w:rsidRPr="00BE2643" w:rsidR="00A3063F" w:rsidP="0020784C" w:rsidRDefault="00A3063F" w14:paraId="265BA027"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3479A196" w14:textId="77777777">
        <w:trPr>
          <w:trHeight w:val="300"/>
        </w:trPr>
        <w:tc>
          <w:tcPr>
            <w:tcW w:w="6804" w:type="dxa"/>
            <w:gridSpan w:val="2"/>
            <w:tcBorders>
              <w:left w:val="nil"/>
              <w:right w:val="nil"/>
            </w:tcBorders>
            <w:noWrap/>
            <w:hideMark/>
          </w:tcPr>
          <w:p w:rsidRPr="00BE2643" w:rsidR="00A3063F" w:rsidP="0020784C" w:rsidRDefault="00A3063F" w14:paraId="5A1AEAFC" w14:textId="77777777">
            <w:pPr>
              <w:ind w:firstLine="200" w:firstLineChars="100"/>
              <w:rPr>
                <w:rFonts w:ascii="Arial" w:hAnsi="Arial" w:eastAsia="Times New Roman" w:cs="Arial"/>
                <w:sz w:val="20"/>
                <w:szCs w:val="20"/>
              </w:rPr>
            </w:pPr>
            <w:r w:rsidRPr="00BE2643">
              <w:rPr>
                <w:rFonts w:ascii="Arial" w:hAnsi="Arial"/>
                <w:sz w:val="20"/>
              </w:rPr>
              <w:t>b. Võlainstrumentide emissioonide tagamise tehingud</w:t>
            </w:r>
          </w:p>
        </w:tc>
        <w:tc>
          <w:tcPr>
            <w:tcW w:w="2745" w:type="dxa"/>
            <w:tcBorders>
              <w:left w:val="nil"/>
              <w:right w:val="nil"/>
            </w:tcBorders>
            <w:noWrap/>
            <w:hideMark/>
          </w:tcPr>
          <w:p w:rsidRPr="00BE2643" w:rsidR="00A3063F" w:rsidP="0020784C" w:rsidRDefault="00A3063F" w14:paraId="55B5A4A1"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297275A"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3938BCF4" w14:textId="77777777">
            <w:pPr>
              <w:ind w:firstLine="200" w:firstLineChars="100"/>
              <w:rPr>
                <w:rFonts w:ascii="Arial" w:hAnsi="Arial" w:eastAsia="Times New Roman" w:cs="Arial"/>
                <w:sz w:val="20"/>
                <w:szCs w:val="20"/>
              </w:rPr>
            </w:pPr>
            <w:r w:rsidRPr="00BE2643">
              <w:rPr>
                <w:rFonts w:ascii="Arial" w:hAnsi="Arial"/>
                <w:sz w:val="20"/>
              </w:rPr>
              <w:t>c. Emissioonide tagamise tegevuse näitaja (kirjete 8.a. ja 8.b. summa)</w:t>
            </w:r>
          </w:p>
        </w:tc>
        <w:tc>
          <w:tcPr>
            <w:tcW w:w="2745" w:type="dxa"/>
            <w:tcBorders>
              <w:left w:val="nil"/>
              <w:bottom w:val="single" w:color="auto" w:sz="4" w:space="0"/>
              <w:right w:val="nil"/>
            </w:tcBorders>
            <w:noWrap/>
            <w:hideMark/>
          </w:tcPr>
          <w:p w:rsidRPr="00BE2643" w:rsidR="00A3063F" w:rsidP="0020784C" w:rsidRDefault="00A3063F" w14:paraId="50B59EBA"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00CF1626" w14:textId="77777777">
        <w:trPr>
          <w:trHeight w:val="300"/>
        </w:trPr>
        <w:tc>
          <w:tcPr>
            <w:tcW w:w="6804" w:type="dxa"/>
            <w:gridSpan w:val="2"/>
            <w:tcBorders>
              <w:left w:val="nil"/>
              <w:bottom w:val="nil"/>
              <w:right w:val="nil"/>
            </w:tcBorders>
            <w:noWrap/>
          </w:tcPr>
          <w:p w:rsidRPr="00BE2643" w:rsidR="00A3063F" w:rsidP="0020784C" w:rsidRDefault="00A3063F" w14:paraId="5BCD831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762B93B9" w14:textId="77777777">
            <w:pPr>
              <w:jc w:val="center"/>
              <w:rPr>
                <w:rFonts w:ascii="Arial" w:hAnsi="Arial" w:eastAsia="Times New Roman" w:cs="Arial"/>
                <w:b/>
                <w:bCs/>
                <w:sz w:val="20"/>
                <w:szCs w:val="20"/>
                <w:lang w:eastAsia="en-GB"/>
              </w:rPr>
            </w:pPr>
          </w:p>
        </w:tc>
      </w:tr>
      <w:tr w:rsidRPr="00BE2643" w:rsidR="00A3063F" w:rsidTr="0020784C" w14:paraId="66CBD927" w14:textId="77777777">
        <w:trPr>
          <w:trHeight w:val="300"/>
        </w:trPr>
        <w:tc>
          <w:tcPr>
            <w:tcW w:w="6804" w:type="dxa"/>
            <w:gridSpan w:val="2"/>
            <w:tcBorders>
              <w:top w:val="nil"/>
              <w:left w:val="nil"/>
              <w:right w:val="nil"/>
            </w:tcBorders>
            <w:noWrap/>
            <w:hideMark/>
          </w:tcPr>
          <w:p w:rsidRPr="00BE2643" w:rsidR="00A3063F" w:rsidP="0020784C" w:rsidRDefault="00A3063F" w14:paraId="23915FB0" w14:textId="77777777">
            <w:pPr>
              <w:rPr>
                <w:rFonts w:ascii="Arial" w:hAnsi="Arial" w:eastAsia="Times New Roman" w:cs="Arial"/>
                <w:b/>
                <w:bCs/>
                <w:sz w:val="20"/>
                <w:szCs w:val="20"/>
              </w:rPr>
            </w:pPr>
            <w:r w:rsidRPr="00BE2643">
              <w:rPr>
                <w:rFonts w:ascii="Arial" w:hAnsi="Arial"/>
                <w:b/>
                <w:sz w:val="20"/>
              </w:rPr>
              <w:t>9. jagu. Kauplemismaht</w:t>
            </w:r>
          </w:p>
        </w:tc>
        <w:tc>
          <w:tcPr>
            <w:tcW w:w="2745" w:type="dxa"/>
            <w:tcBorders>
              <w:top w:val="nil"/>
              <w:left w:val="nil"/>
              <w:right w:val="nil"/>
            </w:tcBorders>
            <w:hideMark/>
          </w:tcPr>
          <w:p w:rsidRPr="00BE2643" w:rsidR="00A3063F" w:rsidP="0020784C" w:rsidRDefault="00A3063F" w14:paraId="1B10990A"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79E1DA56" w14:textId="77777777">
        <w:trPr>
          <w:trHeight w:val="300"/>
        </w:trPr>
        <w:tc>
          <w:tcPr>
            <w:tcW w:w="6804" w:type="dxa"/>
            <w:gridSpan w:val="2"/>
            <w:tcBorders>
              <w:left w:val="nil"/>
              <w:right w:val="nil"/>
            </w:tcBorders>
            <w:noWrap/>
          </w:tcPr>
          <w:p w:rsidRPr="00BE2643" w:rsidR="00A3063F" w:rsidP="0020784C" w:rsidRDefault="00A3063F" w14:paraId="35569E6C" w14:textId="77777777">
            <w:pPr>
              <w:ind w:left="171" w:firstLine="28" w:firstLineChars="14"/>
              <w:rPr>
                <w:rFonts w:ascii="Arial" w:hAnsi="Arial" w:eastAsia="Times New Roman" w:cs="Arial"/>
                <w:sz w:val="20"/>
                <w:szCs w:val="20"/>
              </w:rPr>
            </w:pPr>
            <w:r w:rsidRPr="00BE2643">
              <w:rPr>
                <w:rFonts w:ascii="Arial" w:hAnsi="Arial"/>
                <w:sz w:val="20"/>
              </w:rPr>
              <w:t>a. Teiste avaliku sektori asutuste emiteeritud väärtpaberite kauplemismaht, v.a grupisisesed tehingud</w:t>
            </w:r>
          </w:p>
        </w:tc>
        <w:tc>
          <w:tcPr>
            <w:tcW w:w="2745" w:type="dxa"/>
            <w:tcBorders>
              <w:left w:val="nil"/>
              <w:right w:val="nil"/>
            </w:tcBorders>
            <w:noWrap/>
          </w:tcPr>
          <w:p w:rsidRPr="00BE2643" w:rsidR="00A3063F" w:rsidP="0020784C" w:rsidRDefault="00A3063F" w14:paraId="570870F2" w14:textId="77777777">
            <w:pPr>
              <w:jc w:val="right"/>
              <w:rPr>
                <w:rFonts w:ascii="Arial" w:hAnsi="Arial" w:eastAsia="Times New Roman" w:cs="Arial"/>
                <w:sz w:val="20"/>
                <w:szCs w:val="20"/>
                <w:lang w:eastAsia="en-GB"/>
              </w:rPr>
            </w:pPr>
          </w:p>
        </w:tc>
      </w:tr>
      <w:tr w:rsidRPr="00BE2643" w:rsidR="00A3063F" w:rsidTr="0020784C" w14:paraId="6C826A2C"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6882210E" w14:textId="77777777">
            <w:pPr>
              <w:ind w:left="171" w:firstLine="28" w:firstLineChars="14"/>
              <w:rPr>
                <w:rFonts w:ascii="Arial" w:hAnsi="Arial" w:eastAsia="Times New Roman" w:cs="Arial"/>
                <w:sz w:val="20"/>
                <w:szCs w:val="20"/>
              </w:rPr>
            </w:pPr>
            <w:r w:rsidRPr="00BE2643">
              <w:rPr>
                <w:rFonts w:ascii="Arial" w:hAnsi="Arial"/>
                <w:sz w:val="20"/>
              </w:rPr>
              <w:t>b. Muude fikseeritud tulumääraga väärtpaberite kauplemismaht, v.a grupisisesed tehingud</w:t>
            </w:r>
          </w:p>
        </w:tc>
        <w:tc>
          <w:tcPr>
            <w:tcW w:w="2745" w:type="dxa"/>
            <w:tcBorders>
              <w:left w:val="nil"/>
              <w:right w:val="nil"/>
            </w:tcBorders>
            <w:noWrap/>
            <w:hideMark/>
          </w:tcPr>
          <w:p w:rsidRPr="00BE2643" w:rsidR="00A3063F" w:rsidP="0020784C" w:rsidRDefault="00A3063F" w14:paraId="633B143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A63B571" w14:textId="77777777">
        <w:trPr>
          <w:gridAfter w:val="1"/>
          <w:wAfter w:w="2745" w:type="dxa"/>
          <w:trHeight w:val="300"/>
        </w:trPr>
        <w:tc>
          <w:tcPr>
            <w:tcW w:w="6804" w:type="dxa"/>
            <w:gridSpan w:val="2"/>
            <w:tcBorders>
              <w:left w:val="nil"/>
              <w:bottom w:val="single" w:color="auto" w:sz="4" w:space="0"/>
              <w:right w:val="nil"/>
            </w:tcBorders>
            <w:noWrap/>
            <w:hideMark/>
          </w:tcPr>
          <w:p w:rsidRPr="00BE2643" w:rsidR="00A3063F" w:rsidP="0020784C" w:rsidRDefault="00A3063F" w14:paraId="62301A09" w14:textId="77777777">
            <w:pPr>
              <w:ind w:firstLine="200" w:firstLineChars="100"/>
              <w:rPr>
                <w:rFonts w:ascii="Arial" w:hAnsi="Arial" w:eastAsia="Times New Roman" w:cs="Arial"/>
                <w:sz w:val="20"/>
                <w:szCs w:val="20"/>
              </w:rPr>
            </w:pPr>
            <w:r w:rsidRPr="00BE2643">
              <w:rPr>
                <w:rFonts w:ascii="Arial" w:hAnsi="Arial"/>
                <w:sz w:val="20"/>
              </w:rPr>
              <w:t>c. Kauplemismahu fikseeritud tulu alamnäitaja (kirjete 9.a. ja 9.b. summa)</w:t>
            </w:r>
          </w:p>
        </w:tc>
      </w:tr>
      <w:tr w:rsidRPr="00BE2643" w:rsidR="00A3063F" w:rsidTr="0020784C" w14:paraId="782DA159" w14:textId="77777777">
        <w:trPr>
          <w:trHeight w:val="300"/>
        </w:trPr>
        <w:tc>
          <w:tcPr>
            <w:tcW w:w="6804" w:type="dxa"/>
            <w:gridSpan w:val="2"/>
            <w:tcBorders>
              <w:left w:val="nil"/>
              <w:right w:val="nil"/>
            </w:tcBorders>
            <w:noWrap/>
            <w:hideMark/>
          </w:tcPr>
          <w:p w:rsidRPr="00BE2643" w:rsidR="00A3063F" w:rsidP="0020784C" w:rsidRDefault="00A3063F" w14:paraId="0E3498A7" w14:textId="77777777">
            <w:pPr>
              <w:ind w:firstLine="200" w:firstLineChars="100"/>
              <w:rPr>
                <w:rFonts w:ascii="Arial" w:hAnsi="Arial" w:eastAsia="Times New Roman" w:cs="Arial"/>
                <w:sz w:val="20"/>
                <w:szCs w:val="20"/>
              </w:rPr>
            </w:pPr>
            <w:r w:rsidRPr="00BE2643">
              <w:rPr>
                <w:rFonts w:ascii="Arial" w:hAnsi="Arial"/>
                <w:sz w:val="20"/>
              </w:rPr>
              <w:t>d. Noteeritud aktsiate kauplemismaht, v.a grupisisesed tehingud</w:t>
            </w:r>
          </w:p>
        </w:tc>
        <w:tc>
          <w:tcPr>
            <w:tcW w:w="2745" w:type="dxa"/>
            <w:tcBorders>
              <w:left w:val="nil"/>
              <w:right w:val="nil"/>
            </w:tcBorders>
            <w:noWrap/>
            <w:hideMark/>
          </w:tcPr>
          <w:p w:rsidRPr="00BE2643" w:rsidR="00A3063F" w:rsidP="0020784C" w:rsidRDefault="00A3063F" w14:paraId="12D10807"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CEF6985"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0993C500" w14:textId="77777777">
            <w:pPr>
              <w:ind w:left="171"/>
              <w:rPr>
                <w:rFonts w:ascii="Arial" w:hAnsi="Arial" w:eastAsia="Times New Roman" w:cs="Arial"/>
                <w:sz w:val="20"/>
                <w:szCs w:val="20"/>
              </w:rPr>
            </w:pPr>
            <w:r w:rsidRPr="00BE2643">
              <w:rPr>
                <w:rFonts w:ascii="Arial" w:hAnsi="Arial"/>
                <w:sz w:val="20"/>
              </w:rPr>
              <w:t>e. Kõigi muude väärtpaberite kauplemismaht, v.a grupisisesed tehingud</w:t>
            </w:r>
          </w:p>
        </w:tc>
        <w:tc>
          <w:tcPr>
            <w:tcW w:w="2745" w:type="dxa"/>
            <w:tcBorders>
              <w:left w:val="nil"/>
              <w:right w:val="nil"/>
            </w:tcBorders>
            <w:noWrap/>
            <w:hideMark/>
          </w:tcPr>
          <w:p w:rsidRPr="00BE2643" w:rsidR="00A3063F" w:rsidP="0020784C" w:rsidRDefault="00A3063F" w14:paraId="04F9599C"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7293B3C" w14:textId="77777777">
        <w:trPr>
          <w:gridAfter w:val="1"/>
          <w:wAfter w:w="2745" w:type="dxa"/>
          <w:trHeight w:val="300"/>
        </w:trPr>
        <w:tc>
          <w:tcPr>
            <w:tcW w:w="6804" w:type="dxa"/>
            <w:gridSpan w:val="2"/>
            <w:tcBorders>
              <w:left w:val="nil"/>
              <w:bottom w:val="single" w:color="auto" w:sz="4" w:space="0"/>
              <w:right w:val="nil"/>
            </w:tcBorders>
            <w:noWrap/>
            <w:hideMark/>
          </w:tcPr>
          <w:p w:rsidRPr="00BE2643" w:rsidR="00A3063F" w:rsidP="0020784C" w:rsidRDefault="00A3063F" w14:paraId="37B007D5" w14:textId="77777777">
            <w:pPr>
              <w:ind w:left="171" w:firstLine="28" w:firstLineChars="14"/>
              <w:rPr>
                <w:rFonts w:ascii="Arial" w:hAnsi="Arial" w:eastAsia="Times New Roman" w:cs="Arial"/>
                <w:sz w:val="20"/>
                <w:szCs w:val="20"/>
              </w:rPr>
            </w:pPr>
            <w:r w:rsidRPr="00BE2643">
              <w:rPr>
                <w:rFonts w:ascii="Arial" w:hAnsi="Arial"/>
                <w:sz w:val="20"/>
              </w:rPr>
              <w:t>f. Aktsiate ja muude väärtpaberite kauplemismahu alamnäitaja (kirjete 9.d. ja 9.e. summa)</w:t>
            </w:r>
          </w:p>
        </w:tc>
      </w:tr>
      <w:tr w:rsidRPr="00BE2643" w:rsidR="00A3063F" w:rsidTr="0020784C" w14:paraId="135D93AA" w14:textId="77777777">
        <w:trPr>
          <w:trHeight w:val="403"/>
        </w:trPr>
        <w:tc>
          <w:tcPr>
            <w:tcW w:w="6804" w:type="dxa"/>
            <w:gridSpan w:val="2"/>
            <w:tcBorders>
              <w:left w:val="nil"/>
              <w:bottom w:val="nil"/>
              <w:right w:val="nil"/>
            </w:tcBorders>
            <w:noWrap/>
          </w:tcPr>
          <w:p w:rsidRPr="00BE2643" w:rsidR="00A3063F" w:rsidP="0020784C" w:rsidRDefault="00A3063F" w14:paraId="03D26A3B"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BE2643" w:rsidR="00A3063F" w:rsidP="0020784C" w:rsidRDefault="00A3063F" w14:paraId="3A420F9C" w14:textId="77777777">
            <w:pPr>
              <w:rPr>
                <w:rFonts w:ascii="Arial" w:hAnsi="Arial" w:eastAsia="Times New Roman" w:cs="Arial"/>
                <w:sz w:val="20"/>
                <w:szCs w:val="20"/>
                <w:lang w:eastAsia="en-GB"/>
              </w:rPr>
            </w:pPr>
          </w:p>
        </w:tc>
      </w:tr>
      <w:tr w:rsidRPr="00BE2643" w:rsidR="00A3063F" w:rsidTr="0020784C" w14:paraId="6BBC6D57" w14:textId="77777777">
        <w:trPr>
          <w:trHeight w:val="403"/>
        </w:trPr>
        <w:tc>
          <w:tcPr>
            <w:tcW w:w="6804" w:type="dxa"/>
            <w:gridSpan w:val="2"/>
            <w:tcBorders>
              <w:top w:val="nil"/>
              <w:left w:val="nil"/>
              <w:bottom w:val="nil"/>
              <w:right w:val="nil"/>
            </w:tcBorders>
            <w:noWrap/>
            <w:hideMark/>
          </w:tcPr>
          <w:p w:rsidRPr="00BE2643" w:rsidR="00A3063F" w:rsidP="0020784C" w:rsidRDefault="00A3063F" w14:paraId="07F698E2" w14:textId="77777777">
            <w:pPr>
              <w:keepNext/>
              <w:keepLines/>
              <w:spacing w:before="47"/>
              <w:outlineLvl w:val="5"/>
              <w:rPr>
                <w:rFonts w:asciiTheme="majorHAnsi" w:hAnsiTheme="majorHAnsi" w:eastAsiaTheme="majorEastAsia" w:cstheme="majorBidi"/>
                <w:b/>
                <w:bCs/>
                <w:i/>
                <w:iCs/>
                <w:caps/>
                <w:spacing w:val="-2"/>
              </w:rPr>
            </w:pPr>
            <w:r w:rsidRPr="00BE2643">
              <w:rPr>
                <w:rFonts w:ascii="Arial" w:hAnsi="Arial"/>
                <w:i/>
                <w:caps/>
                <w:color w:val="172B39" w:themeColor="accent1" w:themeShade="80"/>
                <w:sz w:val="20"/>
              </w:rPr>
              <w:t> </w:t>
            </w:r>
            <w:r w:rsidRPr="00BE2643">
              <w:rPr>
                <w:rFonts w:asciiTheme="majorHAnsi" w:hAnsiTheme="majorHAnsi"/>
                <w:b/>
                <w:i/>
                <w:caps/>
              </w:rPr>
              <w:t>Keerukuse näitajad</w:t>
            </w:r>
          </w:p>
          <w:p w:rsidRPr="00BE2643" w:rsidR="00A3063F" w:rsidP="0020784C" w:rsidRDefault="00A3063F" w14:paraId="1A53CB74" w14:textId="77777777">
            <w:pPr>
              <w:ind w:firstLine="200" w:firstLineChars="100"/>
              <w:rPr>
                <w:rFonts w:ascii="Arial" w:hAnsi="Arial" w:eastAsia="Times New Roman" w:cs="Arial"/>
                <w:sz w:val="20"/>
                <w:szCs w:val="20"/>
                <w:lang w:eastAsia="en-GB"/>
              </w:rPr>
            </w:pPr>
          </w:p>
        </w:tc>
        <w:tc>
          <w:tcPr>
            <w:tcW w:w="2745" w:type="dxa"/>
            <w:tcBorders>
              <w:top w:val="nil"/>
              <w:left w:val="nil"/>
              <w:bottom w:val="nil"/>
              <w:right w:val="nil"/>
            </w:tcBorders>
            <w:noWrap/>
            <w:hideMark/>
          </w:tcPr>
          <w:p w:rsidRPr="00BE2643" w:rsidR="00A3063F" w:rsidP="0020784C" w:rsidRDefault="00A3063F" w14:paraId="1BB0E135" w14:textId="77777777">
            <w:pPr>
              <w:rPr>
                <w:rFonts w:ascii="Arial" w:hAnsi="Arial" w:eastAsia="Times New Roman" w:cs="Arial"/>
                <w:sz w:val="20"/>
                <w:szCs w:val="20"/>
              </w:rPr>
            </w:pPr>
            <w:r w:rsidRPr="00BE2643">
              <w:rPr>
                <w:rFonts w:ascii="Arial" w:hAnsi="Arial"/>
                <w:sz w:val="20"/>
              </w:rPr>
              <w:t> </w:t>
            </w:r>
          </w:p>
        </w:tc>
      </w:tr>
      <w:tr w:rsidRPr="00BE2643" w:rsidR="00A3063F" w:rsidTr="0020784C" w14:paraId="6D8DAB8D" w14:textId="77777777">
        <w:trPr>
          <w:trHeight w:val="403"/>
        </w:trPr>
        <w:tc>
          <w:tcPr>
            <w:tcW w:w="6804" w:type="dxa"/>
            <w:gridSpan w:val="2"/>
            <w:tcBorders>
              <w:top w:val="nil"/>
              <w:left w:val="nil"/>
              <w:bottom w:val="single" w:color="auto" w:sz="4" w:space="0"/>
              <w:right w:val="nil"/>
            </w:tcBorders>
            <w:noWrap/>
          </w:tcPr>
          <w:p w:rsidRPr="00BE2643" w:rsidR="00A3063F" w:rsidP="0020784C" w:rsidRDefault="00A3063F" w14:paraId="36BBA090"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BE2643" w:rsidR="00A3063F" w:rsidP="0020784C" w:rsidRDefault="00A3063F" w14:paraId="570B74D3" w14:textId="77777777">
            <w:pPr>
              <w:rPr>
                <w:rFonts w:ascii="Arial" w:hAnsi="Arial" w:eastAsia="Times New Roman" w:cs="Arial"/>
                <w:sz w:val="20"/>
                <w:szCs w:val="20"/>
                <w:lang w:eastAsia="en-GB"/>
              </w:rPr>
            </w:pPr>
          </w:p>
        </w:tc>
      </w:tr>
      <w:tr w:rsidRPr="00BE2643" w:rsidR="00A3063F" w:rsidTr="0020784C" w14:paraId="16FB92C4" w14:textId="77777777">
        <w:trPr>
          <w:trHeight w:val="300"/>
        </w:trPr>
        <w:tc>
          <w:tcPr>
            <w:tcW w:w="6804" w:type="dxa"/>
            <w:gridSpan w:val="2"/>
            <w:tcBorders>
              <w:left w:val="nil"/>
              <w:right w:val="nil"/>
            </w:tcBorders>
            <w:noWrap/>
          </w:tcPr>
          <w:p w:rsidRPr="00BE2643" w:rsidR="00A3063F" w:rsidP="0020784C" w:rsidRDefault="00A3063F" w14:paraId="6EFB2573" w14:textId="77777777">
            <w:pPr>
              <w:ind w:firstLine="201" w:firstLineChars="100"/>
              <w:rPr>
                <w:rFonts w:ascii="Arial" w:hAnsi="Arial" w:eastAsia="Times New Roman" w:cs="Arial"/>
                <w:sz w:val="20"/>
                <w:szCs w:val="20"/>
              </w:rPr>
            </w:pPr>
            <w:r w:rsidRPr="00BE2643">
              <w:rPr>
                <w:rFonts w:ascii="Arial" w:hAnsi="Arial"/>
                <w:b/>
                <w:sz w:val="20"/>
              </w:rPr>
              <w:t>10. jagu. Börsiväliste tuletisinstrumentide tinglik väärtus</w:t>
            </w:r>
          </w:p>
        </w:tc>
        <w:tc>
          <w:tcPr>
            <w:tcW w:w="2745" w:type="dxa"/>
            <w:tcBorders>
              <w:left w:val="nil"/>
              <w:right w:val="nil"/>
            </w:tcBorders>
            <w:noWrap/>
          </w:tcPr>
          <w:p w:rsidRPr="00BE2643" w:rsidR="00A3063F" w:rsidP="0020784C" w:rsidRDefault="00A3063F" w14:paraId="33D895E7"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507BB72B" w14:textId="77777777">
        <w:trPr>
          <w:trHeight w:val="300"/>
        </w:trPr>
        <w:tc>
          <w:tcPr>
            <w:tcW w:w="6804" w:type="dxa"/>
            <w:gridSpan w:val="2"/>
            <w:tcBorders>
              <w:left w:val="nil"/>
              <w:right w:val="nil"/>
            </w:tcBorders>
            <w:noWrap/>
            <w:hideMark/>
          </w:tcPr>
          <w:p w:rsidRPr="00BE2643" w:rsidR="00A3063F" w:rsidP="0020784C" w:rsidRDefault="00A3063F" w14:paraId="4C3A267E" w14:textId="77777777">
            <w:pPr>
              <w:ind w:firstLine="200" w:firstLineChars="100"/>
              <w:rPr>
                <w:rFonts w:ascii="Arial" w:hAnsi="Arial" w:eastAsia="Times New Roman" w:cs="Arial"/>
                <w:sz w:val="20"/>
                <w:szCs w:val="20"/>
              </w:rPr>
            </w:pPr>
            <w:r w:rsidRPr="00BE2643">
              <w:rPr>
                <w:rFonts w:ascii="Arial" w:hAnsi="Arial"/>
                <w:sz w:val="20"/>
              </w:rPr>
              <w:t>a. Keskse vastaspoole kaudu kliiritud börsivälised tuletisinstrumendid</w:t>
            </w:r>
          </w:p>
        </w:tc>
        <w:tc>
          <w:tcPr>
            <w:tcW w:w="2745" w:type="dxa"/>
            <w:tcBorders>
              <w:left w:val="nil"/>
              <w:right w:val="nil"/>
            </w:tcBorders>
            <w:noWrap/>
            <w:hideMark/>
          </w:tcPr>
          <w:p w:rsidRPr="00BE2643" w:rsidR="00A3063F" w:rsidP="0020784C" w:rsidRDefault="00A3063F" w14:paraId="6DE39FF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4D086D5" w14:textId="77777777">
        <w:trPr>
          <w:trHeight w:val="300"/>
        </w:trPr>
        <w:tc>
          <w:tcPr>
            <w:tcW w:w="6804" w:type="dxa"/>
            <w:gridSpan w:val="2"/>
            <w:tcBorders>
              <w:left w:val="nil"/>
              <w:right w:val="nil"/>
            </w:tcBorders>
            <w:noWrap/>
            <w:hideMark/>
          </w:tcPr>
          <w:p w:rsidRPr="00BE2643" w:rsidR="00A3063F" w:rsidP="0020784C" w:rsidRDefault="00A3063F" w14:paraId="352EC590" w14:textId="77777777">
            <w:pPr>
              <w:ind w:firstLine="200" w:firstLineChars="100"/>
              <w:rPr>
                <w:rFonts w:ascii="Arial" w:hAnsi="Arial" w:eastAsia="Times New Roman" w:cs="Arial"/>
                <w:sz w:val="20"/>
                <w:szCs w:val="20"/>
              </w:rPr>
            </w:pPr>
            <w:r w:rsidRPr="00BE2643">
              <w:rPr>
                <w:rFonts w:ascii="Arial" w:hAnsi="Arial"/>
                <w:sz w:val="20"/>
              </w:rPr>
              <w:t>b. Kahepoolselt arveldatud börsivälised tuletisinstrumendid</w:t>
            </w:r>
          </w:p>
        </w:tc>
        <w:tc>
          <w:tcPr>
            <w:tcW w:w="2745" w:type="dxa"/>
            <w:tcBorders>
              <w:left w:val="nil"/>
              <w:right w:val="nil"/>
            </w:tcBorders>
            <w:noWrap/>
            <w:hideMark/>
          </w:tcPr>
          <w:p w:rsidRPr="00BE2643" w:rsidR="00A3063F" w:rsidP="0020784C" w:rsidRDefault="00A3063F" w14:paraId="5E5DF017"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8D1355E"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5ED18978" w14:textId="77777777">
            <w:pPr>
              <w:ind w:left="171" w:firstLine="28" w:firstLineChars="14"/>
              <w:rPr>
                <w:rFonts w:ascii="Arial" w:hAnsi="Arial" w:eastAsia="Times New Roman" w:cs="Arial"/>
                <w:sz w:val="20"/>
                <w:szCs w:val="20"/>
              </w:rPr>
            </w:pPr>
            <w:r w:rsidRPr="00BE2643">
              <w:rPr>
                <w:rFonts w:ascii="Arial" w:hAnsi="Arial"/>
                <w:sz w:val="20"/>
              </w:rPr>
              <w:t>c. Börsiväliste tuletisinstrumentide tinglik väärtus, sh kindlustusvaldkonna tütarettevõtjad (kirjete 10.a. ja 10.b. summa)</w:t>
            </w:r>
          </w:p>
        </w:tc>
        <w:tc>
          <w:tcPr>
            <w:tcW w:w="2745" w:type="dxa"/>
            <w:tcBorders>
              <w:left w:val="nil"/>
              <w:bottom w:val="single" w:color="auto" w:sz="4" w:space="0"/>
              <w:right w:val="nil"/>
            </w:tcBorders>
            <w:noWrap/>
          </w:tcPr>
          <w:p w:rsidRPr="00BE2643" w:rsidR="00A3063F" w:rsidP="0020784C" w:rsidRDefault="00A3063F" w14:paraId="2793B69C" w14:textId="77777777">
            <w:pPr>
              <w:jc w:val="right"/>
              <w:rPr>
                <w:rFonts w:ascii="Arial" w:hAnsi="Arial" w:eastAsia="Times New Roman" w:cs="Arial"/>
                <w:sz w:val="20"/>
                <w:szCs w:val="20"/>
                <w:lang w:eastAsia="en-GB"/>
              </w:rPr>
            </w:pPr>
          </w:p>
        </w:tc>
      </w:tr>
      <w:tr w:rsidRPr="00BE2643" w:rsidR="00A3063F" w:rsidTr="0020784C" w14:paraId="7C945F0F" w14:textId="77777777">
        <w:trPr>
          <w:trHeight w:val="300"/>
        </w:trPr>
        <w:tc>
          <w:tcPr>
            <w:tcW w:w="6804" w:type="dxa"/>
            <w:gridSpan w:val="2"/>
            <w:tcBorders>
              <w:left w:val="nil"/>
              <w:bottom w:val="nil"/>
              <w:right w:val="nil"/>
            </w:tcBorders>
            <w:noWrap/>
          </w:tcPr>
          <w:p w:rsidRPr="00BE2643" w:rsidR="00A3063F" w:rsidP="0020784C" w:rsidRDefault="00A3063F" w14:paraId="3CF947E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4248C402" w14:textId="77777777">
            <w:pPr>
              <w:jc w:val="center"/>
              <w:rPr>
                <w:rFonts w:ascii="Arial" w:hAnsi="Arial" w:eastAsia="Times New Roman" w:cs="Arial"/>
                <w:b/>
                <w:bCs/>
                <w:sz w:val="20"/>
                <w:szCs w:val="20"/>
                <w:lang w:eastAsia="en-GB"/>
              </w:rPr>
            </w:pPr>
          </w:p>
        </w:tc>
      </w:tr>
      <w:tr w:rsidRPr="00BE2643" w:rsidR="00A3063F" w:rsidTr="0020784C" w14:paraId="633FD456" w14:textId="77777777">
        <w:trPr>
          <w:trHeight w:val="300"/>
        </w:trPr>
        <w:tc>
          <w:tcPr>
            <w:tcW w:w="6804" w:type="dxa"/>
            <w:gridSpan w:val="2"/>
            <w:tcBorders>
              <w:top w:val="nil"/>
              <w:left w:val="nil"/>
              <w:bottom w:val="single" w:color="auto" w:sz="4" w:space="0"/>
              <w:right w:val="nil"/>
            </w:tcBorders>
            <w:noWrap/>
            <w:hideMark/>
          </w:tcPr>
          <w:p w:rsidRPr="00BE2643" w:rsidR="00A3063F" w:rsidP="0020784C" w:rsidRDefault="00A3063F" w14:paraId="630FB696" w14:textId="77777777">
            <w:pPr>
              <w:rPr>
                <w:rFonts w:ascii="Arial" w:hAnsi="Arial" w:eastAsia="Times New Roman" w:cs="Arial"/>
                <w:b/>
                <w:bCs/>
                <w:sz w:val="20"/>
                <w:szCs w:val="20"/>
              </w:rPr>
            </w:pPr>
            <w:r w:rsidRPr="00BE2643">
              <w:rPr>
                <w:rFonts w:ascii="Arial" w:hAnsi="Arial"/>
                <w:b/>
                <w:sz w:val="20"/>
              </w:rPr>
              <w:t>11. jagu. Kaubeldavad ja müügivalmis väärtpaberid</w:t>
            </w:r>
          </w:p>
        </w:tc>
        <w:tc>
          <w:tcPr>
            <w:tcW w:w="2745" w:type="dxa"/>
            <w:tcBorders>
              <w:top w:val="nil"/>
              <w:left w:val="nil"/>
              <w:bottom w:val="single" w:color="auto" w:sz="4" w:space="0"/>
              <w:right w:val="nil"/>
            </w:tcBorders>
            <w:hideMark/>
          </w:tcPr>
          <w:p w:rsidRPr="00BE2643" w:rsidR="00A3063F" w:rsidP="0020784C" w:rsidRDefault="00A3063F" w14:paraId="6CDC874F"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3BE63C31" w14:textId="77777777">
        <w:trPr>
          <w:trHeight w:val="300"/>
        </w:trPr>
        <w:tc>
          <w:tcPr>
            <w:tcW w:w="6804" w:type="dxa"/>
            <w:gridSpan w:val="2"/>
            <w:tcBorders>
              <w:left w:val="nil"/>
              <w:right w:val="nil"/>
            </w:tcBorders>
            <w:noWrap/>
            <w:hideMark/>
          </w:tcPr>
          <w:p w:rsidRPr="00BE2643" w:rsidR="00A3063F" w:rsidP="0020784C" w:rsidRDefault="00A3063F" w14:paraId="22C1E426" w14:textId="77777777">
            <w:pPr>
              <w:ind w:firstLine="200" w:firstLineChars="100"/>
              <w:rPr>
                <w:rFonts w:ascii="Arial" w:hAnsi="Arial" w:eastAsia="Times New Roman" w:cs="Arial"/>
                <w:sz w:val="20"/>
                <w:szCs w:val="20"/>
              </w:rPr>
            </w:pPr>
            <w:r w:rsidRPr="00BE2643">
              <w:rPr>
                <w:rFonts w:ascii="Arial" w:hAnsi="Arial"/>
                <w:sz w:val="20"/>
              </w:rPr>
              <w:t>a. Kauplemise eesmärgil hoitavad väärtpaberid</w:t>
            </w:r>
          </w:p>
        </w:tc>
        <w:tc>
          <w:tcPr>
            <w:tcW w:w="2745" w:type="dxa"/>
            <w:tcBorders>
              <w:left w:val="nil"/>
              <w:right w:val="nil"/>
            </w:tcBorders>
            <w:noWrap/>
            <w:hideMark/>
          </w:tcPr>
          <w:p w:rsidRPr="00BE2643" w:rsidR="00A3063F" w:rsidP="0020784C" w:rsidRDefault="00A3063F" w14:paraId="035A57C8"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40BF71A9"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0AA007E9" w14:textId="77777777">
            <w:pPr>
              <w:ind w:firstLine="200" w:firstLineChars="100"/>
              <w:rPr>
                <w:rFonts w:ascii="Arial" w:hAnsi="Arial" w:eastAsia="Times New Roman" w:cs="Arial"/>
                <w:sz w:val="20"/>
                <w:szCs w:val="20"/>
              </w:rPr>
            </w:pPr>
            <w:r w:rsidRPr="00BE2643">
              <w:rPr>
                <w:rFonts w:ascii="Arial" w:hAnsi="Arial"/>
                <w:sz w:val="20"/>
              </w:rPr>
              <w:t>b. Müügivalmis väärtpaberid</w:t>
            </w:r>
          </w:p>
        </w:tc>
        <w:tc>
          <w:tcPr>
            <w:tcW w:w="2745" w:type="dxa"/>
            <w:tcBorders>
              <w:left w:val="nil"/>
              <w:right w:val="nil"/>
            </w:tcBorders>
            <w:noWrap/>
            <w:hideMark/>
          </w:tcPr>
          <w:p w:rsidRPr="00BE2643" w:rsidR="00A3063F" w:rsidP="0020784C" w:rsidRDefault="00A3063F" w14:paraId="385C1C88"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9F00403"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B783B96" w14:textId="77777777">
            <w:pPr>
              <w:ind w:firstLine="200" w:firstLineChars="100"/>
              <w:rPr>
                <w:rFonts w:ascii="Arial" w:hAnsi="Arial" w:eastAsia="Times New Roman" w:cs="Arial"/>
                <w:sz w:val="20"/>
                <w:szCs w:val="20"/>
              </w:rPr>
            </w:pPr>
            <w:r w:rsidRPr="00BE2643">
              <w:rPr>
                <w:rFonts w:ascii="Arial" w:hAnsi="Arial"/>
                <w:sz w:val="20"/>
              </w:rPr>
              <w:t>c. Kaubeldavad ja müügivalmis väärtpaberid, mis vastavad 1. taseme varade määratlusele</w:t>
            </w:r>
          </w:p>
        </w:tc>
        <w:tc>
          <w:tcPr>
            <w:tcW w:w="2745" w:type="dxa"/>
            <w:tcBorders>
              <w:left w:val="nil"/>
              <w:right w:val="nil"/>
            </w:tcBorders>
            <w:noWrap/>
          </w:tcPr>
          <w:p w:rsidRPr="00BE2643" w:rsidR="00A3063F" w:rsidP="0020784C" w:rsidRDefault="00A3063F" w14:paraId="1E929F25" w14:textId="77777777">
            <w:pPr>
              <w:jc w:val="right"/>
              <w:rPr>
                <w:rFonts w:ascii="Arial" w:hAnsi="Arial" w:eastAsia="Times New Roman" w:cs="Arial"/>
                <w:sz w:val="20"/>
                <w:szCs w:val="20"/>
                <w:lang w:eastAsia="en-GB"/>
              </w:rPr>
            </w:pPr>
          </w:p>
        </w:tc>
      </w:tr>
      <w:tr w:rsidRPr="00BE2643" w:rsidR="00A3063F" w:rsidTr="0020784C" w14:paraId="2E6C629C"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7D6E26D" w14:textId="77777777">
            <w:pPr>
              <w:ind w:left="171" w:firstLine="28" w:firstLineChars="14"/>
              <w:rPr>
                <w:rFonts w:ascii="Arial" w:hAnsi="Arial" w:eastAsia="Times New Roman" w:cs="Arial"/>
                <w:sz w:val="20"/>
                <w:szCs w:val="20"/>
              </w:rPr>
            </w:pPr>
            <w:r w:rsidRPr="00BE2643">
              <w:rPr>
                <w:rFonts w:ascii="Arial" w:hAnsi="Arial"/>
                <w:sz w:val="20"/>
              </w:rPr>
              <w:t>d. Kaubeldavad ja müügivalmis väärtpaberid, mis vastavad 2. taseme varade määratlusele; väärtuskärbetega</w:t>
            </w:r>
          </w:p>
        </w:tc>
        <w:tc>
          <w:tcPr>
            <w:tcW w:w="2745" w:type="dxa"/>
            <w:tcBorders>
              <w:left w:val="nil"/>
              <w:right w:val="nil"/>
            </w:tcBorders>
            <w:noWrap/>
          </w:tcPr>
          <w:p w:rsidRPr="00BE2643" w:rsidR="00A3063F" w:rsidP="0020784C" w:rsidRDefault="00A3063F" w14:paraId="59B92279" w14:textId="77777777">
            <w:pPr>
              <w:jc w:val="right"/>
              <w:rPr>
                <w:rFonts w:ascii="Arial" w:hAnsi="Arial" w:eastAsia="Times New Roman" w:cs="Arial"/>
                <w:sz w:val="20"/>
                <w:szCs w:val="20"/>
                <w:lang w:eastAsia="en-GB"/>
              </w:rPr>
            </w:pPr>
          </w:p>
        </w:tc>
      </w:tr>
      <w:tr w:rsidRPr="00BE2643" w:rsidR="00A3063F" w:rsidTr="0020784C" w14:paraId="5C6FDB42"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F0FCEAB" w14:textId="77777777">
            <w:pPr>
              <w:ind w:left="171" w:firstLine="28" w:firstLineChars="14"/>
              <w:rPr>
                <w:rFonts w:ascii="Arial" w:hAnsi="Arial" w:eastAsia="Times New Roman" w:cs="Arial"/>
                <w:sz w:val="20"/>
                <w:szCs w:val="20"/>
              </w:rPr>
            </w:pPr>
            <w:r w:rsidRPr="00BE2643">
              <w:rPr>
                <w:rFonts w:ascii="Arial" w:hAnsi="Arial"/>
                <w:sz w:val="20"/>
              </w:rPr>
              <w:t>e. Kaubeldavate ja müügivalmis väärtpaberite näitaja (kirjete 11.a ja 11.b summa, miinus kirjete 11.c ja 11.d summa)</w:t>
            </w:r>
          </w:p>
        </w:tc>
        <w:tc>
          <w:tcPr>
            <w:tcW w:w="2745" w:type="dxa"/>
            <w:tcBorders>
              <w:left w:val="nil"/>
              <w:bottom w:val="single" w:color="auto" w:sz="4" w:space="0"/>
              <w:right w:val="nil"/>
            </w:tcBorders>
            <w:noWrap/>
          </w:tcPr>
          <w:p w:rsidRPr="00BE2643" w:rsidR="00A3063F" w:rsidP="0020784C" w:rsidRDefault="00A3063F" w14:paraId="6C784159" w14:textId="77777777">
            <w:pPr>
              <w:jc w:val="right"/>
              <w:rPr>
                <w:rFonts w:ascii="Arial" w:hAnsi="Arial" w:eastAsia="Times New Roman" w:cs="Arial"/>
                <w:sz w:val="20"/>
                <w:szCs w:val="20"/>
                <w:lang w:eastAsia="en-GB"/>
              </w:rPr>
            </w:pPr>
          </w:p>
        </w:tc>
      </w:tr>
      <w:tr w:rsidRPr="00BE2643" w:rsidR="00A3063F" w:rsidTr="0020784C" w14:paraId="023BED79" w14:textId="77777777">
        <w:trPr>
          <w:trHeight w:val="300"/>
        </w:trPr>
        <w:tc>
          <w:tcPr>
            <w:tcW w:w="6804" w:type="dxa"/>
            <w:gridSpan w:val="2"/>
            <w:tcBorders>
              <w:left w:val="nil"/>
              <w:bottom w:val="nil"/>
              <w:right w:val="nil"/>
            </w:tcBorders>
            <w:noWrap/>
          </w:tcPr>
          <w:p w:rsidRPr="00BE2643" w:rsidR="00A3063F" w:rsidP="0020784C" w:rsidRDefault="00A3063F" w14:paraId="4A3B4A6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5FA2C3BC" w14:textId="77777777">
            <w:pPr>
              <w:jc w:val="center"/>
              <w:rPr>
                <w:rFonts w:ascii="Arial" w:hAnsi="Arial" w:eastAsia="Times New Roman" w:cs="Arial"/>
                <w:b/>
                <w:bCs/>
                <w:sz w:val="20"/>
                <w:szCs w:val="20"/>
                <w:lang w:eastAsia="en-GB"/>
              </w:rPr>
            </w:pPr>
          </w:p>
        </w:tc>
      </w:tr>
      <w:tr w:rsidRPr="00BE2643" w:rsidR="00A3063F" w:rsidTr="0020784C" w14:paraId="5CF1487D" w14:textId="77777777">
        <w:trPr>
          <w:trHeight w:val="300"/>
        </w:trPr>
        <w:tc>
          <w:tcPr>
            <w:tcW w:w="6804" w:type="dxa"/>
            <w:gridSpan w:val="2"/>
            <w:tcBorders>
              <w:top w:val="nil"/>
              <w:left w:val="nil"/>
              <w:bottom w:val="single" w:color="auto" w:sz="4" w:space="0"/>
              <w:right w:val="nil"/>
            </w:tcBorders>
            <w:noWrap/>
            <w:hideMark/>
          </w:tcPr>
          <w:p w:rsidRPr="00BE2643" w:rsidR="00A3063F" w:rsidP="0020784C" w:rsidRDefault="00A3063F" w14:paraId="5011FD31" w14:textId="77777777">
            <w:pPr>
              <w:rPr>
                <w:rFonts w:ascii="Arial" w:hAnsi="Arial" w:eastAsia="Times New Roman" w:cs="Arial"/>
                <w:b/>
                <w:bCs/>
                <w:sz w:val="20"/>
                <w:szCs w:val="20"/>
              </w:rPr>
            </w:pPr>
            <w:r w:rsidRPr="00BE2643">
              <w:rPr>
                <w:rFonts w:ascii="Arial" w:hAnsi="Arial"/>
                <w:b/>
                <w:sz w:val="20"/>
              </w:rPr>
              <w:t>12. jagu. 3. taseme varad</w:t>
            </w:r>
          </w:p>
        </w:tc>
        <w:tc>
          <w:tcPr>
            <w:tcW w:w="2745" w:type="dxa"/>
            <w:tcBorders>
              <w:top w:val="nil"/>
              <w:left w:val="nil"/>
              <w:bottom w:val="single" w:color="auto" w:sz="4" w:space="0"/>
              <w:right w:val="nil"/>
            </w:tcBorders>
            <w:hideMark/>
          </w:tcPr>
          <w:p w:rsidRPr="00BE2643" w:rsidR="00A3063F" w:rsidP="0020784C" w:rsidRDefault="00A3063F" w14:paraId="5D2B3085"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12B6E096"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2F76CC03" w14:textId="77777777">
            <w:pPr>
              <w:ind w:firstLine="200" w:firstLineChars="100"/>
              <w:rPr>
                <w:rFonts w:ascii="Arial" w:hAnsi="Arial" w:eastAsia="Times New Roman" w:cs="Arial"/>
                <w:sz w:val="20"/>
                <w:szCs w:val="20"/>
              </w:rPr>
            </w:pPr>
            <w:r w:rsidRPr="00BE2643">
              <w:rPr>
                <w:rFonts w:ascii="Arial" w:hAnsi="Arial"/>
                <w:sz w:val="20"/>
              </w:rPr>
              <w:t xml:space="preserve">a. 3. taseme varade näitaja, sh kindlustusvaldkonna tütarettevõtjad </w:t>
            </w:r>
          </w:p>
        </w:tc>
        <w:tc>
          <w:tcPr>
            <w:tcW w:w="2745" w:type="dxa"/>
            <w:tcBorders>
              <w:left w:val="nil"/>
              <w:bottom w:val="single" w:color="auto" w:sz="4" w:space="0"/>
              <w:right w:val="nil"/>
            </w:tcBorders>
            <w:noWrap/>
            <w:hideMark/>
          </w:tcPr>
          <w:p w:rsidRPr="00BE2643" w:rsidR="00A3063F" w:rsidP="0020784C" w:rsidRDefault="00A3063F" w14:paraId="7B7D5871"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602799A" w14:textId="77777777">
        <w:trPr>
          <w:trHeight w:val="300"/>
        </w:trPr>
        <w:tc>
          <w:tcPr>
            <w:tcW w:w="6804" w:type="dxa"/>
            <w:gridSpan w:val="2"/>
            <w:tcBorders>
              <w:left w:val="nil"/>
              <w:bottom w:val="nil"/>
              <w:right w:val="nil"/>
            </w:tcBorders>
            <w:noWrap/>
          </w:tcPr>
          <w:p w:rsidRPr="00BE2643" w:rsidR="00A3063F" w:rsidP="0020784C" w:rsidRDefault="00A3063F" w14:paraId="0CD2A5F3"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BE2643" w:rsidR="00A3063F" w:rsidP="0020784C" w:rsidRDefault="00A3063F" w14:paraId="08350B63" w14:textId="77777777">
            <w:pPr>
              <w:jc w:val="right"/>
              <w:rPr>
                <w:rFonts w:ascii="Arial" w:hAnsi="Arial" w:eastAsia="Times New Roman" w:cs="Arial"/>
                <w:sz w:val="20"/>
                <w:szCs w:val="20"/>
                <w:lang w:eastAsia="en-GB"/>
              </w:rPr>
            </w:pPr>
          </w:p>
        </w:tc>
      </w:tr>
      <w:tr w:rsidRPr="00BE2643" w:rsidR="00A3063F" w:rsidTr="0020784C" w14:paraId="52EF25A9" w14:textId="77777777">
        <w:trPr>
          <w:trHeight w:val="300"/>
        </w:trPr>
        <w:tc>
          <w:tcPr>
            <w:tcW w:w="6804" w:type="dxa"/>
            <w:gridSpan w:val="2"/>
            <w:tcBorders>
              <w:top w:val="nil"/>
              <w:left w:val="nil"/>
              <w:bottom w:val="nil"/>
              <w:right w:val="nil"/>
            </w:tcBorders>
            <w:noWrap/>
          </w:tcPr>
          <w:p w:rsidRPr="00BE2643" w:rsidR="00A3063F" w:rsidP="0020784C" w:rsidRDefault="00A3063F" w14:paraId="58000254" w14:textId="77777777">
            <w:pPr>
              <w:ind w:firstLine="221" w:firstLineChars="100"/>
              <w:rPr>
                <w:rFonts w:ascii="Arial" w:hAnsi="Arial" w:eastAsia="Times New Roman" w:cs="Arial"/>
                <w:sz w:val="20"/>
                <w:szCs w:val="20"/>
              </w:rPr>
            </w:pPr>
            <w:r w:rsidRPr="00BE2643">
              <w:rPr>
                <w:rFonts w:asciiTheme="majorHAnsi" w:hAnsiTheme="majorHAnsi"/>
                <w:b/>
                <w:i/>
                <w:caps/>
              </w:rPr>
              <w:t>Jurisdiktsiooniülese tegevuse näitajad</w:t>
            </w:r>
          </w:p>
        </w:tc>
        <w:tc>
          <w:tcPr>
            <w:tcW w:w="2745" w:type="dxa"/>
            <w:tcBorders>
              <w:top w:val="nil"/>
              <w:left w:val="nil"/>
              <w:bottom w:val="nil"/>
              <w:right w:val="nil"/>
            </w:tcBorders>
            <w:noWrap/>
          </w:tcPr>
          <w:p w:rsidRPr="00BE2643" w:rsidR="00A3063F" w:rsidP="0020784C" w:rsidRDefault="00A3063F" w14:paraId="13663440" w14:textId="77777777">
            <w:pPr>
              <w:jc w:val="right"/>
              <w:rPr>
                <w:rFonts w:ascii="Arial" w:hAnsi="Arial" w:eastAsia="Times New Roman" w:cs="Arial"/>
                <w:sz w:val="20"/>
                <w:szCs w:val="20"/>
                <w:lang w:eastAsia="en-GB"/>
              </w:rPr>
            </w:pPr>
          </w:p>
        </w:tc>
      </w:tr>
      <w:tr w:rsidRPr="00BE2643" w:rsidR="00A3063F" w:rsidTr="0020784C" w14:paraId="7D968CB2" w14:textId="77777777">
        <w:trPr>
          <w:trHeight w:val="300"/>
        </w:trPr>
        <w:tc>
          <w:tcPr>
            <w:tcW w:w="6804" w:type="dxa"/>
            <w:gridSpan w:val="2"/>
            <w:tcBorders>
              <w:top w:val="nil"/>
              <w:left w:val="nil"/>
              <w:bottom w:val="single" w:color="auto" w:sz="4" w:space="0"/>
              <w:right w:val="nil"/>
            </w:tcBorders>
            <w:noWrap/>
          </w:tcPr>
          <w:p w:rsidRPr="00BE2643" w:rsidR="00A3063F" w:rsidP="0020784C" w:rsidRDefault="00A3063F" w14:paraId="3B8496E4"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BE2643" w:rsidR="00A3063F" w:rsidP="0020784C" w:rsidRDefault="00A3063F" w14:paraId="689D8224" w14:textId="77777777">
            <w:pPr>
              <w:jc w:val="right"/>
              <w:rPr>
                <w:rFonts w:ascii="Arial" w:hAnsi="Arial" w:eastAsia="Times New Roman" w:cs="Arial"/>
                <w:sz w:val="20"/>
                <w:szCs w:val="20"/>
                <w:lang w:eastAsia="en-GB"/>
              </w:rPr>
            </w:pPr>
          </w:p>
        </w:tc>
      </w:tr>
      <w:tr w:rsidRPr="00BE2643" w:rsidR="00A3063F" w:rsidTr="0020784C" w14:paraId="6CFEA576"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13A07EE7" w14:textId="77777777">
            <w:pPr>
              <w:rPr>
                <w:rFonts w:ascii="Arial" w:hAnsi="Arial" w:eastAsia="Times New Roman" w:cs="Arial"/>
                <w:b/>
                <w:bCs/>
                <w:sz w:val="20"/>
                <w:szCs w:val="20"/>
              </w:rPr>
            </w:pPr>
            <w:r w:rsidRPr="00BE2643">
              <w:rPr>
                <w:rFonts w:ascii="Arial" w:hAnsi="Arial"/>
                <w:b/>
                <w:sz w:val="20"/>
              </w:rPr>
              <w:t>13. jagu. Jurisdiktsiooniülesed nõuded</w:t>
            </w:r>
          </w:p>
        </w:tc>
        <w:tc>
          <w:tcPr>
            <w:tcW w:w="2745" w:type="dxa"/>
            <w:tcBorders>
              <w:left w:val="nil"/>
              <w:bottom w:val="single" w:color="auto" w:sz="4" w:space="0"/>
              <w:right w:val="nil"/>
            </w:tcBorders>
            <w:hideMark/>
          </w:tcPr>
          <w:p w:rsidRPr="00BE2643" w:rsidR="00A3063F" w:rsidP="0020784C" w:rsidRDefault="00A3063F" w14:paraId="0F312FAC"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42857E95" w14:textId="77777777">
        <w:trPr>
          <w:trHeight w:val="300"/>
        </w:trPr>
        <w:tc>
          <w:tcPr>
            <w:tcW w:w="6804" w:type="dxa"/>
            <w:gridSpan w:val="2"/>
            <w:tcBorders>
              <w:left w:val="nil"/>
              <w:right w:val="nil"/>
            </w:tcBorders>
            <w:noWrap/>
            <w:hideMark/>
          </w:tcPr>
          <w:p w:rsidRPr="00BE2643" w:rsidR="00A3063F" w:rsidP="0020784C" w:rsidRDefault="00A3063F" w14:paraId="001E80C1" w14:textId="77777777">
            <w:pPr>
              <w:ind w:firstLine="200" w:firstLineChars="100"/>
              <w:rPr>
                <w:rFonts w:ascii="Arial" w:hAnsi="Arial" w:eastAsia="Times New Roman" w:cs="Arial"/>
                <w:sz w:val="20"/>
                <w:szCs w:val="20"/>
              </w:rPr>
            </w:pPr>
            <w:r w:rsidRPr="00BE2643">
              <w:rPr>
                <w:rFonts w:ascii="Arial" w:hAnsi="Arial"/>
                <w:sz w:val="20"/>
              </w:rPr>
              <w:t>a. Välismaiste nõuete kogusumma lõppriski alusel</w:t>
            </w:r>
          </w:p>
        </w:tc>
        <w:tc>
          <w:tcPr>
            <w:tcW w:w="2745" w:type="dxa"/>
            <w:tcBorders>
              <w:left w:val="nil"/>
              <w:right w:val="nil"/>
            </w:tcBorders>
            <w:noWrap/>
            <w:hideMark/>
          </w:tcPr>
          <w:p w:rsidRPr="00BE2643" w:rsidR="00A3063F" w:rsidP="0020784C" w:rsidRDefault="00A3063F" w14:paraId="2D3E1A58"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9F66127" w14:textId="77777777">
        <w:trPr>
          <w:trHeight w:val="300"/>
        </w:trPr>
        <w:tc>
          <w:tcPr>
            <w:tcW w:w="6804" w:type="dxa"/>
            <w:gridSpan w:val="2"/>
            <w:tcBorders>
              <w:left w:val="nil"/>
              <w:right w:val="nil"/>
            </w:tcBorders>
            <w:noWrap/>
            <w:hideMark/>
          </w:tcPr>
          <w:p w:rsidRPr="00BE2643" w:rsidR="00A3063F" w:rsidP="0020784C" w:rsidRDefault="00A3063F" w14:paraId="1655EF7A" w14:textId="77777777">
            <w:pPr>
              <w:ind w:firstLine="200" w:firstLineChars="100"/>
              <w:rPr>
                <w:rFonts w:ascii="Arial" w:hAnsi="Arial" w:eastAsia="Times New Roman" w:cs="Arial"/>
                <w:sz w:val="20"/>
                <w:szCs w:val="20"/>
              </w:rPr>
            </w:pPr>
            <w:r w:rsidRPr="00BE2643">
              <w:rPr>
                <w:rFonts w:ascii="Arial" w:hAnsi="Arial"/>
                <w:sz w:val="20"/>
              </w:rPr>
              <w:t>b. Välismaiste tuletisinstrumentide nõuded lõppriski alusel</w:t>
            </w:r>
          </w:p>
        </w:tc>
        <w:tc>
          <w:tcPr>
            <w:tcW w:w="2745" w:type="dxa"/>
            <w:tcBorders>
              <w:left w:val="nil"/>
              <w:right w:val="nil"/>
            </w:tcBorders>
            <w:noWrap/>
            <w:hideMark/>
          </w:tcPr>
          <w:p w:rsidRPr="00BE2643" w:rsidR="00A3063F" w:rsidP="0020784C" w:rsidRDefault="00A3063F" w14:paraId="79D0CA86"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1EF9A9E6" w14:textId="77777777">
        <w:trPr>
          <w:gridAfter w:val="1"/>
          <w:wAfter w:w="2745" w:type="dxa"/>
          <w:trHeight w:val="300"/>
        </w:trPr>
        <w:tc>
          <w:tcPr>
            <w:tcW w:w="6804" w:type="dxa"/>
            <w:gridSpan w:val="2"/>
            <w:tcBorders>
              <w:left w:val="nil"/>
              <w:bottom w:val="single" w:color="auto" w:sz="4" w:space="0"/>
              <w:right w:val="nil"/>
            </w:tcBorders>
            <w:hideMark/>
          </w:tcPr>
          <w:p w:rsidRPr="00BE2643" w:rsidR="00A3063F" w:rsidP="0020784C" w:rsidRDefault="00A3063F" w14:paraId="5BF9F35A" w14:textId="77777777">
            <w:pPr>
              <w:ind w:firstLine="200" w:firstLineChars="100"/>
              <w:rPr>
                <w:rFonts w:ascii="Arial" w:hAnsi="Arial" w:eastAsia="Times New Roman" w:cs="Arial"/>
                <w:sz w:val="20"/>
                <w:szCs w:val="20"/>
              </w:rPr>
            </w:pPr>
            <w:r w:rsidRPr="00BE2643">
              <w:rPr>
                <w:rFonts w:ascii="Arial" w:hAnsi="Arial"/>
                <w:sz w:val="20"/>
              </w:rPr>
              <w:lastRenderedPageBreak/>
              <w:t>c. Jurisdiktsiooniüleste nõuete näitaja (kirjete 13.a ja 13.b summa)</w:t>
            </w:r>
          </w:p>
        </w:tc>
      </w:tr>
      <w:tr w:rsidRPr="00BE2643" w:rsidR="00A3063F" w:rsidTr="0020784C" w14:paraId="583B08E2" w14:textId="77777777">
        <w:trPr>
          <w:trHeight w:val="300"/>
        </w:trPr>
        <w:tc>
          <w:tcPr>
            <w:tcW w:w="6804" w:type="dxa"/>
            <w:gridSpan w:val="2"/>
            <w:tcBorders>
              <w:left w:val="nil"/>
              <w:bottom w:val="nil"/>
              <w:right w:val="nil"/>
            </w:tcBorders>
            <w:noWrap/>
          </w:tcPr>
          <w:p w:rsidRPr="00BE2643" w:rsidR="00A3063F" w:rsidP="0020784C" w:rsidRDefault="00A3063F" w14:paraId="6AF7AD1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3AB8A266" w14:textId="77777777">
            <w:pPr>
              <w:jc w:val="center"/>
              <w:rPr>
                <w:rFonts w:ascii="Arial" w:hAnsi="Arial" w:eastAsia="Times New Roman" w:cs="Arial"/>
                <w:b/>
                <w:bCs/>
                <w:sz w:val="20"/>
                <w:szCs w:val="20"/>
                <w:lang w:eastAsia="en-GB"/>
              </w:rPr>
            </w:pPr>
          </w:p>
        </w:tc>
      </w:tr>
      <w:tr w:rsidRPr="00BE2643" w:rsidR="00A3063F" w:rsidTr="0020784C" w14:paraId="61583497" w14:textId="77777777">
        <w:trPr>
          <w:trHeight w:val="300"/>
        </w:trPr>
        <w:tc>
          <w:tcPr>
            <w:tcW w:w="6804" w:type="dxa"/>
            <w:gridSpan w:val="2"/>
            <w:tcBorders>
              <w:top w:val="nil"/>
              <w:left w:val="nil"/>
              <w:bottom w:val="single" w:color="auto" w:sz="4" w:space="0"/>
              <w:right w:val="nil"/>
            </w:tcBorders>
            <w:noWrap/>
            <w:hideMark/>
          </w:tcPr>
          <w:p w:rsidRPr="00BE2643" w:rsidR="00A3063F" w:rsidP="0020784C" w:rsidRDefault="00A3063F" w14:paraId="6BD09A2B" w14:textId="77777777">
            <w:pPr>
              <w:rPr>
                <w:rFonts w:ascii="Arial" w:hAnsi="Arial" w:eastAsia="Times New Roman" w:cs="Arial"/>
                <w:b/>
                <w:bCs/>
                <w:sz w:val="20"/>
                <w:szCs w:val="20"/>
              </w:rPr>
            </w:pPr>
            <w:r w:rsidRPr="00BE2643">
              <w:rPr>
                <w:rFonts w:ascii="Arial" w:hAnsi="Arial"/>
                <w:b/>
                <w:sz w:val="20"/>
              </w:rPr>
              <w:t>14. jagu. Jurisdiktsiooniülesed kohustused</w:t>
            </w:r>
          </w:p>
        </w:tc>
        <w:tc>
          <w:tcPr>
            <w:tcW w:w="2745" w:type="dxa"/>
            <w:tcBorders>
              <w:top w:val="nil"/>
              <w:left w:val="nil"/>
              <w:right w:val="nil"/>
            </w:tcBorders>
            <w:hideMark/>
          </w:tcPr>
          <w:p w:rsidRPr="00BE2643" w:rsidR="00A3063F" w:rsidP="0020784C" w:rsidRDefault="00A3063F" w14:paraId="3CB75C2E"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14867BEF" w14:textId="77777777">
        <w:trPr>
          <w:gridAfter w:val="1"/>
          <w:wAfter w:w="2745" w:type="dxa"/>
          <w:trHeight w:val="300"/>
        </w:trPr>
        <w:tc>
          <w:tcPr>
            <w:tcW w:w="6804" w:type="dxa"/>
            <w:gridSpan w:val="2"/>
            <w:tcBorders>
              <w:left w:val="nil"/>
              <w:right w:val="nil"/>
            </w:tcBorders>
            <w:noWrap/>
            <w:hideMark/>
          </w:tcPr>
          <w:p w:rsidRPr="00BE2643" w:rsidR="00A3063F" w:rsidP="0020784C" w:rsidRDefault="00A3063F" w14:paraId="0FE66391" w14:textId="77777777">
            <w:pPr>
              <w:ind w:left="171" w:firstLine="28" w:firstLineChars="14"/>
              <w:rPr>
                <w:rFonts w:ascii="Arial" w:hAnsi="Arial" w:eastAsia="Times New Roman" w:cs="Arial"/>
                <w:sz w:val="20"/>
                <w:szCs w:val="20"/>
              </w:rPr>
            </w:pPr>
            <w:r w:rsidRPr="00BE2643">
              <w:rPr>
                <w:rFonts w:ascii="Arial" w:hAnsi="Arial"/>
                <w:sz w:val="20"/>
              </w:rPr>
              <w:t>a. Välismaised kohustused kohese riski alusel, v.a tuletisinstrumendid ja kohalikud kohustused kohalikus valuutas.</w:t>
            </w:r>
          </w:p>
        </w:tc>
      </w:tr>
      <w:tr w:rsidRPr="00BE2643" w:rsidR="00A3063F" w:rsidTr="0020784C" w14:paraId="5997EB00" w14:textId="77777777">
        <w:trPr>
          <w:trHeight w:val="300"/>
        </w:trPr>
        <w:tc>
          <w:tcPr>
            <w:tcW w:w="6804" w:type="dxa"/>
            <w:gridSpan w:val="2"/>
            <w:tcBorders>
              <w:left w:val="nil"/>
              <w:right w:val="nil"/>
            </w:tcBorders>
            <w:noWrap/>
            <w:hideMark/>
          </w:tcPr>
          <w:p w:rsidRPr="00BE2643" w:rsidR="00A3063F" w:rsidP="0020784C" w:rsidRDefault="00A3063F" w14:paraId="064D3387" w14:textId="77777777">
            <w:pPr>
              <w:ind w:firstLine="200" w:firstLineChars="100"/>
              <w:rPr>
                <w:rFonts w:ascii="Arial" w:hAnsi="Arial" w:eastAsia="Times New Roman" w:cs="Arial"/>
                <w:sz w:val="20"/>
                <w:szCs w:val="20"/>
              </w:rPr>
            </w:pPr>
            <w:r w:rsidRPr="00BE2643">
              <w:rPr>
                <w:rFonts w:ascii="Arial" w:hAnsi="Arial"/>
                <w:sz w:val="20"/>
              </w:rPr>
              <w:t>b. Välismaiste tuletisinstrumentide kohustused kohese riski alusel</w:t>
            </w:r>
          </w:p>
        </w:tc>
        <w:tc>
          <w:tcPr>
            <w:tcW w:w="2745" w:type="dxa"/>
            <w:tcBorders>
              <w:left w:val="nil"/>
              <w:right w:val="nil"/>
            </w:tcBorders>
            <w:noWrap/>
            <w:hideMark/>
          </w:tcPr>
          <w:p w:rsidRPr="00BE2643" w:rsidR="00A3063F" w:rsidP="0020784C" w:rsidRDefault="00A3063F" w14:paraId="5ABE8241"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3101B1AB" w14:textId="77777777">
        <w:trPr>
          <w:gridAfter w:val="1"/>
          <w:wAfter w:w="2745" w:type="dxa"/>
          <w:trHeight w:val="300"/>
        </w:trPr>
        <w:tc>
          <w:tcPr>
            <w:tcW w:w="6804" w:type="dxa"/>
            <w:gridSpan w:val="2"/>
            <w:tcBorders>
              <w:left w:val="nil"/>
              <w:bottom w:val="single" w:color="auto" w:sz="4" w:space="0"/>
              <w:right w:val="nil"/>
            </w:tcBorders>
            <w:hideMark/>
          </w:tcPr>
          <w:p w:rsidRPr="00BE2643" w:rsidR="00A3063F" w:rsidP="0020784C" w:rsidRDefault="00A3063F" w14:paraId="341F54B7" w14:textId="77777777">
            <w:pPr>
              <w:ind w:firstLine="200" w:firstLineChars="100"/>
              <w:rPr>
                <w:rFonts w:ascii="Arial" w:hAnsi="Arial" w:eastAsia="Times New Roman" w:cs="Arial"/>
                <w:sz w:val="20"/>
                <w:szCs w:val="20"/>
              </w:rPr>
            </w:pPr>
            <w:r w:rsidRPr="00BE2643">
              <w:rPr>
                <w:rFonts w:ascii="Arial" w:hAnsi="Arial"/>
                <w:sz w:val="20"/>
              </w:rPr>
              <w:t>c. Jurisdiktsiooniüleste kohustuste näitaja (kirjete 14.a ja 14.b summa)</w:t>
            </w:r>
          </w:p>
        </w:tc>
      </w:tr>
      <w:tr w:rsidRPr="00BE2643" w:rsidR="00A3063F" w:rsidTr="0020784C" w14:paraId="0DC92C7F" w14:textId="77777777">
        <w:trPr>
          <w:trHeight w:val="300"/>
        </w:trPr>
        <w:tc>
          <w:tcPr>
            <w:tcW w:w="6804" w:type="dxa"/>
            <w:gridSpan w:val="2"/>
            <w:tcBorders>
              <w:left w:val="nil"/>
              <w:bottom w:val="nil"/>
              <w:right w:val="nil"/>
            </w:tcBorders>
            <w:noWrap/>
          </w:tcPr>
          <w:p w:rsidRPr="00BE2643" w:rsidR="00A3063F" w:rsidP="0020784C" w:rsidRDefault="00A3063F" w14:paraId="2909C80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774ADB3A" w14:textId="77777777">
            <w:pPr>
              <w:jc w:val="center"/>
              <w:rPr>
                <w:rFonts w:ascii="Arial" w:hAnsi="Arial" w:eastAsia="Times New Roman" w:cs="Arial"/>
                <w:b/>
                <w:bCs/>
                <w:sz w:val="20"/>
                <w:szCs w:val="20"/>
                <w:lang w:eastAsia="en-GB"/>
              </w:rPr>
            </w:pPr>
          </w:p>
        </w:tc>
      </w:tr>
      <w:tr w:rsidRPr="00BE2643" w:rsidR="00A3063F" w:rsidTr="0020784C" w14:paraId="1E97E17B" w14:textId="77777777">
        <w:trPr>
          <w:trHeight w:val="300"/>
        </w:trPr>
        <w:tc>
          <w:tcPr>
            <w:tcW w:w="6804" w:type="dxa"/>
            <w:gridSpan w:val="2"/>
            <w:tcBorders>
              <w:top w:val="nil"/>
              <w:left w:val="nil"/>
              <w:bottom w:val="nil"/>
              <w:right w:val="nil"/>
            </w:tcBorders>
            <w:noWrap/>
          </w:tcPr>
          <w:p w:rsidRPr="00BE2643" w:rsidR="00A3063F" w:rsidP="0020784C" w:rsidRDefault="00A3063F" w14:paraId="79BCB151" w14:textId="77777777">
            <w:pPr>
              <w:keepNext/>
              <w:keepLines/>
              <w:spacing w:before="47"/>
              <w:outlineLvl w:val="5"/>
              <w:rPr>
                <w:rFonts w:ascii="Arial" w:hAnsi="Arial" w:eastAsia="Times New Roman" w:cs="Arial"/>
                <w:b/>
                <w:bCs/>
                <w:i/>
                <w:iCs/>
                <w:caps/>
                <w:color w:val="172B39" w:themeColor="accent1" w:themeShade="80"/>
                <w:sz w:val="20"/>
                <w:szCs w:val="20"/>
              </w:rPr>
            </w:pPr>
            <w:r w:rsidRPr="00BE2643">
              <w:rPr>
                <w:rFonts w:asciiTheme="majorHAnsi" w:hAnsiTheme="majorHAnsi"/>
                <w:b/>
                <w:i/>
                <w:caps/>
              </w:rPr>
              <w:t>LISAANDMED</w:t>
            </w:r>
          </w:p>
        </w:tc>
        <w:tc>
          <w:tcPr>
            <w:tcW w:w="2745" w:type="dxa"/>
            <w:tcBorders>
              <w:top w:val="nil"/>
              <w:left w:val="nil"/>
              <w:bottom w:val="nil"/>
              <w:right w:val="nil"/>
            </w:tcBorders>
          </w:tcPr>
          <w:p w:rsidRPr="00BE2643" w:rsidR="00A3063F" w:rsidP="0020784C" w:rsidRDefault="00A3063F" w14:paraId="56EB5E92" w14:textId="77777777">
            <w:pPr>
              <w:jc w:val="center"/>
              <w:rPr>
                <w:rFonts w:ascii="Arial" w:hAnsi="Arial" w:eastAsia="Times New Roman" w:cs="Arial"/>
                <w:b/>
                <w:bCs/>
                <w:sz w:val="20"/>
                <w:szCs w:val="20"/>
                <w:lang w:eastAsia="en-GB"/>
              </w:rPr>
            </w:pPr>
          </w:p>
        </w:tc>
      </w:tr>
      <w:tr w:rsidRPr="00BE2643" w:rsidR="00A3063F" w:rsidTr="0020784C" w14:paraId="16A9E99F" w14:textId="77777777">
        <w:trPr>
          <w:trHeight w:val="300"/>
        </w:trPr>
        <w:tc>
          <w:tcPr>
            <w:tcW w:w="6804" w:type="dxa"/>
            <w:gridSpan w:val="2"/>
            <w:tcBorders>
              <w:top w:val="nil"/>
              <w:left w:val="nil"/>
              <w:bottom w:val="single" w:color="auto" w:sz="4" w:space="0"/>
              <w:right w:val="nil"/>
            </w:tcBorders>
            <w:noWrap/>
          </w:tcPr>
          <w:p w:rsidRPr="00BE2643" w:rsidR="00A3063F" w:rsidP="0020784C" w:rsidRDefault="00A3063F" w14:paraId="43B1E860"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BE2643" w:rsidR="00A3063F" w:rsidP="0020784C" w:rsidRDefault="00A3063F" w14:paraId="1B2C89A9" w14:textId="77777777">
            <w:pPr>
              <w:jc w:val="center"/>
              <w:rPr>
                <w:rFonts w:ascii="Arial" w:hAnsi="Arial" w:eastAsia="Times New Roman" w:cs="Arial"/>
                <w:b/>
                <w:bCs/>
                <w:sz w:val="20"/>
                <w:szCs w:val="20"/>
                <w:lang w:eastAsia="en-GB"/>
              </w:rPr>
            </w:pPr>
          </w:p>
        </w:tc>
      </w:tr>
      <w:tr w:rsidRPr="00BE2643" w:rsidR="00A3063F" w:rsidTr="0020784C" w14:paraId="08E9CF75"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0F742858" w14:textId="77777777">
            <w:pPr>
              <w:rPr>
                <w:rFonts w:ascii="Arial" w:hAnsi="Arial" w:eastAsia="Times New Roman" w:cs="Arial"/>
                <w:b/>
                <w:bCs/>
                <w:sz w:val="20"/>
                <w:szCs w:val="20"/>
              </w:rPr>
            </w:pPr>
            <w:r w:rsidRPr="00BE2643">
              <w:rPr>
                <w:rFonts w:ascii="Arial" w:hAnsi="Arial"/>
                <w:b/>
                <w:sz w:val="20"/>
              </w:rPr>
              <w:t>15. jagu. Lisanäitajad</w:t>
            </w:r>
          </w:p>
        </w:tc>
        <w:tc>
          <w:tcPr>
            <w:tcW w:w="2745" w:type="dxa"/>
            <w:tcBorders>
              <w:left w:val="nil"/>
              <w:bottom w:val="single" w:color="auto" w:sz="4" w:space="0"/>
              <w:right w:val="nil"/>
            </w:tcBorders>
            <w:hideMark/>
          </w:tcPr>
          <w:p w:rsidRPr="00BE2643" w:rsidR="00A3063F" w:rsidP="0020784C" w:rsidRDefault="00A3063F" w14:paraId="763C788E"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445C883C" w14:textId="77777777">
        <w:trPr>
          <w:trHeight w:val="300"/>
        </w:trPr>
        <w:tc>
          <w:tcPr>
            <w:tcW w:w="6804" w:type="dxa"/>
            <w:gridSpan w:val="2"/>
            <w:tcBorders>
              <w:left w:val="nil"/>
              <w:right w:val="nil"/>
            </w:tcBorders>
            <w:noWrap/>
            <w:hideMark/>
          </w:tcPr>
          <w:p w:rsidRPr="00BE2643" w:rsidR="00A3063F" w:rsidP="0020784C" w:rsidRDefault="00A3063F" w14:paraId="0CC87653" w14:textId="77777777">
            <w:pPr>
              <w:ind w:firstLine="200" w:firstLineChars="100"/>
              <w:rPr>
                <w:rFonts w:ascii="Arial" w:hAnsi="Arial" w:eastAsia="Times New Roman" w:cs="Arial"/>
                <w:sz w:val="20"/>
                <w:szCs w:val="20"/>
              </w:rPr>
            </w:pPr>
            <w:r w:rsidRPr="00BE2643">
              <w:rPr>
                <w:rFonts w:ascii="Arial" w:hAnsi="Arial"/>
                <w:sz w:val="20"/>
              </w:rPr>
              <w:t>a. Kohustused kokku</w:t>
            </w:r>
          </w:p>
        </w:tc>
        <w:tc>
          <w:tcPr>
            <w:tcW w:w="2745" w:type="dxa"/>
            <w:tcBorders>
              <w:left w:val="nil"/>
              <w:right w:val="nil"/>
            </w:tcBorders>
            <w:noWrap/>
            <w:hideMark/>
          </w:tcPr>
          <w:p w:rsidRPr="00BE2643" w:rsidR="00A3063F" w:rsidP="0020784C" w:rsidRDefault="00A3063F" w14:paraId="0170183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46E2706C" w14:textId="77777777">
        <w:trPr>
          <w:trHeight w:val="300"/>
        </w:trPr>
        <w:tc>
          <w:tcPr>
            <w:tcW w:w="6804" w:type="dxa"/>
            <w:gridSpan w:val="2"/>
            <w:tcBorders>
              <w:left w:val="nil"/>
              <w:right w:val="nil"/>
            </w:tcBorders>
            <w:noWrap/>
            <w:hideMark/>
          </w:tcPr>
          <w:p w:rsidRPr="00BE2643" w:rsidR="00A3063F" w:rsidP="0020784C" w:rsidRDefault="00A3063F" w14:paraId="2CE33260" w14:textId="77777777">
            <w:pPr>
              <w:ind w:firstLine="200" w:firstLineChars="100"/>
              <w:rPr>
                <w:rFonts w:ascii="Arial" w:hAnsi="Arial" w:eastAsia="Times New Roman" w:cs="Arial"/>
                <w:sz w:val="20"/>
                <w:szCs w:val="20"/>
              </w:rPr>
            </w:pPr>
            <w:r w:rsidRPr="00BE2643">
              <w:rPr>
                <w:rFonts w:ascii="Arial" w:hAnsi="Arial"/>
                <w:sz w:val="20"/>
              </w:rPr>
              <w:t>b. Jaerahastamine</w:t>
            </w:r>
          </w:p>
        </w:tc>
        <w:tc>
          <w:tcPr>
            <w:tcW w:w="2745" w:type="dxa"/>
            <w:tcBorders>
              <w:left w:val="nil"/>
              <w:right w:val="nil"/>
            </w:tcBorders>
            <w:noWrap/>
            <w:hideMark/>
          </w:tcPr>
          <w:p w:rsidRPr="00BE2643" w:rsidR="00A3063F" w:rsidP="0020784C" w:rsidRDefault="00A3063F" w14:paraId="2310643E"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5BCDE7C" w14:textId="77777777">
        <w:trPr>
          <w:gridAfter w:val="1"/>
          <w:wAfter w:w="2745" w:type="dxa"/>
          <w:trHeight w:val="540"/>
        </w:trPr>
        <w:tc>
          <w:tcPr>
            <w:tcW w:w="6804" w:type="dxa"/>
            <w:gridSpan w:val="2"/>
            <w:tcBorders>
              <w:left w:val="nil"/>
              <w:right w:val="nil"/>
            </w:tcBorders>
            <w:noWrap/>
            <w:hideMark/>
          </w:tcPr>
          <w:p w:rsidRPr="00BE2643" w:rsidR="00A3063F" w:rsidP="0020784C" w:rsidRDefault="00A3063F" w14:paraId="77FFA72A" w14:textId="77777777">
            <w:pPr>
              <w:ind w:left="171"/>
              <w:rPr>
                <w:rFonts w:ascii="Arial" w:hAnsi="Arial" w:eastAsia="Times New Roman" w:cs="Arial"/>
                <w:sz w:val="20"/>
                <w:szCs w:val="20"/>
              </w:rPr>
            </w:pPr>
            <w:r w:rsidRPr="00BE2643">
              <w:rPr>
                <w:rFonts w:ascii="Arial" w:hAnsi="Arial"/>
                <w:sz w:val="20"/>
              </w:rPr>
              <w:t>c. Hulgirahastamisest sõltuvuse suhtarv (kirjete 15.a ja 15.b vahe, jagatud kirjega 15.a)</w:t>
            </w:r>
          </w:p>
        </w:tc>
      </w:tr>
      <w:tr w:rsidRPr="00BE2643" w:rsidR="00A3063F" w:rsidTr="0020784C" w14:paraId="2D8E64E9" w14:textId="77777777">
        <w:trPr>
          <w:trHeight w:val="300"/>
        </w:trPr>
        <w:tc>
          <w:tcPr>
            <w:tcW w:w="6804" w:type="dxa"/>
            <w:gridSpan w:val="2"/>
            <w:tcBorders>
              <w:left w:val="nil"/>
              <w:right w:val="nil"/>
            </w:tcBorders>
            <w:noWrap/>
            <w:hideMark/>
          </w:tcPr>
          <w:p w:rsidRPr="00BE2643" w:rsidR="00A3063F" w:rsidP="0020784C" w:rsidRDefault="00A3063F" w14:paraId="59B007FF" w14:textId="77777777">
            <w:pPr>
              <w:ind w:firstLine="200" w:firstLineChars="100"/>
              <w:rPr>
                <w:rFonts w:ascii="Arial" w:hAnsi="Arial" w:eastAsia="Times New Roman" w:cs="Arial"/>
                <w:sz w:val="20"/>
                <w:szCs w:val="20"/>
              </w:rPr>
            </w:pPr>
            <w:r w:rsidRPr="00BE2643">
              <w:rPr>
                <w:rFonts w:ascii="Arial" w:hAnsi="Arial"/>
                <w:sz w:val="20"/>
              </w:rPr>
              <w:t>d. Brutotulu kokku</w:t>
            </w:r>
          </w:p>
        </w:tc>
        <w:tc>
          <w:tcPr>
            <w:tcW w:w="2745" w:type="dxa"/>
            <w:tcBorders>
              <w:left w:val="nil"/>
              <w:right w:val="nil"/>
            </w:tcBorders>
            <w:noWrap/>
            <w:hideMark/>
          </w:tcPr>
          <w:p w:rsidRPr="00BE2643" w:rsidR="00A3063F" w:rsidP="0020784C" w:rsidRDefault="00A3063F" w14:paraId="512FB061"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54B0B3F" w14:textId="77777777">
        <w:trPr>
          <w:trHeight w:val="300"/>
        </w:trPr>
        <w:tc>
          <w:tcPr>
            <w:tcW w:w="6804" w:type="dxa"/>
            <w:gridSpan w:val="2"/>
            <w:tcBorders>
              <w:left w:val="nil"/>
              <w:right w:val="nil"/>
            </w:tcBorders>
            <w:noWrap/>
            <w:hideMark/>
          </w:tcPr>
          <w:p w:rsidRPr="00BE2643" w:rsidR="00A3063F" w:rsidP="0020784C" w:rsidRDefault="00A3063F" w14:paraId="4AC21928" w14:textId="77777777">
            <w:pPr>
              <w:ind w:firstLine="200" w:firstLineChars="100"/>
              <w:rPr>
                <w:rFonts w:ascii="Arial" w:hAnsi="Arial" w:eastAsia="Times New Roman" w:cs="Arial"/>
                <w:sz w:val="20"/>
                <w:szCs w:val="20"/>
              </w:rPr>
            </w:pPr>
            <w:r w:rsidRPr="00BE2643">
              <w:rPr>
                <w:rFonts w:ascii="Arial" w:hAnsi="Arial"/>
                <w:sz w:val="20"/>
              </w:rPr>
              <w:t>e. Netotulu kokku</w:t>
            </w:r>
          </w:p>
        </w:tc>
        <w:tc>
          <w:tcPr>
            <w:tcW w:w="2745" w:type="dxa"/>
            <w:tcBorders>
              <w:left w:val="nil"/>
              <w:right w:val="nil"/>
            </w:tcBorders>
            <w:noWrap/>
            <w:hideMark/>
          </w:tcPr>
          <w:p w:rsidRPr="00BE2643" w:rsidR="00A3063F" w:rsidP="0020784C" w:rsidRDefault="00A3063F" w14:paraId="134BFD8F"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48E809F6" w14:textId="77777777">
        <w:trPr>
          <w:trHeight w:val="300"/>
        </w:trPr>
        <w:tc>
          <w:tcPr>
            <w:tcW w:w="6804" w:type="dxa"/>
            <w:gridSpan w:val="2"/>
            <w:tcBorders>
              <w:left w:val="nil"/>
              <w:right w:val="nil"/>
            </w:tcBorders>
            <w:noWrap/>
            <w:hideMark/>
          </w:tcPr>
          <w:p w:rsidRPr="00BE2643" w:rsidR="00A3063F" w:rsidP="0020784C" w:rsidRDefault="00A3063F" w14:paraId="0AFB67DA" w14:textId="77777777">
            <w:pPr>
              <w:ind w:firstLine="200" w:firstLineChars="100"/>
              <w:rPr>
                <w:rFonts w:ascii="Arial" w:hAnsi="Arial" w:eastAsia="Times New Roman" w:cs="Arial"/>
                <w:sz w:val="20"/>
                <w:szCs w:val="20"/>
              </w:rPr>
            </w:pPr>
            <w:r w:rsidRPr="00BE2643">
              <w:rPr>
                <w:rFonts w:ascii="Arial" w:hAnsi="Arial"/>
                <w:sz w:val="20"/>
              </w:rPr>
              <w:t>f. Välisnetotulu</w:t>
            </w:r>
          </w:p>
        </w:tc>
        <w:tc>
          <w:tcPr>
            <w:tcW w:w="2745" w:type="dxa"/>
            <w:tcBorders>
              <w:left w:val="nil"/>
              <w:right w:val="nil"/>
            </w:tcBorders>
            <w:noWrap/>
            <w:hideMark/>
          </w:tcPr>
          <w:p w:rsidRPr="00BE2643" w:rsidR="00A3063F" w:rsidP="0020784C" w:rsidRDefault="00A3063F" w14:paraId="69CBC24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1924DE98" w14:textId="77777777">
        <w:trPr>
          <w:trHeight w:val="300"/>
        </w:trPr>
        <w:tc>
          <w:tcPr>
            <w:tcW w:w="6804" w:type="dxa"/>
            <w:gridSpan w:val="2"/>
            <w:tcBorders>
              <w:left w:val="nil"/>
              <w:right w:val="nil"/>
            </w:tcBorders>
            <w:noWrap/>
          </w:tcPr>
          <w:p w:rsidRPr="00BE2643" w:rsidR="00A3063F" w:rsidP="0020784C" w:rsidRDefault="00A3063F" w14:paraId="08D2EDC0" w14:textId="77777777">
            <w:pPr>
              <w:ind w:left="171"/>
              <w:rPr>
                <w:rFonts w:ascii="Arial" w:hAnsi="Arial" w:eastAsia="Times New Roman" w:cs="Arial"/>
                <w:sz w:val="20"/>
                <w:szCs w:val="20"/>
              </w:rPr>
            </w:pPr>
            <w:r w:rsidRPr="00BE2643">
              <w:rPr>
                <w:rFonts w:ascii="Arial" w:hAnsi="Arial"/>
                <w:sz w:val="20"/>
              </w:rPr>
              <w:t>g. Laenuks antud rahaliste vahendite brutoväärtus ja väärtpaberite kaudu finantseerimise tehingute raames laenuks antud väärtpaberite õiglane brutoväärtus</w:t>
            </w:r>
          </w:p>
        </w:tc>
        <w:tc>
          <w:tcPr>
            <w:tcW w:w="2745" w:type="dxa"/>
            <w:tcBorders>
              <w:left w:val="nil"/>
              <w:right w:val="nil"/>
            </w:tcBorders>
            <w:noWrap/>
          </w:tcPr>
          <w:p w:rsidRPr="00BE2643" w:rsidR="00A3063F" w:rsidP="0020784C" w:rsidRDefault="00A3063F" w14:paraId="1EF787E3" w14:textId="77777777">
            <w:pPr>
              <w:jc w:val="right"/>
              <w:rPr>
                <w:rFonts w:ascii="Arial" w:hAnsi="Arial" w:eastAsia="Times New Roman" w:cs="Arial"/>
                <w:sz w:val="20"/>
                <w:szCs w:val="20"/>
                <w:lang w:eastAsia="en-GB"/>
              </w:rPr>
            </w:pPr>
          </w:p>
        </w:tc>
      </w:tr>
      <w:tr w:rsidRPr="00BE2643" w:rsidR="00A3063F" w:rsidTr="0020784C" w14:paraId="45D3ED21" w14:textId="77777777">
        <w:trPr>
          <w:trHeight w:val="300"/>
        </w:trPr>
        <w:tc>
          <w:tcPr>
            <w:tcW w:w="6804" w:type="dxa"/>
            <w:gridSpan w:val="2"/>
            <w:tcBorders>
              <w:left w:val="nil"/>
              <w:right w:val="nil"/>
            </w:tcBorders>
            <w:noWrap/>
          </w:tcPr>
          <w:p w:rsidRPr="00BE2643" w:rsidR="00A3063F" w:rsidP="0020784C" w:rsidRDefault="00A3063F" w14:paraId="367C1981" w14:textId="77777777">
            <w:pPr>
              <w:ind w:left="171"/>
              <w:rPr>
                <w:rFonts w:ascii="Arial" w:hAnsi="Arial" w:eastAsia="Times New Roman" w:cs="Arial"/>
                <w:sz w:val="20"/>
                <w:szCs w:val="20"/>
              </w:rPr>
            </w:pPr>
            <w:r w:rsidRPr="00BE2643">
              <w:rPr>
                <w:rFonts w:ascii="Arial" w:hAnsi="Arial"/>
                <w:sz w:val="20"/>
              </w:rPr>
              <w:t>h. Laenuks võetud rahaliste vahendite brutoväärtus ja väärtpaberite kaudu finantseerimise tehingute raames laenuks võetud väärtpaberite õiglane brutoväärtus</w:t>
            </w:r>
          </w:p>
        </w:tc>
        <w:tc>
          <w:tcPr>
            <w:tcW w:w="2745" w:type="dxa"/>
            <w:tcBorders>
              <w:left w:val="nil"/>
              <w:right w:val="nil"/>
            </w:tcBorders>
            <w:noWrap/>
          </w:tcPr>
          <w:p w:rsidRPr="00BE2643" w:rsidR="00A3063F" w:rsidP="0020784C" w:rsidRDefault="00A3063F" w14:paraId="51EB2AC0" w14:textId="77777777">
            <w:pPr>
              <w:jc w:val="right"/>
              <w:rPr>
                <w:rFonts w:ascii="Arial" w:hAnsi="Arial" w:eastAsia="Times New Roman" w:cs="Arial"/>
                <w:sz w:val="20"/>
                <w:szCs w:val="20"/>
                <w:lang w:eastAsia="en-GB"/>
              </w:rPr>
            </w:pPr>
          </w:p>
        </w:tc>
      </w:tr>
      <w:tr w:rsidRPr="00BE2643" w:rsidR="00A3063F" w:rsidTr="0020784C" w14:paraId="3AEBDADA" w14:textId="77777777">
        <w:trPr>
          <w:trHeight w:val="300"/>
        </w:trPr>
        <w:tc>
          <w:tcPr>
            <w:tcW w:w="6804" w:type="dxa"/>
            <w:gridSpan w:val="2"/>
            <w:tcBorders>
              <w:left w:val="nil"/>
              <w:right w:val="nil"/>
            </w:tcBorders>
            <w:noWrap/>
          </w:tcPr>
          <w:p w:rsidRPr="00BE2643" w:rsidR="00A3063F" w:rsidP="0020784C" w:rsidRDefault="00A3063F" w14:paraId="6E3CDB9C" w14:textId="77777777">
            <w:pPr>
              <w:ind w:left="171"/>
              <w:rPr>
                <w:rFonts w:ascii="Arial" w:hAnsi="Arial" w:eastAsia="Times New Roman" w:cs="Arial"/>
                <w:sz w:val="20"/>
                <w:szCs w:val="20"/>
              </w:rPr>
            </w:pPr>
            <w:r w:rsidRPr="00BE2643">
              <w:rPr>
                <w:rFonts w:ascii="Arial" w:hAnsi="Arial"/>
                <w:sz w:val="20"/>
              </w:rPr>
              <w:t>i. Börsiväliste tuletisinstrumentide tehingute positiivne õiglane brutoväärtus</w:t>
            </w:r>
          </w:p>
        </w:tc>
        <w:tc>
          <w:tcPr>
            <w:tcW w:w="2745" w:type="dxa"/>
            <w:tcBorders>
              <w:left w:val="nil"/>
              <w:right w:val="nil"/>
            </w:tcBorders>
            <w:noWrap/>
          </w:tcPr>
          <w:p w:rsidRPr="00BE2643" w:rsidR="00A3063F" w:rsidP="0020784C" w:rsidRDefault="00A3063F" w14:paraId="2FC1DA99" w14:textId="77777777">
            <w:pPr>
              <w:jc w:val="right"/>
              <w:rPr>
                <w:rFonts w:ascii="Arial" w:hAnsi="Arial" w:eastAsia="Times New Roman" w:cs="Arial"/>
                <w:sz w:val="20"/>
                <w:szCs w:val="20"/>
                <w:lang w:eastAsia="en-GB"/>
              </w:rPr>
            </w:pPr>
          </w:p>
        </w:tc>
      </w:tr>
      <w:tr w:rsidRPr="00BE2643" w:rsidR="00A3063F" w:rsidTr="0020784C" w14:paraId="3A09A7FB"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537AAAD" w14:textId="77777777">
            <w:pPr>
              <w:ind w:left="171"/>
              <w:rPr>
                <w:rFonts w:ascii="Arial" w:hAnsi="Arial" w:eastAsia="Times New Roman" w:cs="Arial"/>
                <w:sz w:val="20"/>
                <w:szCs w:val="20"/>
              </w:rPr>
            </w:pPr>
            <w:r w:rsidRPr="00BE2643">
              <w:rPr>
                <w:rFonts w:ascii="Arial" w:hAnsi="Arial"/>
                <w:sz w:val="20"/>
              </w:rPr>
              <w:t>j. Börsiväliste tuletisinstrumentide tehingute negatiivne õiglane väärtus (bruto)</w:t>
            </w:r>
          </w:p>
        </w:tc>
        <w:tc>
          <w:tcPr>
            <w:tcW w:w="2745" w:type="dxa"/>
            <w:tcBorders>
              <w:left w:val="nil"/>
              <w:bottom w:val="single" w:color="auto" w:sz="4" w:space="0"/>
              <w:right w:val="nil"/>
            </w:tcBorders>
            <w:noWrap/>
          </w:tcPr>
          <w:p w:rsidRPr="00BE2643" w:rsidR="00A3063F" w:rsidP="0020784C" w:rsidRDefault="00A3063F" w14:paraId="439B5B48" w14:textId="77777777">
            <w:pPr>
              <w:jc w:val="right"/>
              <w:rPr>
                <w:rFonts w:ascii="Arial" w:hAnsi="Arial" w:eastAsia="Times New Roman" w:cs="Arial"/>
                <w:sz w:val="20"/>
                <w:szCs w:val="20"/>
                <w:lang w:eastAsia="en-GB"/>
              </w:rPr>
            </w:pPr>
          </w:p>
        </w:tc>
      </w:tr>
      <w:tr w:rsidRPr="00BE2643" w:rsidR="00A3063F" w:rsidTr="0020784C" w14:paraId="238FE4C7"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1F7E2552" w14:textId="77777777">
            <w:pPr>
              <w:rPr>
                <w:rFonts w:ascii="Arial" w:hAnsi="Arial" w:eastAsia="Times New Roman" w:cs="Arial"/>
                <w:sz w:val="20"/>
                <w:szCs w:val="20"/>
              </w:rPr>
            </w:pPr>
            <w:r w:rsidRPr="00BE2643">
              <w:rPr>
                <w:rFonts w:ascii="Arial" w:hAnsi="Arial"/>
                <w:sz w:val="20"/>
              </w:rPr>
              <w:t> </w:t>
            </w:r>
          </w:p>
        </w:tc>
        <w:tc>
          <w:tcPr>
            <w:tcW w:w="2745" w:type="dxa"/>
            <w:tcBorders>
              <w:left w:val="nil"/>
              <w:bottom w:val="single" w:color="auto" w:sz="4" w:space="0"/>
              <w:right w:val="nil"/>
            </w:tcBorders>
            <w:hideMark/>
          </w:tcPr>
          <w:p w:rsidRPr="00BE2643" w:rsidR="00A3063F" w:rsidP="0020784C" w:rsidRDefault="00A3063F" w14:paraId="456A8C29" w14:textId="77777777">
            <w:pPr>
              <w:jc w:val="center"/>
              <w:rPr>
                <w:rFonts w:ascii="Arial" w:hAnsi="Arial" w:eastAsia="Times New Roman" w:cs="Arial"/>
                <w:b/>
                <w:bCs/>
                <w:sz w:val="20"/>
                <w:szCs w:val="20"/>
              </w:rPr>
            </w:pPr>
            <w:r w:rsidRPr="00BE2643">
              <w:rPr>
                <w:rFonts w:ascii="Arial" w:hAnsi="Arial"/>
                <w:b/>
                <w:sz w:val="20"/>
              </w:rPr>
              <w:t>Ühikute arv</w:t>
            </w:r>
          </w:p>
        </w:tc>
      </w:tr>
      <w:tr w:rsidRPr="00BE2643" w:rsidR="00A3063F" w:rsidTr="0020784C" w14:paraId="3DC55C71"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62485EA3" w14:textId="77777777">
            <w:pPr>
              <w:ind w:firstLine="200" w:firstLineChars="100"/>
              <w:rPr>
                <w:rFonts w:ascii="Arial" w:hAnsi="Arial" w:eastAsia="Times New Roman" w:cs="Arial"/>
                <w:sz w:val="20"/>
                <w:szCs w:val="20"/>
              </w:rPr>
            </w:pPr>
            <w:r w:rsidRPr="00BE2643">
              <w:rPr>
                <w:rFonts w:ascii="Arial" w:hAnsi="Arial"/>
                <w:sz w:val="20"/>
              </w:rPr>
              <w:t xml:space="preserve">k. Jurisdiktsioonide arv </w:t>
            </w:r>
          </w:p>
        </w:tc>
        <w:tc>
          <w:tcPr>
            <w:tcW w:w="2745" w:type="dxa"/>
            <w:tcBorders>
              <w:left w:val="nil"/>
              <w:bottom w:val="single" w:color="auto" w:sz="4" w:space="0"/>
              <w:right w:val="nil"/>
            </w:tcBorders>
            <w:noWrap/>
            <w:hideMark/>
          </w:tcPr>
          <w:p w:rsidRPr="00BE2643" w:rsidR="00A3063F" w:rsidP="0020784C" w:rsidRDefault="00A3063F" w14:paraId="0D6383D6"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720B94D" w14:textId="77777777">
        <w:trPr>
          <w:trHeight w:val="300"/>
        </w:trPr>
        <w:tc>
          <w:tcPr>
            <w:tcW w:w="6804" w:type="dxa"/>
            <w:gridSpan w:val="2"/>
            <w:tcBorders>
              <w:left w:val="nil"/>
              <w:bottom w:val="nil"/>
              <w:right w:val="nil"/>
            </w:tcBorders>
            <w:noWrap/>
          </w:tcPr>
          <w:p w:rsidRPr="00BE2643" w:rsidR="00A3063F" w:rsidP="0020784C" w:rsidRDefault="00A3063F" w14:paraId="577841A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3B7A8A84" w14:textId="77777777">
            <w:pPr>
              <w:jc w:val="center"/>
              <w:rPr>
                <w:rFonts w:ascii="Arial" w:hAnsi="Arial" w:eastAsia="Times New Roman" w:cs="Arial"/>
                <w:b/>
                <w:bCs/>
                <w:sz w:val="20"/>
                <w:szCs w:val="20"/>
                <w:lang w:eastAsia="en-GB"/>
              </w:rPr>
            </w:pPr>
          </w:p>
        </w:tc>
      </w:tr>
      <w:tr w:rsidRPr="00BE2643" w:rsidR="00A3063F" w:rsidTr="0020784C" w14:paraId="095CCA42" w14:textId="77777777">
        <w:trPr>
          <w:trHeight w:val="300"/>
        </w:trPr>
        <w:tc>
          <w:tcPr>
            <w:tcW w:w="6804" w:type="dxa"/>
            <w:gridSpan w:val="2"/>
            <w:tcBorders>
              <w:top w:val="nil"/>
              <w:left w:val="nil"/>
              <w:bottom w:val="single" w:color="auto" w:sz="4" w:space="0"/>
              <w:right w:val="nil"/>
            </w:tcBorders>
            <w:noWrap/>
            <w:hideMark/>
          </w:tcPr>
          <w:p w:rsidRPr="00BE2643" w:rsidR="00A3063F" w:rsidP="0020784C" w:rsidRDefault="00A3063F" w14:paraId="6D71A685" w14:textId="77777777">
            <w:pPr>
              <w:rPr>
                <w:rFonts w:ascii="Arial" w:hAnsi="Arial" w:eastAsia="Times New Roman" w:cs="Arial"/>
                <w:b/>
                <w:bCs/>
                <w:sz w:val="20"/>
                <w:szCs w:val="20"/>
              </w:rPr>
            </w:pPr>
            <w:r w:rsidRPr="00BE2643">
              <w:rPr>
                <w:rFonts w:ascii="Arial" w:hAnsi="Arial"/>
                <w:b/>
                <w:sz w:val="20"/>
              </w:rPr>
              <w:t>16. jagu. Lisakirjed</w:t>
            </w:r>
          </w:p>
        </w:tc>
        <w:tc>
          <w:tcPr>
            <w:tcW w:w="2745" w:type="dxa"/>
            <w:tcBorders>
              <w:top w:val="nil"/>
              <w:left w:val="nil"/>
              <w:bottom w:val="single" w:color="auto" w:sz="4" w:space="0"/>
              <w:right w:val="nil"/>
            </w:tcBorders>
            <w:hideMark/>
          </w:tcPr>
          <w:p w:rsidRPr="00BE2643" w:rsidR="00A3063F" w:rsidP="0020784C" w:rsidRDefault="00A3063F" w14:paraId="3C0E3D91"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0D8551A7" w14:textId="77777777">
        <w:trPr>
          <w:trHeight w:val="300"/>
        </w:trPr>
        <w:tc>
          <w:tcPr>
            <w:tcW w:w="6804" w:type="dxa"/>
            <w:gridSpan w:val="2"/>
            <w:tcBorders>
              <w:left w:val="nil"/>
              <w:right w:val="nil"/>
            </w:tcBorders>
            <w:noWrap/>
            <w:hideMark/>
          </w:tcPr>
          <w:p w:rsidRPr="00BE2643" w:rsidR="00A3063F" w:rsidP="0020784C" w:rsidRDefault="00A3063F" w14:paraId="47C7ECA4" w14:textId="77777777">
            <w:pPr>
              <w:ind w:firstLine="200" w:firstLineChars="100"/>
              <w:rPr>
                <w:rFonts w:ascii="Arial" w:hAnsi="Arial" w:eastAsia="Times New Roman" w:cs="Arial"/>
                <w:sz w:val="20"/>
                <w:szCs w:val="20"/>
              </w:rPr>
            </w:pPr>
            <w:r w:rsidRPr="00BE2643">
              <w:rPr>
                <w:rFonts w:ascii="Arial" w:hAnsi="Arial"/>
                <w:sz w:val="20"/>
              </w:rPr>
              <w:t>a. Tähtajani hoitavad väärtpaberid</w:t>
            </w:r>
          </w:p>
        </w:tc>
        <w:tc>
          <w:tcPr>
            <w:tcW w:w="2745" w:type="dxa"/>
            <w:tcBorders>
              <w:left w:val="nil"/>
              <w:right w:val="nil"/>
            </w:tcBorders>
            <w:noWrap/>
            <w:hideMark/>
          </w:tcPr>
          <w:p w:rsidRPr="00BE2643" w:rsidR="00A3063F" w:rsidP="0020784C" w:rsidRDefault="00A3063F" w14:paraId="5BCE1EED"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1386465" w14:textId="77777777">
        <w:trPr>
          <w:trHeight w:val="300"/>
        </w:trPr>
        <w:tc>
          <w:tcPr>
            <w:tcW w:w="6804" w:type="dxa"/>
            <w:gridSpan w:val="2"/>
            <w:tcBorders>
              <w:left w:val="nil"/>
              <w:right w:val="nil"/>
            </w:tcBorders>
            <w:noWrap/>
            <w:hideMark/>
          </w:tcPr>
          <w:p w:rsidRPr="00BE2643" w:rsidR="00A3063F" w:rsidP="0020784C" w:rsidRDefault="00A3063F" w14:paraId="4E9A2831" w14:textId="77777777">
            <w:pPr>
              <w:ind w:firstLine="200" w:firstLineChars="100"/>
              <w:rPr>
                <w:rFonts w:ascii="Arial" w:hAnsi="Arial" w:eastAsia="Times New Roman" w:cs="Arial"/>
                <w:sz w:val="20"/>
                <w:szCs w:val="20"/>
              </w:rPr>
            </w:pPr>
            <w:r w:rsidRPr="00BE2643">
              <w:rPr>
                <w:rFonts w:ascii="Arial" w:hAnsi="Arial"/>
                <w:sz w:val="20"/>
              </w:rPr>
              <w:t>b. Aruandeaastal tehtud maksed</w:t>
            </w:r>
          </w:p>
        </w:tc>
        <w:tc>
          <w:tcPr>
            <w:tcW w:w="2745" w:type="dxa"/>
            <w:tcBorders>
              <w:left w:val="nil"/>
              <w:right w:val="nil"/>
            </w:tcBorders>
            <w:noWrap/>
            <w:hideMark/>
          </w:tcPr>
          <w:p w:rsidRPr="00BE2643" w:rsidR="00A3063F" w:rsidP="0020784C" w:rsidRDefault="00A3063F" w14:paraId="0B04C64E" w14:textId="77777777">
            <w:pPr>
              <w:ind w:firstLine="200" w:firstLineChars="100"/>
              <w:rPr>
                <w:rFonts w:ascii="Arial" w:hAnsi="Arial" w:eastAsia="Times New Roman" w:cs="Arial"/>
                <w:sz w:val="20"/>
                <w:szCs w:val="20"/>
              </w:rPr>
            </w:pPr>
            <w:r w:rsidRPr="00BE2643">
              <w:rPr>
                <w:rFonts w:ascii="Arial" w:hAnsi="Arial"/>
                <w:sz w:val="20"/>
              </w:rPr>
              <w:t> </w:t>
            </w:r>
          </w:p>
        </w:tc>
      </w:tr>
      <w:tr w:rsidRPr="00BE2643" w:rsidR="00A3063F" w:rsidTr="0020784C" w14:paraId="4C8F0706" w14:textId="77777777">
        <w:trPr>
          <w:trHeight w:val="300"/>
        </w:trPr>
        <w:tc>
          <w:tcPr>
            <w:tcW w:w="6804" w:type="dxa"/>
            <w:gridSpan w:val="2"/>
            <w:tcBorders>
              <w:left w:val="nil"/>
              <w:right w:val="nil"/>
            </w:tcBorders>
            <w:noWrap/>
            <w:hideMark/>
          </w:tcPr>
          <w:p w:rsidRPr="00BE2643" w:rsidR="00A3063F" w:rsidP="0020784C" w:rsidRDefault="00A3063F" w14:paraId="7B704A29" w14:textId="77777777">
            <w:pPr>
              <w:ind w:firstLine="400" w:firstLineChars="200"/>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Brasiilia real (BRL)</w:t>
            </w:r>
          </w:p>
        </w:tc>
        <w:tc>
          <w:tcPr>
            <w:tcW w:w="2745" w:type="dxa"/>
            <w:tcBorders>
              <w:left w:val="nil"/>
              <w:right w:val="nil"/>
            </w:tcBorders>
            <w:noWrap/>
            <w:hideMark/>
          </w:tcPr>
          <w:p w:rsidRPr="00BE2643" w:rsidR="00A3063F" w:rsidP="0020784C" w:rsidRDefault="00A3063F" w14:paraId="1DD9EE13"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D427C11" w14:textId="77777777">
        <w:trPr>
          <w:trHeight w:val="300"/>
        </w:trPr>
        <w:tc>
          <w:tcPr>
            <w:tcW w:w="6804" w:type="dxa"/>
            <w:gridSpan w:val="2"/>
            <w:tcBorders>
              <w:left w:val="nil"/>
              <w:right w:val="nil"/>
            </w:tcBorders>
            <w:noWrap/>
            <w:hideMark/>
          </w:tcPr>
          <w:p w:rsidRPr="00BE2643" w:rsidR="00A3063F" w:rsidP="0020784C" w:rsidRDefault="00A3063F" w14:paraId="260D4CE5" w14:textId="77777777">
            <w:pPr>
              <w:ind w:firstLine="400" w:firstLineChars="200"/>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Mehhiko peeso (MXN)</w:t>
            </w:r>
          </w:p>
        </w:tc>
        <w:tc>
          <w:tcPr>
            <w:tcW w:w="2745" w:type="dxa"/>
            <w:tcBorders>
              <w:left w:val="nil"/>
              <w:right w:val="nil"/>
            </w:tcBorders>
            <w:noWrap/>
            <w:hideMark/>
          </w:tcPr>
          <w:p w:rsidRPr="00BE2643" w:rsidR="00A3063F" w:rsidP="0020784C" w:rsidRDefault="00A3063F" w14:paraId="674BAD41"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F249D4C" w14:textId="77777777">
        <w:trPr>
          <w:trHeight w:val="300"/>
        </w:trPr>
        <w:tc>
          <w:tcPr>
            <w:tcW w:w="6804" w:type="dxa"/>
            <w:gridSpan w:val="2"/>
            <w:tcBorders>
              <w:left w:val="nil"/>
              <w:right w:val="nil"/>
            </w:tcBorders>
            <w:noWrap/>
            <w:hideMark/>
          </w:tcPr>
          <w:p w:rsidRPr="00BE2643" w:rsidR="00A3063F" w:rsidP="0020784C" w:rsidRDefault="00A3063F" w14:paraId="5A9E6FC4" w14:textId="77777777">
            <w:pPr>
              <w:ind w:firstLine="400" w:firstLineChars="200"/>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Norra kroon (NOK)</w:t>
            </w:r>
          </w:p>
        </w:tc>
        <w:tc>
          <w:tcPr>
            <w:tcW w:w="2745" w:type="dxa"/>
            <w:tcBorders>
              <w:left w:val="nil"/>
              <w:right w:val="nil"/>
            </w:tcBorders>
            <w:noWrap/>
            <w:hideMark/>
          </w:tcPr>
          <w:p w:rsidRPr="00BE2643" w:rsidR="00A3063F" w:rsidP="0020784C" w:rsidRDefault="00A3063F" w14:paraId="0B329902"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4829B84" w14:textId="77777777">
        <w:trPr>
          <w:trHeight w:val="300"/>
        </w:trPr>
        <w:tc>
          <w:tcPr>
            <w:tcW w:w="6804" w:type="dxa"/>
            <w:gridSpan w:val="2"/>
            <w:tcBorders>
              <w:left w:val="nil"/>
              <w:right w:val="nil"/>
            </w:tcBorders>
            <w:noWrap/>
            <w:hideMark/>
          </w:tcPr>
          <w:p w:rsidRPr="00BE2643" w:rsidR="00A3063F" w:rsidP="0020784C" w:rsidRDefault="00A3063F" w14:paraId="2AB32F99" w14:textId="77777777">
            <w:pPr>
              <w:ind w:firstLine="400" w:firstLineChars="200"/>
              <w:rPr>
                <w:rFonts w:ascii="Arial" w:hAnsi="Arial" w:eastAsia="Times New Roman" w:cs="Arial"/>
                <w:sz w:val="20"/>
                <w:szCs w:val="20"/>
              </w:rPr>
            </w:pPr>
            <w:r w:rsidRPr="00BE2643">
              <w:rPr>
                <w:rFonts w:ascii="Arial" w:hAnsi="Arial"/>
                <w:sz w:val="20"/>
                <w:lang w:eastAsia="en-GB"/>
              </w:rPr>
              <w:t xml:space="preserve">(4) </w:t>
            </w:r>
            <w:r w:rsidRPr="00BE2643">
              <w:rPr>
                <w:rFonts w:ascii="Arial" w:hAnsi="Arial"/>
                <w:sz w:val="20"/>
              </w:rPr>
              <w:t>Vene rubla (RUB)</w:t>
            </w:r>
          </w:p>
        </w:tc>
        <w:tc>
          <w:tcPr>
            <w:tcW w:w="2745" w:type="dxa"/>
            <w:tcBorders>
              <w:left w:val="nil"/>
              <w:right w:val="nil"/>
            </w:tcBorders>
            <w:noWrap/>
            <w:hideMark/>
          </w:tcPr>
          <w:p w:rsidRPr="00BE2643" w:rsidR="00A3063F" w:rsidP="0020784C" w:rsidRDefault="00A3063F" w14:paraId="3735C2E5"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064EB01" w14:textId="77777777">
        <w:trPr>
          <w:trHeight w:val="300"/>
        </w:trPr>
        <w:tc>
          <w:tcPr>
            <w:tcW w:w="6804" w:type="dxa"/>
            <w:gridSpan w:val="2"/>
            <w:tcBorders>
              <w:left w:val="nil"/>
              <w:right w:val="nil"/>
            </w:tcBorders>
            <w:noWrap/>
            <w:hideMark/>
          </w:tcPr>
          <w:p w:rsidRPr="00BE2643" w:rsidR="00A3063F" w:rsidP="0020784C" w:rsidRDefault="00A3063F" w14:paraId="4194E601" w14:textId="77777777">
            <w:pPr>
              <w:ind w:firstLine="400" w:firstLineChars="200"/>
              <w:rPr>
                <w:rFonts w:ascii="Arial" w:hAnsi="Arial" w:eastAsia="Times New Roman" w:cs="Arial"/>
                <w:sz w:val="20"/>
                <w:szCs w:val="20"/>
              </w:rPr>
            </w:pPr>
            <w:r w:rsidRPr="00BE2643">
              <w:rPr>
                <w:rFonts w:ascii="Arial" w:hAnsi="Arial"/>
                <w:sz w:val="20"/>
                <w:lang w:eastAsia="en-GB"/>
              </w:rPr>
              <w:t xml:space="preserve">(5) </w:t>
            </w:r>
            <w:r w:rsidRPr="00BE2643">
              <w:rPr>
                <w:rFonts w:ascii="Arial" w:hAnsi="Arial"/>
                <w:sz w:val="20"/>
              </w:rPr>
              <w:t>Singapuri dollar (SGD)</w:t>
            </w:r>
          </w:p>
        </w:tc>
        <w:tc>
          <w:tcPr>
            <w:tcW w:w="2745" w:type="dxa"/>
            <w:tcBorders>
              <w:left w:val="nil"/>
              <w:right w:val="nil"/>
            </w:tcBorders>
            <w:noWrap/>
            <w:hideMark/>
          </w:tcPr>
          <w:p w:rsidRPr="00BE2643" w:rsidR="00A3063F" w:rsidP="0020784C" w:rsidRDefault="00A3063F" w14:paraId="0848800B"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0885268"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1A986A5F" w14:textId="77777777">
            <w:pPr>
              <w:ind w:firstLine="400" w:firstLineChars="200"/>
              <w:rPr>
                <w:rFonts w:ascii="Arial" w:hAnsi="Arial" w:eastAsia="Times New Roman" w:cs="Arial"/>
                <w:sz w:val="20"/>
                <w:szCs w:val="20"/>
              </w:rPr>
            </w:pPr>
            <w:r w:rsidRPr="00BE2643">
              <w:rPr>
                <w:rFonts w:ascii="Arial" w:hAnsi="Arial"/>
                <w:sz w:val="20"/>
                <w:lang w:eastAsia="en-GB"/>
              </w:rPr>
              <w:t xml:space="preserve">(6) </w:t>
            </w:r>
            <w:r w:rsidRPr="00BE2643">
              <w:rPr>
                <w:rFonts w:ascii="Arial" w:hAnsi="Arial"/>
                <w:sz w:val="20"/>
              </w:rPr>
              <w:t>Lõuna-Korea vonn (KRW)</w:t>
            </w:r>
          </w:p>
        </w:tc>
        <w:tc>
          <w:tcPr>
            <w:tcW w:w="2745" w:type="dxa"/>
            <w:tcBorders>
              <w:left w:val="nil"/>
              <w:bottom w:val="single" w:color="auto" w:sz="4" w:space="0"/>
              <w:right w:val="nil"/>
            </w:tcBorders>
            <w:noWrap/>
            <w:hideMark/>
          </w:tcPr>
          <w:p w:rsidRPr="00BE2643" w:rsidR="00A3063F" w:rsidP="0020784C" w:rsidRDefault="00A3063F" w14:paraId="64356C4B"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F361913" w14:textId="77777777">
        <w:trPr>
          <w:trHeight w:val="403"/>
        </w:trPr>
        <w:tc>
          <w:tcPr>
            <w:tcW w:w="6804" w:type="dxa"/>
            <w:gridSpan w:val="2"/>
            <w:tcBorders>
              <w:left w:val="nil"/>
              <w:bottom w:val="nil"/>
              <w:right w:val="nil"/>
            </w:tcBorders>
            <w:noWrap/>
            <w:hideMark/>
          </w:tcPr>
          <w:p w:rsidRPr="00BE2643" w:rsidR="00A3063F" w:rsidP="0020784C" w:rsidRDefault="00A3063F" w14:paraId="38CE65D4" w14:textId="77777777">
            <w:pPr>
              <w:rPr>
                <w:rFonts w:ascii="Arial" w:hAnsi="Arial" w:eastAsia="Times New Roman" w:cs="Arial"/>
                <w:sz w:val="20"/>
                <w:szCs w:val="20"/>
              </w:rPr>
            </w:pPr>
            <w:r w:rsidRPr="00BE2643">
              <w:rPr>
                <w:rFonts w:ascii="Arial" w:hAnsi="Arial"/>
                <w:sz w:val="20"/>
              </w:rPr>
              <w:t> </w:t>
            </w:r>
          </w:p>
        </w:tc>
        <w:tc>
          <w:tcPr>
            <w:tcW w:w="2745" w:type="dxa"/>
            <w:tcBorders>
              <w:left w:val="nil"/>
              <w:bottom w:val="nil"/>
              <w:right w:val="nil"/>
            </w:tcBorders>
            <w:noWrap/>
            <w:hideMark/>
          </w:tcPr>
          <w:p w:rsidRPr="00BE2643" w:rsidR="00A3063F" w:rsidP="0020784C" w:rsidRDefault="00A3063F" w14:paraId="61254E34" w14:textId="77777777">
            <w:pPr>
              <w:rPr>
                <w:rFonts w:ascii="Arial" w:hAnsi="Arial" w:eastAsia="Times New Roman" w:cs="Arial"/>
                <w:sz w:val="20"/>
                <w:szCs w:val="20"/>
              </w:rPr>
            </w:pPr>
            <w:r w:rsidRPr="00BE2643">
              <w:rPr>
                <w:rFonts w:ascii="Arial" w:hAnsi="Arial"/>
                <w:sz w:val="20"/>
              </w:rPr>
              <w:t> </w:t>
            </w:r>
          </w:p>
        </w:tc>
      </w:tr>
      <w:tr w:rsidRPr="00BE2643" w:rsidR="00A3063F" w:rsidTr="0020784C" w14:paraId="51FBFB3E" w14:textId="77777777">
        <w:trPr>
          <w:trHeight w:val="403"/>
        </w:trPr>
        <w:tc>
          <w:tcPr>
            <w:tcW w:w="6804" w:type="dxa"/>
            <w:gridSpan w:val="2"/>
            <w:tcBorders>
              <w:top w:val="nil"/>
              <w:left w:val="nil"/>
              <w:bottom w:val="nil"/>
              <w:right w:val="nil"/>
            </w:tcBorders>
            <w:noWrap/>
            <w:hideMark/>
          </w:tcPr>
          <w:p w:rsidRPr="00BE2643" w:rsidR="00A3063F" w:rsidP="0020784C" w:rsidRDefault="00A3063F" w14:paraId="096CD53B" w14:textId="77777777">
            <w:pPr>
              <w:rPr>
                <w:rFonts w:asciiTheme="majorHAnsi" w:hAnsiTheme="majorHAnsi" w:eastAsiaTheme="majorEastAsia" w:cstheme="majorBidi"/>
                <w:b/>
                <w:bCs/>
                <w:i/>
                <w:iCs/>
                <w:caps/>
                <w:spacing w:val="-2"/>
              </w:rPr>
            </w:pPr>
            <w:r w:rsidRPr="00BE2643">
              <w:rPr>
                <w:rFonts w:asciiTheme="majorHAnsi" w:hAnsiTheme="majorHAnsi"/>
                <w:b/>
                <w:i/>
                <w:caps/>
              </w:rPr>
              <w:t> Memokirjed</w:t>
            </w:r>
          </w:p>
        </w:tc>
        <w:tc>
          <w:tcPr>
            <w:tcW w:w="2745" w:type="dxa"/>
            <w:tcBorders>
              <w:top w:val="nil"/>
              <w:left w:val="nil"/>
              <w:bottom w:val="nil"/>
              <w:right w:val="nil"/>
            </w:tcBorders>
            <w:noWrap/>
            <w:hideMark/>
          </w:tcPr>
          <w:p w:rsidRPr="00BE2643" w:rsidR="00A3063F" w:rsidP="0020784C" w:rsidRDefault="00A3063F" w14:paraId="2F3CFE7E" w14:textId="77777777">
            <w:pPr>
              <w:rPr>
                <w:rFonts w:ascii="Arial" w:hAnsi="Arial" w:eastAsia="Times New Roman" w:cs="Arial"/>
                <w:b/>
                <w:bCs/>
                <w:sz w:val="24"/>
                <w:szCs w:val="24"/>
              </w:rPr>
            </w:pPr>
            <w:r w:rsidRPr="00BE2643">
              <w:rPr>
                <w:rFonts w:ascii="Arial" w:hAnsi="Arial"/>
                <w:b/>
                <w:sz w:val="24"/>
              </w:rPr>
              <w:t> </w:t>
            </w:r>
          </w:p>
        </w:tc>
      </w:tr>
      <w:tr w:rsidRPr="00BE2643" w:rsidR="00A3063F" w:rsidTr="0020784C" w14:paraId="696C4A6E" w14:textId="77777777">
        <w:trPr>
          <w:trHeight w:val="403"/>
        </w:trPr>
        <w:tc>
          <w:tcPr>
            <w:tcW w:w="6804" w:type="dxa"/>
            <w:gridSpan w:val="2"/>
            <w:tcBorders>
              <w:top w:val="nil"/>
              <w:left w:val="nil"/>
              <w:bottom w:val="single" w:color="auto" w:sz="4" w:space="0"/>
              <w:right w:val="nil"/>
            </w:tcBorders>
            <w:noWrap/>
            <w:hideMark/>
          </w:tcPr>
          <w:p w:rsidRPr="00BE2643" w:rsidR="00A3063F" w:rsidP="0020784C" w:rsidRDefault="00A3063F" w14:paraId="4AE260B3" w14:textId="77777777">
            <w:pPr>
              <w:ind w:firstLine="241" w:firstLineChars="100"/>
              <w:rPr>
                <w:rFonts w:ascii="Arial" w:hAnsi="Arial" w:eastAsia="Times New Roman" w:cs="Arial"/>
                <w:b/>
                <w:bCs/>
                <w:sz w:val="24"/>
                <w:szCs w:val="24"/>
              </w:rPr>
            </w:pPr>
            <w:r w:rsidRPr="00BE2643">
              <w:rPr>
                <w:rFonts w:ascii="Arial" w:hAnsi="Arial"/>
                <w:b/>
                <w:sz w:val="24"/>
              </w:rPr>
              <w:t> </w:t>
            </w:r>
          </w:p>
        </w:tc>
        <w:tc>
          <w:tcPr>
            <w:tcW w:w="2745" w:type="dxa"/>
            <w:tcBorders>
              <w:top w:val="nil"/>
              <w:left w:val="nil"/>
              <w:bottom w:val="single" w:color="auto" w:sz="4" w:space="0"/>
              <w:right w:val="nil"/>
            </w:tcBorders>
            <w:noWrap/>
            <w:hideMark/>
          </w:tcPr>
          <w:p w:rsidRPr="00BE2643" w:rsidR="00A3063F" w:rsidP="0020784C" w:rsidRDefault="00A3063F" w14:paraId="69A4916F" w14:textId="77777777">
            <w:pPr>
              <w:rPr>
                <w:rFonts w:ascii="Arial" w:hAnsi="Arial" w:eastAsia="Times New Roman" w:cs="Arial"/>
                <w:b/>
                <w:bCs/>
                <w:sz w:val="24"/>
                <w:szCs w:val="24"/>
              </w:rPr>
            </w:pPr>
            <w:r w:rsidRPr="00BE2643">
              <w:rPr>
                <w:rFonts w:ascii="Arial" w:hAnsi="Arial"/>
                <w:b/>
                <w:sz w:val="24"/>
              </w:rPr>
              <w:t> </w:t>
            </w:r>
          </w:p>
        </w:tc>
      </w:tr>
      <w:tr w:rsidRPr="00BE2643" w:rsidR="00A3063F" w:rsidTr="0020784C" w14:paraId="036BF387" w14:textId="77777777">
        <w:trPr>
          <w:trHeight w:val="300"/>
        </w:trPr>
        <w:tc>
          <w:tcPr>
            <w:tcW w:w="6804" w:type="dxa"/>
            <w:gridSpan w:val="2"/>
            <w:tcBorders>
              <w:left w:val="nil"/>
              <w:right w:val="nil"/>
            </w:tcBorders>
            <w:noWrap/>
            <w:hideMark/>
          </w:tcPr>
          <w:p w:rsidRPr="00BE2643" w:rsidR="00A3063F" w:rsidP="0020784C" w:rsidRDefault="00A3063F" w14:paraId="7A704881" w14:textId="77777777">
            <w:pPr>
              <w:rPr>
                <w:rFonts w:ascii="Arial" w:hAnsi="Arial" w:eastAsia="Times New Roman" w:cs="Arial"/>
                <w:b/>
                <w:bCs/>
                <w:sz w:val="20"/>
                <w:szCs w:val="20"/>
              </w:rPr>
            </w:pPr>
            <w:r w:rsidRPr="00BE2643">
              <w:rPr>
                <w:rFonts w:ascii="Arial" w:hAnsi="Arial"/>
                <w:b/>
                <w:sz w:val="20"/>
              </w:rPr>
              <w:t>17. jagu. Suuruse kirjed</w:t>
            </w:r>
          </w:p>
        </w:tc>
        <w:tc>
          <w:tcPr>
            <w:tcW w:w="2745" w:type="dxa"/>
            <w:tcBorders>
              <w:left w:val="nil"/>
              <w:right w:val="nil"/>
            </w:tcBorders>
            <w:hideMark/>
          </w:tcPr>
          <w:p w:rsidRPr="00BE2643" w:rsidR="00A3063F" w:rsidP="0020784C" w:rsidRDefault="00A3063F" w14:paraId="409A884E"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08E75D3E" w14:textId="77777777">
        <w:trPr>
          <w:gridAfter w:val="1"/>
          <w:wAfter w:w="2745" w:type="dxa"/>
          <w:trHeight w:val="300"/>
        </w:trPr>
        <w:tc>
          <w:tcPr>
            <w:tcW w:w="6804" w:type="dxa"/>
            <w:gridSpan w:val="2"/>
            <w:tcBorders>
              <w:left w:val="nil"/>
              <w:right w:val="nil"/>
            </w:tcBorders>
            <w:noWrap/>
            <w:hideMark/>
          </w:tcPr>
          <w:p w:rsidRPr="00BE2643" w:rsidR="00A3063F" w:rsidP="0020784C" w:rsidRDefault="00A3063F" w14:paraId="5F6A37B1" w14:textId="77777777">
            <w:pPr>
              <w:ind w:left="171" w:firstLine="28" w:firstLineChars="14"/>
              <w:rPr>
                <w:rFonts w:ascii="Arial" w:hAnsi="Arial" w:eastAsia="Times New Roman" w:cs="Arial"/>
                <w:sz w:val="20"/>
                <w:szCs w:val="20"/>
              </w:rPr>
            </w:pPr>
            <w:r w:rsidRPr="00BE2643">
              <w:rPr>
                <w:rFonts w:ascii="Arial" w:hAnsi="Arial"/>
                <w:sz w:val="20"/>
              </w:rPr>
              <w:lastRenderedPageBreak/>
              <w:t>a. Juba regulatiivsete usaldatavusnõuete kohasesse konsolideerimisse kaasatud kindlustusvaldkonna tütarettevõtjate riskipositsioon</w:t>
            </w:r>
          </w:p>
        </w:tc>
      </w:tr>
      <w:tr w:rsidRPr="00BE2643" w:rsidR="00A3063F" w:rsidTr="0020784C" w14:paraId="6CEAE8FA" w14:textId="77777777">
        <w:trPr>
          <w:trHeight w:val="300"/>
        </w:trPr>
        <w:tc>
          <w:tcPr>
            <w:tcW w:w="6804" w:type="dxa"/>
            <w:gridSpan w:val="2"/>
            <w:tcBorders>
              <w:left w:val="nil"/>
              <w:right w:val="nil"/>
            </w:tcBorders>
            <w:noWrap/>
            <w:hideMark/>
          </w:tcPr>
          <w:p w:rsidRPr="00BE2643" w:rsidR="00A3063F" w:rsidP="0020784C" w:rsidRDefault="00A3063F" w14:paraId="2EF0C221" w14:textId="77777777">
            <w:pPr>
              <w:ind w:firstLine="200" w:firstLineChars="100"/>
              <w:rPr>
                <w:rFonts w:ascii="Arial" w:hAnsi="Arial" w:eastAsia="Times New Roman" w:cs="Arial"/>
                <w:sz w:val="20"/>
                <w:szCs w:val="20"/>
              </w:rPr>
            </w:pPr>
            <w:r w:rsidRPr="00BE2643">
              <w:rPr>
                <w:rFonts w:ascii="Arial" w:hAnsi="Arial"/>
                <w:sz w:val="20"/>
              </w:rPr>
              <w:t xml:space="preserve">b. Koguriskipositsioonide kvartalipõhine keskmine väärtus </w:t>
            </w:r>
          </w:p>
        </w:tc>
        <w:tc>
          <w:tcPr>
            <w:tcW w:w="2745" w:type="dxa"/>
            <w:tcBorders>
              <w:left w:val="nil"/>
              <w:right w:val="nil"/>
            </w:tcBorders>
            <w:noWrap/>
            <w:hideMark/>
          </w:tcPr>
          <w:p w:rsidRPr="00BE2643" w:rsidR="00A3063F" w:rsidP="0020784C" w:rsidRDefault="00A3063F" w14:paraId="65544513"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047412F6"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0AF8C16D" w14:textId="77777777">
            <w:pPr>
              <w:ind w:firstLine="200" w:firstLineChars="100"/>
              <w:rPr>
                <w:rFonts w:ascii="Arial" w:hAnsi="Arial" w:eastAsia="Times New Roman" w:cs="Arial"/>
                <w:sz w:val="20"/>
                <w:szCs w:val="20"/>
              </w:rPr>
            </w:pPr>
            <w:r w:rsidRPr="00BE2643">
              <w:rPr>
                <w:rFonts w:ascii="Arial" w:hAnsi="Arial"/>
                <w:sz w:val="20"/>
              </w:rPr>
              <w:t xml:space="preserve">c. Kokkuriskipositsioonide kuupõhine keskmine väärtus </w:t>
            </w:r>
          </w:p>
        </w:tc>
        <w:tc>
          <w:tcPr>
            <w:tcW w:w="2745" w:type="dxa"/>
            <w:tcBorders>
              <w:left w:val="nil"/>
              <w:bottom w:val="single" w:color="auto" w:sz="4" w:space="0"/>
              <w:right w:val="nil"/>
            </w:tcBorders>
            <w:noWrap/>
            <w:hideMark/>
          </w:tcPr>
          <w:p w:rsidRPr="00BE2643" w:rsidR="00A3063F" w:rsidP="0020784C" w:rsidRDefault="00A3063F" w14:paraId="042116CB"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16A69F0" w14:textId="77777777">
        <w:trPr>
          <w:trHeight w:val="300"/>
        </w:trPr>
        <w:tc>
          <w:tcPr>
            <w:tcW w:w="6804" w:type="dxa"/>
            <w:gridSpan w:val="2"/>
            <w:tcBorders>
              <w:left w:val="nil"/>
              <w:bottom w:val="nil"/>
              <w:right w:val="nil"/>
            </w:tcBorders>
            <w:noWrap/>
          </w:tcPr>
          <w:p w:rsidRPr="00BE2643" w:rsidR="00A3063F" w:rsidP="0020784C" w:rsidRDefault="00A3063F" w14:paraId="7408171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756AE89B" w14:textId="77777777">
            <w:pPr>
              <w:jc w:val="center"/>
              <w:rPr>
                <w:rFonts w:ascii="Arial" w:hAnsi="Arial" w:eastAsia="Times New Roman" w:cs="Arial"/>
                <w:b/>
                <w:bCs/>
                <w:sz w:val="20"/>
                <w:szCs w:val="20"/>
                <w:lang w:eastAsia="en-GB"/>
              </w:rPr>
            </w:pPr>
          </w:p>
        </w:tc>
      </w:tr>
      <w:tr w:rsidRPr="00BE2643" w:rsidR="00A3063F" w:rsidTr="0020784C" w14:paraId="1DB0C78B" w14:textId="77777777">
        <w:trPr>
          <w:trHeight w:val="300"/>
        </w:trPr>
        <w:tc>
          <w:tcPr>
            <w:tcW w:w="6804" w:type="dxa"/>
            <w:gridSpan w:val="2"/>
            <w:tcBorders>
              <w:top w:val="nil"/>
              <w:left w:val="nil"/>
              <w:right w:val="nil"/>
            </w:tcBorders>
            <w:noWrap/>
            <w:hideMark/>
          </w:tcPr>
          <w:p w:rsidRPr="00BE2643" w:rsidR="00A3063F" w:rsidP="0020784C" w:rsidRDefault="00A3063F" w14:paraId="0A6ED7C2" w14:textId="77777777">
            <w:pPr>
              <w:rPr>
                <w:rFonts w:ascii="Arial" w:hAnsi="Arial" w:eastAsia="Times New Roman" w:cs="Arial"/>
                <w:b/>
                <w:bCs/>
                <w:sz w:val="20"/>
                <w:szCs w:val="20"/>
              </w:rPr>
            </w:pPr>
            <w:r w:rsidRPr="00BE2643">
              <w:rPr>
                <w:rFonts w:ascii="Arial" w:hAnsi="Arial"/>
                <w:b/>
                <w:sz w:val="20"/>
              </w:rPr>
              <w:t>18. jagu. Vastastikuse seotuse kirjed</w:t>
            </w:r>
          </w:p>
        </w:tc>
        <w:tc>
          <w:tcPr>
            <w:tcW w:w="2745" w:type="dxa"/>
            <w:tcBorders>
              <w:top w:val="nil"/>
              <w:left w:val="nil"/>
              <w:right w:val="nil"/>
            </w:tcBorders>
            <w:hideMark/>
          </w:tcPr>
          <w:p w:rsidRPr="00BE2643" w:rsidR="00A3063F" w:rsidP="0020784C" w:rsidRDefault="00A3063F" w14:paraId="5957F076"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41234749" w14:textId="77777777">
        <w:trPr>
          <w:trHeight w:val="300"/>
        </w:trPr>
        <w:tc>
          <w:tcPr>
            <w:tcW w:w="6804" w:type="dxa"/>
            <w:gridSpan w:val="2"/>
            <w:tcBorders>
              <w:left w:val="nil"/>
              <w:right w:val="nil"/>
            </w:tcBorders>
            <w:noWrap/>
            <w:hideMark/>
          </w:tcPr>
          <w:p w:rsidRPr="00BE2643" w:rsidR="00A3063F" w:rsidP="0020784C" w:rsidRDefault="00A3063F" w14:paraId="21E3EFD2" w14:textId="77777777">
            <w:pPr>
              <w:ind w:firstLine="200" w:firstLineChars="100"/>
              <w:rPr>
                <w:rFonts w:ascii="Arial" w:hAnsi="Arial" w:eastAsia="Times New Roman" w:cs="Arial"/>
                <w:sz w:val="20"/>
                <w:szCs w:val="20"/>
              </w:rPr>
            </w:pPr>
            <w:r w:rsidRPr="00BE2643">
              <w:rPr>
                <w:rFonts w:ascii="Arial" w:hAnsi="Arial"/>
                <w:sz w:val="20"/>
              </w:rPr>
              <w:t>a. Finantssüsteemisiseste varade näitaja (vana näitaja)</w:t>
            </w:r>
          </w:p>
        </w:tc>
        <w:tc>
          <w:tcPr>
            <w:tcW w:w="2745" w:type="dxa"/>
            <w:tcBorders>
              <w:left w:val="nil"/>
              <w:right w:val="nil"/>
            </w:tcBorders>
            <w:noWrap/>
            <w:hideMark/>
          </w:tcPr>
          <w:p w:rsidRPr="00BE2643" w:rsidR="00A3063F" w:rsidP="0020784C" w:rsidRDefault="00A3063F" w14:paraId="40741A57"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0C3DC082" w14:textId="77777777">
        <w:trPr>
          <w:trHeight w:val="300"/>
        </w:trPr>
        <w:tc>
          <w:tcPr>
            <w:tcW w:w="6804" w:type="dxa"/>
            <w:gridSpan w:val="2"/>
            <w:tcBorders>
              <w:left w:val="nil"/>
              <w:right w:val="nil"/>
            </w:tcBorders>
            <w:noWrap/>
            <w:hideMark/>
          </w:tcPr>
          <w:p w:rsidRPr="00BE2643" w:rsidR="00A3063F" w:rsidP="0020784C" w:rsidRDefault="00A3063F" w14:paraId="01728088" w14:textId="77777777">
            <w:pPr>
              <w:ind w:firstLine="200" w:firstLineChars="100"/>
              <w:rPr>
                <w:rFonts w:ascii="Arial" w:hAnsi="Arial" w:eastAsia="Times New Roman" w:cs="Arial"/>
                <w:sz w:val="20"/>
                <w:szCs w:val="20"/>
              </w:rPr>
            </w:pPr>
            <w:r w:rsidRPr="00BE2643">
              <w:rPr>
                <w:rFonts w:ascii="Arial" w:hAnsi="Arial"/>
                <w:sz w:val="20"/>
              </w:rPr>
              <w:t xml:space="preserve">b. Finantssüsteemisiseste varade keskmine väärtus kvartalis </w:t>
            </w:r>
          </w:p>
        </w:tc>
        <w:tc>
          <w:tcPr>
            <w:tcW w:w="2745" w:type="dxa"/>
            <w:tcBorders>
              <w:left w:val="nil"/>
              <w:right w:val="nil"/>
            </w:tcBorders>
            <w:noWrap/>
            <w:hideMark/>
          </w:tcPr>
          <w:p w:rsidRPr="00BE2643" w:rsidR="00A3063F" w:rsidP="0020784C" w:rsidRDefault="00A3063F" w14:paraId="20B9A00C"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3AD3A171" w14:textId="77777777">
        <w:trPr>
          <w:trHeight w:val="300"/>
        </w:trPr>
        <w:tc>
          <w:tcPr>
            <w:tcW w:w="6804" w:type="dxa"/>
            <w:gridSpan w:val="2"/>
            <w:tcBorders>
              <w:left w:val="nil"/>
              <w:right w:val="nil"/>
            </w:tcBorders>
            <w:noWrap/>
            <w:hideMark/>
          </w:tcPr>
          <w:p w:rsidRPr="00BE2643" w:rsidR="00A3063F" w:rsidP="0020784C" w:rsidRDefault="00A3063F" w14:paraId="380EF988" w14:textId="77777777">
            <w:pPr>
              <w:ind w:firstLine="200" w:firstLineChars="100"/>
              <w:rPr>
                <w:rFonts w:ascii="Arial" w:hAnsi="Arial" w:eastAsia="Times New Roman" w:cs="Arial"/>
                <w:sz w:val="20"/>
                <w:szCs w:val="20"/>
              </w:rPr>
            </w:pPr>
            <w:r w:rsidRPr="00BE2643">
              <w:rPr>
                <w:rFonts w:ascii="Arial" w:hAnsi="Arial"/>
                <w:sz w:val="20"/>
              </w:rPr>
              <w:t xml:space="preserve">c. Finantssüsteemisiseste varade keskmine väärtus kuus </w:t>
            </w:r>
          </w:p>
        </w:tc>
        <w:tc>
          <w:tcPr>
            <w:tcW w:w="2745" w:type="dxa"/>
            <w:tcBorders>
              <w:left w:val="nil"/>
              <w:right w:val="nil"/>
            </w:tcBorders>
            <w:noWrap/>
            <w:hideMark/>
          </w:tcPr>
          <w:p w:rsidRPr="00BE2643" w:rsidR="00A3063F" w:rsidP="0020784C" w:rsidRDefault="00A3063F" w14:paraId="31879E60"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4C320DBA" w14:textId="77777777">
        <w:trPr>
          <w:trHeight w:val="300"/>
        </w:trPr>
        <w:tc>
          <w:tcPr>
            <w:tcW w:w="6804" w:type="dxa"/>
            <w:gridSpan w:val="2"/>
            <w:tcBorders>
              <w:left w:val="nil"/>
              <w:right w:val="nil"/>
            </w:tcBorders>
            <w:noWrap/>
            <w:hideMark/>
          </w:tcPr>
          <w:p w:rsidRPr="00BE2643" w:rsidR="00A3063F" w:rsidP="0020784C" w:rsidRDefault="00A3063F" w14:paraId="63E53A59" w14:textId="77777777">
            <w:pPr>
              <w:ind w:firstLine="200" w:firstLineChars="100"/>
              <w:rPr>
                <w:rFonts w:ascii="Arial" w:hAnsi="Arial" w:eastAsia="Times New Roman" w:cs="Arial"/>
                <w:sz w:val="20"/>
                <w:szCs w:val="20"/>
              </w:rPr>
            </w:pPr>
            <w:r w:rsidRPr="00BE2643">
              <w:rPr>
                <w:rFonts w:ascii="Arial" w:hAnsi="Arial"/>
                <w:sz w:val="20"/>
              </w:rPr>
              <w:t>d. Finantssüsteemisiseste kohustuste näitaja (vana näitaja)</w:t>
            </w:r>
          </w:p>
        </w:tc>
        <w:tc>
          <w:tcPr>
            <w:tcW w:w="2745" w:type="dxa"/>
            <w:tcBorders>
              <w:left w:val="nil"/>
              <w:right w:val="nil"/>
            </w:tcBorders>
            <w:noWrap/>
            <w:hideMark/>
          </w:tcPr>
          <w:p w:rsidRPr="00BE2643" w:rsidR="00A3063F" w:rsidP="0020784C" w:rsidRDefault="00A3063F" w14:paraId="6BFC616A"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DAB4361" w14:textId="77777777">
        <w:trPr>
          <w:trHeight w:val="300"/>
        </w:trPr>
        <w:tc>
          <w:tcPr>
            <w:tcW w:w="6804" w:type="dxa"/>
            <w:gridSpan w:val="2"/>
            <w:tcBorders>
              <w:left w:val="nil"/>
              <w:right w:val="nil"/>
            </w:tcBorders>
            <w:noWrap/>
            <w:hideMark/>
          </w:tcPr>
          <w:p w:rsidRPr="00BE2643" w:rsidR="00A3063F" w:rsidP="0020784C" w:rsidRDefault="00A3063F" w14:paraId="374579E7" w14:textId="77777777">
            <w:pPr>
              <w:ind w:firstLine="200" w:firstLineChars="100"/>
              <w:rPr>
                <w:rFonts w:ascii="Arial" w:hAnsi="Arial" w:eastAsia="Times New Roman" w:cs="Arial"/>
                <w:sz w:val="20"/>
                <w:szCs w:val="20"/>
              </w:rPr>
            </w:pPr>
            <w:r w:rsidRPr="00BE2643">
              <w:rPr>
                <w:rFonts w:ascii="Arial" w:hAnsi="Arial"/>
                <w:sz w:val="20"/>
              </w:rPr>
              <w:t xml:space="preserve">e. Finantssüsteemisiseste kohustuste keskmine väärtus kvartalis </w:t>
            </w:r>
          </w:p>
        </w:tc>
        <w:tc>
          <w:tcPr>
            <w:tcW w:w="2745" w:type="dxa"/>
            <w:tcBorders>
              <w:left w:val="nil"/>
              <w:right w:val="nil"/>
            </w:tcBorders>
            <w:noWrap/>
            <w:hideMark/>
          </w:tcPr>
          <w:p w:rsidRPr="00BE2643" w:rsidR="00A3063F" w:rsidP="0020784C" w:rsidRDefault="00A3063F" w14:paraId="7F626AE1"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B45689E" w14:textId="77777777">
        <w:trPr>
          <w:trHeight w:val="300"/>
        </w:trPr>
        <w:tc>
          <w:tcPr>
            <w:tcW w:w="6804" w:type="dxa"/>
            <w:gridSpan w:val="2"/>
            <w:tcBorders>
              <w:left w:val="nil"/>
              <w:right w:val="nil"/>
            </w:tcBorders>
            <w:noWrap/>
            <w:hideMark/>
          </w:tcPr>
          <w:p w:rsidRPr="00BE2643" w:rsidR="00A3063F" w:rsidP="0020784C" w:rsidRDefault="00A3063F" w14:paraId="2E44D401" w14:textId="77777777">
            <w:pPr>
              <w:ind w:firstLine="200" w:firstLineChars="100"/>
              <w:rPr>
                <w:rFonts w:ascii="Arial" w:hAnsi="Arial" w:eastAsia="Times New Roman" w:cs="Arial"/>
                <w:sz w:val="20"/>
                <w:szCs w:val="20"/>
              </w:rPr>
            </w:pPr>
            <w:r w:rsidRPr="00BE2643">
              <w:rPr>
                <w:rFonts w:ascii="Arial" w:hAnsi="Arial"/>
                <w:sz w:val="20"/>
              </w:rPr>
              <w:t xml:space="preserve">f. Finantssüsteemisiseste kohustuste keskmine väärtus kuus </w:t>
            </w:r>
          </w:p>
        </w:tc>
        <w:tc>
          <w:tcPr>
            <w:tcW w:w="2745" w:type="dxa"/>
            <w:tcBorders>
              <w:left w:val="nil"/>
              <w:right w:val="nil"/>
            </w:tcBorders>
            <w:noWrap/>
            <w:hideMark/>
          </w:tcPr>
          <w:p w:rsidRPr="00BE2643" w:rsidR="00A3063F" w:rsidP="0020784C" w:rsidRDefault="00A3063F" w14:paraId="2185F645"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1A122E85" w14:textId="77777777">
        <w:trPr>
          <w:trHeight w:val="300"/>
        </w:trPr>
        <w:tc>
          <w:tcPr>
            <w:tcW w:w="6804" w:type="dxa"/>
            <w:gridSpan w:val="2"/>
            <w:tcBorders>
              <w:left w:val="nil"/>
              <w:right w:val="nil"/>
            </w:tcBorders>
            <w:noWrap/>
            <w:hideMark/>
          </w:tcPr>
          <w:p w:rsidRPr="00BE2643" w:rsidR="00A3063F" w:rsidP="0020784C" w:rsidRDefault="00A3063F" w14:paraId="20CB4E0A" w14:textId="77777777">
            <w:pPr>
              <w:ind w:firstLine="200" w:firstLineChars="100"/>
              <w:rPr>
                <w:rFonts w:ascii="Arial" w:hAnsi="Arial" w:eastAsia="Times New Roman" w:cs="Arial"/>
                <w:sz w:val="20"/>
                <w:szCs w:val="20"/>
              </w:rPr>
            </w:pPr>
            <w:r w:rsidRPr="00BE2643">
              <w:rPr>
                <w:rFonts w:ascii="Arial" w:hAnsi="Arial"/>
                <w:sz w:val="20"/>
              </w:rPr>
              <w:t>g. Lunastamata või tagasiostmata väärtpaberite näitaja (vana näitaja)</w:t>
            </w:r>
          </w:p>
        </w:tc>
        <w:tc>
          <w:tcPr>
            <w:tcW w:w="2745" w:type="dxa"/>
            <w:tcBorders>
              <w:left w:val="nil"/>
              <w:right w:val="nil"/>
            </w:tcBorders>
            <w:noWrap/>
            <w:hideMark/>
          </w:tcPr>
          <w:p w:rsidRPr="00BE2643" w:rsidR="00A3063F" w:rsidP="0020784C" w:rsidRDefault="00A3063F" w14:paraId="327DAAE7"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9D6EDF9" w14:textId="77777777">
        <w:trPr>
          <w:trHeight w:val="300"/>
        </w:trPr>
        <w:tc>
          <w:tcPr>
            <w:tcW w:w="6804" w:type="dxa"/>
            <w:gridSpan w:val="2"/>
            <w:tcBorders>
              <w:left w:val="nil"/>
              <w:right w:val="nil"/>
            </w:tcBorders>
            <w:noWrap/>
            <w:hideMark/>
          </w:tcPr>
          <w:p w:rsidRPr="00BE2643" w:rsidR="00A3063F" w:rsidP="0020784C" w:rsidRDefault="00A3063F" w14:paraId="468F6C8C" w14:textId="77777777">
            <w:pPr>
              <w:ind w:firstLine="200" w:firstLineChars="100"/>
              <w:rPr>
                <w:rFonts w:ascii="Arial" w:hAnsi="Arial" w:eastAsia="Times New Roman" w:cs="Arial"/>
                <w:sz w:val="20"/>
                <w:szCs w:val="20"/>
              </w:rPr>
            </w:pPr>
            <w:r w:rsidRPr="00BE2643">
              <w:rPr>
                <w:rFonts w:ascii="Arial" w:hAnsi="Arial"/>
                <w:sz w:val="20"/>
              </w:rPr>
              <w:t xml:space="preserve">h. Lunastamata või tagasiostmata väärtpaberite keskmine väärtus kvartalis </w:t>
            </w:r>
          </w:p>
        </w:tc>
        <w:tc>
          <w:tcPr>
            <w:tcW w:w="2745" w:type="dxa"/>
            <w:tcBorders>
              <w:left w:val="nil"/>
              <w:right w:val="nil"/>
            </w:tcBorders>
            <w:noWrap/>
            <w:hideMark/>
          </w:tcPr>
          <w:p w:rsidRPr="00BE2643" w:rsidR="00A3063F" w:rsidP="0020784C" w:rsidRDefault="00A3063F" w14:paraId="07441499"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0229B507"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257452BC" w14:textId="77777777">
            <w:pPr>
              <w:ind w:firstLine="200" w:firstLineChars="100"/>
              <w:rPr>
                <w:rFonts w:ascii="Arial" w:hAnsi="Arial" w:eastAsia="Times New Roman" w:cs="Arial"/>
                <w:sz w:val="20"/>
                <w:szCs w:val="20"/>
              </w:rPr>
            </w:pPr>
            <w:r w:rsidRPr="00BE2643">
              <w:rPr>
                <w:rFonts w:ascii="Arial" w:hAnsi="Arial"/>
                <w:sz w:val="20"/>
              </w:rPr>
              <w:t xml:space="preserve">i. Lunastamata või tagasiostmata väärtpaberite keskmine väärtus kuus </w:t>
            </w:r>
          </w:p>
        </w:tc>
        <w:tc>
          <w:tcPr>
            <w:tcW w:w="2745" w:type="dxa"/>
            <w:tcBorders>
              <w:left w:val="nil"/>
              <w:bottom w:val="single" w:color="auto" w:sz="4" w:space="0"/>
              <w:right w:val="nil"/>
            </w:tcBorders>
            <w:noWrap/>
            <w:hideMark/>
          </w:tcPr>
          <w:p w:rsidRPr="00BE2643" w:rsidR="00A3063F" w:rsidP="0020784C" w:rsidRDefault="00A3063F" w14:paraId="7A96B1A3"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25A269FD" w14:textId="77777777">
        <w:trPr>
          <w:trHeight w:val="300"/>
        </w:trPr>
        <w:tc>
          <w:tcPr>
            <w:tcW w:w="6804" w:type="dxa"/>
            <w:gridSpan w:val="2"/>
            <w:tcBorders>
              <w:left w:val="nil"/>
              <w:bottom w:val="nil"/>
              <w:right w:val="nil"/>
            </w:tcBorders>
            <w:noWrap/>
          </w:tcPr>
          <w:p w:rsidRPr="00BE2643" w:rsidR="00A3063F" w:rsidP="0020784C" w:rsidRDefault="00A3063F" w14:paraId="151275E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004301A3" w14:textId="77777777">
            <w:pPr>
              <w:jc w:val="center"/>
              <w:rPr>
                <w:rFonts w:ascii="Arial" w:hAnsi="Arial" w:eastAsia="Times New Roman" w:cs="Arial"/>
                <w:b/>
                <w:bCs/>
                <w:sz w:val="20"/>
                <w:szCs w:val="20"/>
                <w:lang w:eastAsia="en-GB"/>
              </w:rPr>
            </w:pPr>
          </w:p>
        </w:tc>
      </w:tr>
      <w:tr w:rsidRPr="00BE2643" w:rsidR="00A3063F" w:rsidTr="0020784C" w14:paraId="083079E7" w14:textId="77777777">
        <w:trPr>
          <w:trHeight w:val="300"/>
        </w:trPr>
        <w:tc>
          <w:tcPr>
            <w:tcW w:w="6804" w:type="dxa"/>
            <w:gridSpan w:val="2"/>
            <w:tcBorders>
              <w:top w:val="nil"/>
              <w:left w:val="nil"/>
              <w:bottom w:val="single" w:color="auto" w:sz="4" w:space="0"/>
              <w:right w:val="nil"/>
            </w:tcBorders>
            <w:noWrap/>
            <w:hideMark/>
          </w:tcPr>
          <w:p w:rsidRPr="00BE2643" w:rsidR="00A3063F" w:rsidP="0020784C" w:rsidRDefault="00A3063F" w14:paraId="62C8C2FC" w14:textId="77777777">
            <w:pPr>
              <w:rPr>
                <w:rFonts w:ascii="Arial" w:hAnsi="Arial" w:eastAsia="Times New Roman" w:cs="Arial"/>
                <w:b/>
                <w:bCs/>
                <w:sz w:val="20"/>
                <w:szCs w:val="20"/>
              </w:rPr>
            </w:pPr>
            <w:r w:rsidRPr="00BE2643">
              <w:rPr>
                <w:rFonts w:ascii="Arial" w:hAnsi="Arial"/>
                <w:b/>
                <w:sz w:val="20"/>
              </w:rPr>
              <w:t>Jagu 19. Asendatavuse / finantsinfrastruktuuri kirjed</w:t>
            </w:r>
          </w:p>
        </w:tc>
        <w:tc>
          <w:tcPr>
            <w:tcW w:w="2745" w:type="dxa"/>
            <w:tcBorders>
              <w:top w:val="nil"/>
              <w:left w:val="nil"/>
              <w:right w:val="nil"/>
            </w:tcBorders>
            <w:hideMark/>
          </w:tcPr>
          <w:p w:rsidRPr="00BE2643" w:rsidR="00A3063F" w:rsidP="0020784C" w:rsidRDefault="00A3063F" w14:paraId="4AED2EFD"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3E163CC2" w14:textId="77777777">
        <w:trPr>
          <w:trHeight w:val="300"/>
        </w:trPr>
        <w:tc>
          <w:tcPr>
            <w:tcW w:w="6804" w:type="dxa"/>
            <w:gridSpan w:val="2"/>
            <w:tcBorders>
              <w:left w:val="nil"/>
              <w:right w:val="nil"/>
            </w:tcBorders>
            <w:noWrap/>
          </w:tcPr>
          <w:p w:rsidRPr="00BE2643" w:rsidR="00A3063F" w:rsidP="0020784C" w:rsidRDefault="00A3063F" w14:paraId="46C14C2A" w14:textId="77777777">
            <w:pPr>
              <w:ind w:left="171" w:firstLine="28" w:firstLineChars="14"/>
              <w:rPr>
                <w:rFonts w:ascii="Arial" w:hAnsi="Arial" w:eastAsia="Times New Roman" w:cs="Arial"/>
                <w:sz w:val="20"/>
                <w:szCs w:val="20"/>
              </w:rPr>
            </w:pPr>
            <w:r w:rsidRPr="00BE2643">
              <w:rPr>
                <w:rFonts w:ascii="Arial" w:hAnsi="Arial"/>
                <w:sz w:val="20"/>
              </w:rPr>
              <w:t>a. Riikide emiteeritud väärtpaberite kauplemismaht, v.a grupisisesed tehingud</w:t>
            </w:r>
          </w:p>
        </w:tc>
        <w:tc>
          <w:tcPr>
            <w:tcW w:w="2745" w:type="dxa"/>
            <w:tcBorders>
              <w:left w:val="nil"/>
              <w:right w:val="nil"/>
            </w:tcBorders>
            <w:noWrap/>
          </w:tcPr>
          <w:p w:rsidRPr="00BE2643" w:rsidR="00A3063F" w:rsidP="0020784C" w:rsidRDefault="00A3063F" w14:paraId="0093B869" w14:textId="77777777">
            <w:pPr>
              <w:jc w:val="right"/>
              <w:rPr>
                <w:rFonts w:ascii="Arial" w:hAnsi="Arial" w:eastAsia="Times New Roman" w:cs="Arial"/>
                <w:sz w:val="20"/>
                <w:szCs w:val="20"/>
                <w:lang w:eastAsia="en-GB"/>
              </w:rPr>
            </w:pPr>
          </w:p>
        </w:tc>
      </w:tr>
      <w:tr w:rsidRPr="00BE2643" w:rsidR="00A3063F" w:rsidTr="0020784C" w14:paraId="141C3898" w14:textId="77777777">
        <w:trPr>
          <w:trHeight w:val="300"/>
        </w:trPr>
        <w:tc>
          <w:tcPr>
            <w:tcW w:w="6804" w:type="dxa"/>
            <w:gridSpan w:val="2"/>
            <w:tcBorders>
              <w:left w:val="nil"/>
              <w:right w:val="nil"/>
            </w:tcBorders>
            <w:noWrap/>
          </w:tcPr>
          <w:p w:rsidRPr="00BE2643" w:rsidR="00A3063F" w:rsidP="0020784C" w:rsidRDefault="00A3063F" w14:paraId="7625A32F" w14:textId="77777777">
            <w:pPr>
              <w:ind w:left="171"/>
              <w:rPr>
                <w:rFonts w:ascii="Arial" w:hAnsi="Arial" w:eastAsia="Times New Roman" w:cs="Arial"/>
                <w:sz w:val="20"/>
                <w:szCs w:val="20"/>
              </w:rPr>
            </w:pPr>
            <w:r w:rsidRPr="00BE2643">
              <w:rPr>
                <w:rFonts w:ascii="Arial" w:hAnsi="Arial"/>
                <w:sz w:val="20"/>
              </w:rPr>
              <w:t>b. Kesksetele vastaspooltele klientide nimel antud alustamise tagatis</w:t>
            </w:r>
          </w:p>
        </w:tc>
        <w:tc>
          <w:tcPr>
            <w:tcW w:w="2745" w:type="dxa"/>
            <w:tcBorders>
              <w:left w:val="nil"/>
              <w:right w:val="nil"/>
            </w:tcBorders>
            <w:noWrap/>
          </w:tcPr>
          <w:p w:rsidRPr="00BE2643" w:rsidR="00A3063F" w:rsidP="0020784C" w:rsidRDefault="00A3063F" w14:paraId="1CF23D09" w14:textId="77777777">
            <w:pPr>
              <w:jc w:val="right"/>
              <w:rPr>
                <w:rFonts w:ascii="Arial" w:hAnsi="Arial" w:eastAsia="Times New Roman" w:cs="Arial"/>
                <w:sz w:val="20"/>
                <w:szCs w:val="20"/>
                <w:lang w:eastAsia="en-GB"/>
              </w:rPr>
            </w:pPr>
          </w:p>
        </w:tc>
      </w:tr>
      <w:tr w:rsidRPr="00BE2643" w:rsidR="00A3063F" w:rsidTr="0020784C" w14:paraId="0278680A" w14:textId="77777777">
        <w:trPr>
          <w:trHeight w:val="300"/>
        </w:trPr>
        <w:tc>
          <w:tcPr>
            <w:tcW w:w="6804" w:type="dxa"/>
            <w:gridSpan w:val="2"/>
            <w:tcBorders>
              <w:left w:val="nil"/>
              <w:right w:val="nil"/>
            </w:tcBorders>
            <w:noWrap/>
          </w:tcPr>
          <w:p w:rsidRPr="00BE2643" w:rsidR="00A3063F" w:rsidP="0020784C" w:rsidRDefault="00A3063F" w14:paraId="19B3ED26" w14:textId="77777777">
            <w:pPr>
              <w:ind w:firstLine="200" w:firstLineChars="100"/>
              <w:rPr>
                <w:rFonts w:ascii="Arial" w:hAnsi="Arial" w:eastAsia="Times New Roman" w:cs="Arial"/>
                <w:sz w:val="20"/>
                <w:szCs w:val="20"/>
              </w:rPr>
            </w:pPr>
            <w:r w:rsidRPr="00BE2643">
              <w:rPr>
                <w:rFonts w:ascii="Arial" w:hAnsi="Arial"/>
                <w:sz w:val="20"/>
              </w:rPr>
              <w:t>c. Kesksetele vastaspooltele aruandva grupi enda nimel antud alustamise tagatis</w:t>
            </w:r>
          </w:p>
        </w:tc>
        <w:tc>
          <w:tcPr>
            <w:tcW w:w="2745" w:type="dxa"/>
            <w:tcBorders>
              <w:left w:val="nil"/>
              <w:right w:val="nil"/>
            </w:tcBorders>
            <w:noWrap/>
          </w:tcPr>
          <w:p w:rsidRPr="00BE2643" w:rsidR="00A3063F" w:rsidP="0020784C" w:rsidRDefault="00A3063F" w14:paraId="269D7AB0" w14:textId="77777777">
            <w:pPr>
              <w:jc w:val="right"/>
              <w:rPr>
                <w:rFonts w:ascii="Arial" w:hAnsi="Arial" w:eastAsia="Times New Roman" w:cs="Arial"/>
                <w:sz w:val="20"/>
                <w:szCs w:val="20"/>
                <w:lang w:eastAsia="en-GB"/>
              </w:rPr>
            </w:pPr>
          </w:p>
        </w:tc>
      </w:tr>
      <w:tr w:rsidRPr="00BE2643" w:rsidR="00A3063F" w:rsidTr="0020784C" w14:paraId="738F14C4" w14:textId="77777777">
        <w:trPr>
          <w:trHeight w:val="300"/>
        </w:trPr>
        <w:tc>
          <w:tcPr>
            <w:tcW w:w="6804" w:type="dxa"/>
            <w:gridSpan w:val="2"/>
            <w:tcBorders>
              <w:left w:val="nil"/>
              <w:right w:val="nil"/>
            </w:tcBorders>
            <w:noWrap/>
            <w:hideMark/>
          </w:tcPr>
          <w:p w:rsidRPr="00BE2643" w:rsidR="00A3063F" w:rsidP="0020784C" w:rsidRDefault="00A3063F" w14:paraId="603C00A7" w14:textId="77777777">
            <w:pPr>
              <w:ind w:firstLine="200" w:firstLineChars="100"/>
              <w:rPr>
                <w:rFonts w:ascii="Arial" w:hAnsi="Arial" w:eastAsia="Times New Roman" w:cs="Arial"/>
                <w:sz w:val="20"/>
                <w:szCs w:val="20"/>
              </w:rPr>
            </w:pPr>
            <w:r w:rsidRPr="00BE2643">
              <w:rPr>
                <w:rFonts w:ascii="Arial" w:hAnsi="Arial"/>
                <w:sz w:val="20"/>
              </w:rPr>
              <w:t>d. Tagatisfondi osamaksed kesksetele vastaspooltele</w:t>
            </w:r>
          </w:p>
        </w:tc>
        <w:tc>
          <w:tcPr>
            <w:tcW w:w="2745" w:type="dxa"/>
            <w:tcBorders>
              <w:left w:val="nil"/>
              <w:right w:val="nil"/>
            </w:tcBorders>
            <w:noWrap/>
            <w:hideMark/>
          </w:tcPr>
          <w:p w:rsidRPr="00BE2643" w:rsidR="00A3063F" w:rsidP="0020784C" w:rsidRDefault="00A3063F" w14:paraId="78F1E946"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08F736E8" w14:textId="77777777">
        <w:trPr>
          <w:trHeight w:val="300"/>
        </w:trPr>
        <w:tc>
          <w:tcPr>
            <w:tcW w:w="6804" w:type="dxa"/>
            <w:gridSpan w:val="2"/>
            <w:tcBorders>
              <w:left w:val="nil"/>
              <w:right w:val="nil"/>
            </w:tcBorders>
            <w:noWrap/>
            <w:hideMark/>
          </w:tcPr>
          <w:p w:rsidRPr="00BE2643" w:rsidR="00A3063F" w:rsidP="0020784C" w:rsidRDefault="00A3063F" w14:paraId="531CAA99" w14:textId="77777777">
            <w:pPr>
              <w:ind w:firstLine="200" w:firstLineChars="100"/>
              <w:rPr>
                <w:rFonts w:ascii="Arial" w:hAnsi="Arial" w:eastAsia="Times New Roman" w:cs="Arial"/>
                <w:sz w:val="20"/>
                <w:szCs w:val="20"/>
              </w:rPr>
            </w:pPr>
            <w:r w:rsidRPr="00BE2643">
              <w:rPr>
                <w:rFonts w:ascii="Arial" w:hAnsi="Arial"/>
                <w:sz w:val="20"/>
              </w:rPr>
              <w:t>e. Muud vahendid kesksetele vastaspooltele</w:t>
            </w:r>
          </w:p>
        </w:tc>
        <w:tc>
          <w:tcPr>
            <w:tcW w:w="2745" w:type="dxa"/>
            <w:tcBorders>
              <w:left w:val="nil"/>
              <w:right w:val="nil"/>
            </w:tcBorders>
            <w:noWrap/>
            <w:hideMark/>
          </w:tcPr>
          <w:p w:rsidRPr="00BE2643" w:rsidR="00A3063F" w:rsidP="0020784C" w:rsidRDefault="00A3063F" w14:paraId="0DC9921E"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6111A23B" w14:textId="77777777">
        <w:trPr>
          <w:gridAfter w:val="1"/>
          <w:wAfter w:w="2745" w:type="dxa"/>
          <w:trHeight w:val="300"/>
        </w:trPr>
        <w:tc>
          <w:tcPr>
            <w:tcW w:w="6804" w:type="dxa"/>
            <w:gridSpan w:val="2"/>
            <w:tcBorders>
              <w:left w:val="nil"/>
              <w:right w:val="nil"/>
            </w:tcBorders>
            <w:noWrap/>
            <w:hideMark/>
          </w:tcPr>
          <w:p w:rsidRPr="00BE2643" w:rsidR="00A3063F" w:rsidP="0020784C" w:rsidRDefault="00A3063F" w14:paraId="0F0229FE" w14:textId="77777777">
            <w:pPr>
              <w:ind w:left="171"/>
              <w:rPr>
                <w:rFonts w:ascii="Arial" w:hAnsi="Arial" w:eastAsia="Times New Roman" w:cs="Arial"/>
                <w:sz w:val="20"/>
                <w:szCs w:val="20"/>
              </w:rPr>
            </w:pPr>
            <w:r w:rsidRPr="00BE2643">
              <w:rPr>
                <w:rFonts w:ascii="Arial" w:hAnsi="Arial"/>
                <w:sz w:val="20"/>
              </w:rPr>
              <w:t>f. Arveldusteenuste osutamine seoses keskselt kliiritud tehingutega</w:t>
            </w:r>
          </w:p>
        </w:tc>
      </w:tr>
      <w:tr w:rsidRPr="00BE2643" w:rsidR="00A3063F" w:rsidTr="0020784C" w14:paraId="7EAC45DB" w14:textId="77777777">
        <w:trPr>
          <w:trHeight w:val="300"/>
        </w:trPr>
        <w:tc>
          <w:tcPr>
            <w:tcW w:w="6804" w:type="dxa"/>
            <w:gridSpan w:val="2"/>
            <w:tcBorders>
              <w:left w:val="nil"/>
              <w:right w:val="nil"/>
            </w:tcBorders>
            <w:noWrap/>
            <w:hideMark/>
          </w:tcPr>
          <w:p w:rsidRPr="00BE2643" w:rsidR="00A3063F" w:rsidP="0020784C" w:rsidRDefault="00A3063F" w14:paraId="7C898AAB" w14:textId="77777777">
            <w:pPr>
              <w:ind w:firstLine="200" w:firstLineChars="100"/>
              <w:rPr>
                <w:rFonts w:ascii="Arial" w:hAnsi="Arial" w:eastAsia="Times New Roman" w:cs="Arial"/>
                <w:sz w:val="20"/>
                <w:szCs w:val="20"/>
              </w:rPr>
            </w:pPr>
            <w:r w:rsidRPr="00BE2643">
              <w:rPr>
                <w:rFonts w:ascii="Arial" w:hAnsi="Arial"/>
                <w:sz w:val="20"/>
              </w:rPr>
              <w:t xml:space="preserve">g. Hoiul olevate varade keskmine väärtus kvartalis </w:t>
            </w:r>
          </w:p>
        </w:tc>
        <w:tc>
          <w:tcPr>
            <w:tcW w:w="2745" w:type="dxa"/>
            <w:tcBorders>
              <w:left w:val="nil"/>
              <w:right w:val="nil"/>
            </w:tcBorders>
            <w:noWrap/>
            <w:hideMark/>
          </w:tcPr>
          <w:p w:rsidRPr="00BE2643" w:rsidR="00A3063F" w:rsidP="0020784C" w:rsidRDefault="00A3063F" w14:paraId="4399CF23"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DF995B4" w14:textId="77777777">
        <w:trPr>
          <w:trHeight w:val="300"/>
        </w:trPr>
        <w:tc>
          <w:tcPr>
            <w:tcW w:w="6804" w:type="dxa"/>
            <w:gridSpan w:val="2"/>
            <w:tcBorders>
              <w:left w:val="nil"/>
              <w:bottom w:val="single" w:color="auto" w:sz="4" w:space="0"/>
              <w:right w:val="nil"/>
            </w:tcBorders>
            <w:noWrap/>
            <w:hideMark/>
          </w:tcPr>
          <w:p w:rsidRPr="00BE2643" w:rsidR="00A3063F" w:rsidP="0020784C" w:rsidRDefault="00A3063F" w14:paraId="3200E216" w14:textId="77777777">
            <w:pPr>
              <w:ind w:firstLine="200" w:firstLineChars="100"/>
              <w:rPr>
                <w:rFonts w:ascii="Arial" w:hAnsi="Arial" w:eastAsia="Times New Roman" w:cs="Arial"/>
                <w:sz w:val="20"/>
                <w:szCs w:val="20"/>
              </w:rPr>
            </w:pPr>
            <w:r w:rsidRPr="00BE2643">
              <w:rPr>
                <w:rFonts w:ascii="Arial" w:hAnsi="Arial"/>
                <w:sz w:val="20"/>
              </w:rPr>
              <w:t xml:space="preserve">h. Hoiul olevate varade kuu keskmine väärtus </w:t>
            </w:r>
          </w:p>
        </w:tc>
        <w:tc>
          <w:tcPr>
            <w:tcW w:w="2745" w:type="dxa"/>
            <w:tcBorders>
              <w:left w:val="nil"/>
              <w:bottom w:val="single" w:color="auto" w:sz="4" w:space="0"/>
              <w:right w:val="nil"/>
            </w:tcBorders>
            <w:noWrap/>
            <w:hideMark/>
          </w:tcPr>
          <w:p w:rsidRPr="00BE2643" w:rsidR="00A3063F" w:rsidP="0020784C" w:rsidRDefault="00A3063F" w14:paraId="66EE45D3"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73E86C1C" w14:textId="77777777">
        <w:trPr>
          <w:trHeight w:val="300"/>
        </w:trPr>
        <w:tc>
          <w:tcPr>
            <w:tcW w:w="6804" w:type="dxa"/>
            <w:gridSpan w:val="2"/>
            <w:tcBorders>
              <w:left w:val="nil"/>
              <w:bottom w:val="nil"/>
              <w:right w:val="nil"/>
            </w:tcBorders>
            <w:noWrap/>
          </w:tcPr>
          <w:p w:rsidRPr="00BE2643" w:rsidR="00A3063F" w:rsidP="0020784C" w:rsidRDefault="00A3063F" w14:paraId="4AF1035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BE2643" w:rsidR="00A3063F" w:rsidP="0020784C" w:rsidRDefault="00A3063F" w14:paraId="1B1AF2FC" w14:textId="77777777">
            <w:pPr>
              <w:jc w:val="center"/>
              <w:rPr>
                <w:rFonts w:ascii="Arial" w:hAnsi="Arial" w:eastAsia="Times New Roman" w:cs="Arial"/>
                <w:b/>
                <w:bCs/>
                <w:sz w:val="20"/>
                <w:szCs w:val="20"/>
                <w:lang w:eastAsia="en-GB"/>
              </w:rPr>
            </w:pPr>
          </w:p>
        </w:tc>
      </w:tr>
      <w:tr w:rsidRPr="00BE2643" w:rsidR="00A3063F" w:rsidTr="0020784C" w14:paraId="4D99EE78" w14:textId="77777777">
        <w:trPr>
          <w:trHeight w:val="300"/>
        </w:trPr>
        <w:tc>
          <w:tcPr>
            <w:tcW w:w="6804" w:type="dxa"/>
            <w:gridSpan w:val="2"/>
            <w:tcBorders>
              <w:top w:val="nil"/>
              <w:left w:val="nil"/>
              <w:right w:val="nil"/>
            </w:tcBorders>
            <w:noWrap/>
            <w:hideMark/>
          </w:tcPr>
          <w:p w:rsidRPr="00BE2643" w:rsidR="00A3063F" w:rsidP="0020784C" w:rsidRDefault="00A3063F" w14:paraId="368861B6" w14:textId="77777777">
            <w:pPr>
              <w:rPr>
                <w:rFonts w:ascii="Arial" w:hAnsi="Arial" w:eastAsia="Times New Roman" w:cs="Arial"/>
                <w:b/>
                <w:bCs/>
                <w:sz w:val="20"/>
                <w:szCs w:val="20"/>
              </w:rPr>
            </w:pPr>
            <w:r w:rsidRPr="00BE2643">
              <w:rPr>
                <w:rFonts w:ascii="Arial" w:hAnsi="Arial"/>
                <w:b/>
                <w:sz w:val="20"/>
              </w:rPr>
              <w:t>20. jagu. Keerukuse kirjed</w:t>
            </w:r>
          </w:p>
        </w:tc>
        <w:tc>
          <w:tcPr>
            <w:tcW w:w="2745" w:type="dxa"/>
            <w:tcBorders>
              <w:top w:val="nil"/>
              <w:left w:val="nil"/>
              <w:right w:val="nil"/>
            </w:tcBorders>
            <w:hideMark/>
          </w:tcPr>
          <w:p w:rsidRPr="00BE2643" w:rsidR="00A3063F" w:rsidP="0020784C" w:rsidRDefault="00A3063F" w14:paraId="2919608E"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31B8276E" w14:textId="77777777">
        <w:trPr>
          <w:trHeight w:val="300"/>
        </w:trPr>
        <w:tc>
          <w:tcPr>
            <w:tcW w:w="6804" w:type="dxa"/>
            <w:gridSpan w:val="2"/>
            <w:tcBorders>
              <w:left w:val="nil"/>
              <w:right w:val="nil"/>
            </w:tcBorders>
            <w:noWrap/>
            <w:hideMark/>
          </w:tcPr>
          <w:p w:rsidRPr="00BE2643" w:rsidR="00A3063F" w:rsidP="0020784C" w:rsidRDefault="00A3063F" w14:paraId="255E44FE" w14:textId="77777777">
            <w:pPr>
              <w:ind w:firstLine="200" w:firstLineChars="100"/>
              <w:rPr>
                <w:rFonts w:ascii="Arial" w:hAnsi="Arial" w:eastAsia="Times New Roman" w:cs="Arial"/>
                <w:sz w:val="20"/>
                <w:szCs w:val="20"/>
              </w:rPr>
            </w:pPr>
            <w:r w:rsidRPr="00BE2643">
              <w:rPr>
                <w:rFonts w:ascii="Arial" w:hAnsi="Arial"/>
                <w:sz w:val="20"/>
              </w:rPr>
              <w:t>a. Börsiväliste tuletisinstrumentide näitaja (vana näitaja)</w:t>
            </w:r>
          </w:p>
        </w:tc>
        <w:tc>
          <w:tcPr>
            <w:tcW w:w="2745" w:type="dxa"/>
            <w:tcBorders>
              <w:left w:val="nil"/>
              <w:right w:val="nil"/>
            </w:tcBorders>
            <w:noWrap/>
            <w:hideMark/>
          </w:tcPr>
          <w:p w:rsidRPr="00BE2643" w:rsidR="00A3063F" w:rsidP="0020784C" w:rsidRDefault="00A3063F" w14:paraId="2C897E1F" w14:textId="77777777">
            <w:pPr>
              <w:jc w:val="right"/>
              <w:rPr>
                <w:rFonts w:ascii="Arial" w:hAnsi="Arial" w:eastAsia="Times New Roman" w:cs="Arial"/>
                <w:sz w:val="20"/>
                <w:szCs w:val="20"/>
              </w:rPr>
            </w:pPr>
            <w:r w:rsidRPr="00BE2643">
              <w:rPr>
                <w:rFonts w:ascii="Arial" w:hAnsi="Arial"/>
                <w:sz w:val="20"/>
              </w:rPr>
              <w:t> </w:t>
            </w:r>
          </w:p>
        </w:tc>
      </w:tr>
      <w:tr w:rsidRPr="00BE2643" w:rsidR="00A3063F" w:rsidTr="0020784C" w14:paraId="5724D4D0" w14:textId="77777777">
        <w:trPr>
          <w:trHeight w:val="300"/>
        </w:trPr>
        <w:tc>
          <w:tcPr>
            <w:tcW w:w="6804" w:type="dxa"/>
            <w:gridSpan w:val="2"/>
            <w:tcBorders>
              <w:left w:val="nil"/>
              <w:right w:val="nil"/>
            </w:tcBorders>
            <w:noWrap/>
          </w:tcPr>
          <w:p w:rsidRPr="00BE2643" w:rsidR="00A3063F" w:rsidP="0020784C" w:rsidRDefault="00A3063F" w14:paraId="00CD7B56" w14:textId="77777777">
            <w:pPr>
              <w:ind w:left="171" w:firstLine="28" w:firstLineChars="14"/>
              <w:rPr>
                <w:rFonts w:ascii="Arial" w:hAnsi="Arial" w:eastAsia="Times New Roman" w:cs="Arial"/>
                <w:sz w:val="20"/>
                <w:szCs w:val="20"/>
              </w:rPr>
            </w:pPr>
            <w:r w:rsidRPr="00BE2643">
              <w:rPr>
                <w:rFonts w:ascii="Arial" w:hAnsi="Arial"/>
                <w:sz w:val="20"/>
              </w:rPr>
              <w:t>b. Börsiväliste tuletisinstrumentide tinglik väärtus, sh kindlustusvaldkonna tütarettevõtjad:</w:t>
            </w:r>
          </w:p>
        </w:tc>
        <w:tc>
          <w:tcPr>
            <w:tcW w:w="2745" w:type="dxa"/>
            <w:tcBorders>
              <w:left w:val="nil"/>
              <w:right w:val="nil"/>
            </w:tcBorders>
            <w:noWrap/>
          </w:tcPr>
          <w:p w:rsidRPr="00BE2643" w:rsidR="00A3063F" w:rsidP="0020784C" w:rsidRDefault="00A3063F" w14:paraId="66013395" w14:textId="77777777">
            <w:pPr>
              <w:jc w:val="right"/>
              <w:rPr>
                <w:rFonts w:ascii="Arial" w:hAnsi="Arial" w:eastAsia="Times New Roman" w:cs="Arial"/>
                <w:sz w:val="20"/>
                <w:szCs w:val="20"/>
                <w:lang w:eastAsia="en-GB"/>
              </w:rPr>
            </w:pPr>
          </w:p>
        </w:tc>
      </w:tr>
      <w:tr w:rsidRPr="00BE2643" w:rsidR="00A3063F" w:rsidTr="0020784C" w14:paraId="6174F3E4" w14:textId="77777777">
        <w:trPr>
          <w:trHeight w:val="300"/>
        </w:trPr>
        <w:tc>
          <w:tcPr>
            <w:tcW w:w="6804" w:type="dxa"/>
            <w:gridSpan w:val="2"/>
            <w:tcBorders>
              <w:left w:val="nil"/>
              <w:right w:val="nil"/>
            </w:tcBorders>
            <w:noWrap/>
          </w:tcPr>
          <w:p w:rsidRPr="00BE2643" w:rsidR="00A3063F" w:rsidP="0020784C" w:rsidRDefault="00A3063F" w14:paraId="3B051444" w14:textId="77777777">
            <w:pPr>
              <w:ind w:left="313"/>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Keskse vastaspoole kaudu kliiritud, milles grupp (sh kindlustusvaldkonna tütarettevõtjad) täitis finantsvahendaja rolli (keskse vastaspoole pool)</w:t>
            </w:r>
          </w:p>
        </w:tc>
        <w:tc>
          <w:tcPr>
            <w:tcW w:w="2745" w:type="dxa"/>
            <w:tcBorders>
              <w:left w:val="nil"/>
              <w:right w:val="nil"/>
            </w:tcBorders>
            <w:noWrap/>
          </w:tcPr>
          <w:p w:rsidRPr="00BE2643" w:rsidR="00A3063F" w:rsidP="0020784C" w:rsidRDefault="00A3063F" w14:paraId="4CE75356" w14:textId="77777777">
            <w:pPr>
              <w:jc w:val="right"/>
              <w:rPr>
                <w:rFonts w:ascii="Arial" w:hAnsi="Arial" w:eastAsia="Times New Roman" w:cs="Arial"/>
                <w:sz w:val="20"/>
                <w:szCs w:val="20"/>
                <w:lang w:eastAsia="en-GB"/>
              </w:rPr>
            </w:pPr>
          </w:p>
        </w:tc>
      </w:tr>
      <w:tr w:rsidRPr="00BE2643" w:rsidR="00A3063F" w:rsidTr="0020784C" w14:paraId="40DB32CB" w14:textId="77777777">
        <w:trPr>
          <w:trHeight w:val="300"/>
        </w:trPr>
        <w:tc>
          <w:tcPr>
            <w:tcW w:w="6804" w:type="dxa"/>
            <w:gridSpan w:val="2"/>
            <w:tcBorders>
              <w:left w:val="nil"/>
              <w:right w:val="nil"/>
            </w:tcBorders>
            <w:noWrap/>
          </w:tcPr>
          <w:p w:rsidRPr="00BE2643" w:rsidR="00A3063F" w:rsidP="0020784C" w:rsidRDefault="00A3063F" w14:paraId="5EBD5003" w14:textId="77777777">
            <w:pPr>
              <w:ind w:left="313" w:firstLine="58" w:firstLineChars="29"/>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 xml:space="preserve">Keskse vastaspoole kaudu kliiritud, milles grupp (sh kindlustusvaldkonna tütarettevõtjad) täitis finantsvahendaja rolli (kliendi pool) </w:t>
            </w:r>
          </w:p>
        </w:tc>
        <w:tc>
          <w:tcPr>
            <w:tcW w:w="2745" w:type="dxa"/>
            <w:tcBorders>
              <w:left w:val="nil"/>
              <w:right w:val="nil"/>
            </w:tcBorders>
            <w:noWrap/>
          </w:tcPr>
          <w:p w:rsidRPr="00BE2643" w:rsidR="00A3063F" w:rsidP="0020784C" w:rsidRDefault="00A3063F" w14:paraId="1FB3694B" w14:textId="77777777">
            <w:pPr>
              <w:jc w:val="right"/>
              <w:rPr>
                <w:rFonts w:ascii="Arial" w:hAnsi="Arial" w:eastAsia="Times New Roman" w:cs="Arial"/>
                <w:sz w:val="20"/>
                <w:szCs w:val="20"/>
                <w:lang w:eastAsia="en-GB"/>
              </w:rPr>
            </w:pPr>
          </w:p>
        </w:tc>
      </w:tr>
      <w:tr w:rsidRPr="00BE2643" w:rsidR="00A3063F" w:rsidTr="0020784C" w14:paraId="5691BEE3" w14:textId="77777777">
        <w:trPr>
          <w:trHeight w:val="300"/>
        </w:trPr>
        <w:tc>
          <w:tcPr>
            <w:tcW w:w="6804" w:type="dxa"/>
            <w:gridSpan w:val="2"/>
            <w:tcBorders>
              <w:left w:val="nil"/>
              <w:right w:val="nil"/>
            </w:tcBorders>
            <w:noWrap/>
          </w:tcPr>
          <w:p w:rsidRPr="00BE2643" w:rsidR="00A3063F" w:rsidP="0020784C" w:rsidRDefault="00A3063F" w14:paraId="343879B4" w14:textId="77777777">
            <w:pPr>
              <w:ind w:left="313"/>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 xml:space="preserve">Keskse vastaspoole kaudu kliiritud, milles grupp (sh kindlustusvaldkonna tütarettevõtjad) täitis vahendaja rolli </w:t>
            </w:r>
          </w:p>
        </w:tc>
        <w:tc>
          <w:tcPr>
            <w:tcW w:w="2745" w:type="dxa"/>
            <w:tcBorders>
              <w:left w:val="nil"/>
              <w:right w:val="nil"/>
            </w:tcBorders>
            <w:noWrap/>
          </w:tcPr>
          <w:p w:rsidRPr="00BE2643" w:rsidR="00A3063F" w:rsidP="0020784C" w:rsidRDefault="00A3063F" w14:paraId="75A1ADB4" w14:textId="77777777">
            <w:pPr>
              <w:jc w:val="right"/>
              <w:rPr>
                <w:rFonts w:ascii="Arial" w:hAnsi="Arial" w:eastAsia="Times New Roman" w:cs="Arial"/>
                <w:sz w:val="20"/>
                <w:szCs w:val="20"/>
                <w:lang w:eastAsia="en-GB"/>
              </w:rPr>
            </w:pPr>
          </w:p>
        </w:tc>
      </w:tr>
      <w:tr w:rsidRPr="00BE2643" w:rsidR="00A3063F" w:rsidTr="0020784C" w14:paraId="436EB33E" w14:textId="77777777">
        <w:trPr>
          <w:trHeight w:val="300"/>
        </w:trPr>
        <w:tc>
          <w:tcPr>
            <w:tcW w:w="6804" w:type="dxa"/>
            <w:gridSpan w:val="2"/>
            <w:tcBorders>
              <w:left w:val="nil"/>
              <w:right w:val="nil"/>
            </w:tcBorders>
            <w:noWrap/>
          </w:tcPr>
          <w:p w:rsidRPr="00BE2643" w:rsidR="00A3063F" w:rsidP="0020784C" w:rsidRDefault="00A3063F" w14:paraId="3054E4E8" w14:textId="77777777">
            <w:pPr>
              <w:ind w:left="313" w:hanging="1"/>
              <w:rPr>
                <w:rFonts w:ascii="Arial" w:hAnsi="Arial" w:eastAsia="Times New Roman" w:cs="Arial"/>
                <w:sz w:val="20"/>
                <w:szCs w:val="20"/>
              </w:rPr>
            </w:pPr>
            <w:r w:rsidRPr="00BE2643">
              <w:rPr>
                <w:rFonts w:ascii="Arial" w:hAnsi="Arial"/>
                <w:sz w:val="20"/>
                <w:lang w:eastAsia="en-GB"/>
              </w:rPr>
              <w:t xml:space="preserve">(4) </w:t>
            </w:r>
            <w:r w:rsidRPr="00BE2643">
              <w:rPr>
                <w:rFonts w:ascii="Arial" w:hAnsi="Arial"/>
                <w:sz w:val="20"/>
              </w:rPr>
              <w:t>Keskse vastaspoole kaudu kliiritud, milles grupp (sh kindlustusvaldkonna tütarettevõtjad) kauples oma arvel</w:t>
            </w:r>
          </w:p>
        </w:tc>
        <w:tc>
          <w:tcPr>
            <w:tcW w:w="2745" w:type="dxa"/>
            <w:tcBorders>
              <w:left w:val="nil"/>
              <w:right w:val="nil"/>
            </w:tcBorders>
            <w:noWrap/>
          </w:tcPr>
          <w:p w:rsidRPr="00BE2643" w:rsidR="00A3063F" w:rsidP="0020784C" w:rsidRDefault="00A3063F" w14:paraId="43DE54F9" w14:textId="77777777">
            <w:pPr>
              <w:jc w:val="right"/>
              <w:rPr>
                <w:rFonts w:ascii="Arial" w:hAnsi="Arial" w:eastAsia="Times New Roman" w:cs="Arial"/>
                <w:sz w:val="20"/>
                <w:szCs w:val="20"/>
                <w:lang w:eastAsia="en-GB"/>
              </w:rPr>
            </w:pPr>
          </w:p>
        </w:tc>
      </w:tr>
      <w:tr w:rsidRPr="00BE2643" w:rsidR="00A3063F" w:rsidTr="0020784C" w14:paraId="31D2B078" w14:textId="77777777">
        <w:trPr>
          <w:trHeight w:val="300"/>
        </w:trPr>
        <w:tc>
          <w:tcPr>
            <w:tcW w:w="6804" w:type="dxa"/>
            <w:gridSpan w:val="2"/>
            <w:tcBorders>
              <w:left w:val="nil"/>
              <w:right w:val="nil"/>
            </w:tcBorders>
            <w:noWrap/>
          </w:tcPr>
          <w:p w:rsidRPr="00BE2643" w:rsidR="00A3063F" w:rsidP="0020784C" w:rsidRDefault="00A3063F" w14:paraId="08DF22C0" w14:textId="77777777">
            <w:pPr>
              <w:ind w:left="171" w:firstLine="28" w:firstLineChars="14"/>
              <w:rPr>
                <w:rFonts w:ascii="Arial" w:hAnsi="Arial" w:eastAsia="Times New Roman" w:cs="Arial"/>
                <w:sz w:val="20"/>
                <w:szCs w:val="20"/>
              </w:rPr>
            </w:pPr>
            <w:r w:rsidRPr="00BE2643">
              <w:rPr>
                <w:rFonts w:ascii="Arial" w:hAnsi="Arial"/>
                <w:sz w:val="20"/>
              </w:rPr>
              <w:t>c. Keskse vastaspoole kaudu kliiritud börsivälised tuletisinstrumendid (LIBORi üleminekuperioodi välistamine)</w:t>
            </w:r>
          </w:p>
        </w:tc>
        <w:tc>
          <w:tcPr>
            <w:tcW w:w="2745" w:type="dxa"/>
            <w:tcBorders>
              <w:left w:val="nil"/>
              <w:right w:val="nil"/>
            </w:tcBorders>
            <w:noWrap/>
          </w:tcPr>
          <w:p w:rsidRPr="00BE2643" w:rsidR="00A3063F" w:rsidP="0020784C" w:rsidRDefault="00A3063F" w14:paraId="7344CF54" w14:textId="77777777">
            <w:pPr>
              <w:jc w:val="right"/>
              <w:rPr>
                <w:rFonts w:ascii="Arial" w:hAnsi="Arial" w:eastAsia="Times New Roman" w:cs="Arial"/>
                <w:sz w:val="20"/>
                <w:szCs w:val="20"/>
                <w:lang w:eastAsia="en-GB"/>
              </w:rPr>
            </w:pPr>
          </w:p>
        </w:tc>
      </w:tr>
      <w:tr w:rsidRPr="00BE2643" w:rsidR="00A3063F" w:rsidTr="0020784C" w14:paraId="64A22BCA" w14:textId="77777777">
        <w:trPr>
          <w:trHeight w:val="300"/>
        </w:trPr>
        <w:tc>
          <w:tcPr>
            <w:tcW w:w="6804" w:type="dxa"/>
            <w:gridSpan w:val="2"/>
            <w:tcBorders>
              <w:left w:val="nil"/>
              <w:right w:val="nil"/>
            </w:tcBorders>
            <w:noWrap/>
          </w:tcPr>
          <w:p w:rsidRPr="00BE2643" w:rsidR="00A3063F" w:rsidP="0020784C" w:rsidRDefault="00A3063F" w14:paraId="7AC8B53F" w14:textId="77777777">
            <w:pPr>
              <w:ind w:left="171" w:firstLine="28" w:firstLineChars="14"/>
              <w:rPr>
                <w:rFonts w:ascii="Arial" w:hAnsi="Arial" w:eastAsia="Times New Roman" w:cs="Arial"/>
                <w:sz w:val="20"/>
                <w:szCs w:val="20"/>
              </w:rPr>
            </w:pPr>
            <w:r w:rsidRPr="00BE2643">
              <w:rPr>
                <w:rFonts w:ascii="Arial" w:hAnsi="Arial"/>
                <w:sz w:val="20"/>
              </w:rPr>
              <w:t xml:space="preserve">d. Börsiväliste tuletisinstrumentide tingliku väärtuse keskmine väärtus kvartalis </w:t>
            </w:r>
          </w:p>
        </w:tc>
        <w:tc>
          <w:tcPr>
            <w:tcW w:w="2745" w:type="dxa"/>
            <w:tcBorders>
              <w:left w:val="nil"/>
              <w:right w:val="nil"/>
            </w:tcBorders>
            <w:noWrap/>
          </w:tcPr>
          <w:p w:rsidRPr="00BE2643" w:rsidR="00A3063F" w:rsidP="0020784C" w:rsidRDefault="00A3063F" w14:paraId="00DE20EF" w14:textId="77777777">
            <w:pPr>
              <w:jc w:val="right"/>
              <w:rPr>
                <w:rFonts w:ascii="Arial" w:hAnsi="Arial" w:eastAsia="Times New Roman" w:cs="Arial"/>
                <w:sz w:val="20"/>
                <w:szCs w:val="20"/>
                <w:lang w:eastAsia="en-GB"/>
              </w:rPr>
            </w:pPr>
          </w:p>
        </w:tc>
      </w:tr>
      <w:tr w:rsidRPr="00BE2643" w:rsidR="00A3063F" w:rsidTr="0020784C" w14:paraId="4CB23998" w14:textId="77777777">
        <w:trPr>
          <w:trHeight w:val="300"/>
        </w:trPr>
        <w:tc>
          <w:tcPr>
            <w:tcW w:w="6804" w:type="dxa"/>
            <w:gridSpan w:val="2"/>
            <w:tcBorders>
              <w:left w:val="nil"/>
              <w:right w:val="nil"/>
            </w:tcBorders>
            <w:noWrap/>
          </w:tcPr>
          <w:p w:rsidRPr="00BE2643" w:rsidR="00A3063F" w:rsidP="0020784C" w:rsidRDefault="00A3063F" w14:paraId="3C76E2B7" w14:textId="77777777">
            <w:pPr>
              <w:ind w:left="171" w:firstLine="28" w:firstLineChars="14"/>
              <w:rPr>
                <w:rFonts w:ascii="Arial" w:hAnsi="Arial" w:eastAsia="Times New Roman" w:cs="Arial"/>
                <w:sz w:val="20"/>
                <w:szCs w:val="20"/>
              </w:rPr>
            </w:pPr>
            <w:r w:rsidRPr="00BE2643">
              <w:rPr>
                <w:rFonts w:ascii="Arial" w:hAnsi="Arial"/>
                <w:sz w:val="20"/>
              </w:rPr>
              <w:lastRenderedPageBreak/>
              <w:t xml:space="preserve">e. Börsiväliste tuletisinstrumentide tingliku väärtuse keskmine väärtus kuus </w:t>
            </w:r>
          </w:p>
        </w:tc>
        <w:tc>
          <w:tcPr>
            <w:tcW w:w="2745" w:type="dxa"/>
            <w:tcBorders>
              <w:left w:val="nil"/>
              <w:right w:val="nil"/>
            </w:tcBorders>
            <w:noWrap/>
          </w:tcPr>
          <w:p w:rsidRPr="00BE2643" w:rsidR="00A3063F" w:rsidP="0020784C" w:rsidRDefault="00A3063F" w14:paraId="37E44EDD" w14:textId="77777777">
            <w:pPr>
              <w:jc w:val="right"/>
              <w:rPr>
                <w:rFonts w:ascii="Arial" w:hAnsi="Arial" w:eastAsia="Times New Roman" w:cs="Arial"/>
                <w:sz w:val="20"/>
                <w:szCs w:val="20"/>
                <w:lang w:eastAsia="en-GB"/>
              </w:rPr>
            </w:pPr>
          </w:p>
        </w:tc>
      </w:tr>
      <w:tr w:rsidRPr="00BE2643" w:rsidR="00A3063F" w:rsidTr="0020784C" w14:paraId="7F63EABD" w14:textId="77777777">
        <w:trPr>
          <w:trHeight w:val="300"/>
        </w:trPr>
        <w:tc>
          <w:tcPr>
            <w:tcW w:w="6804" w:type="dxa"/>
            <w:gridSpan w:val="2"/>
            <w:tcBorders>
              <w:left w:val="nil"/>
              <w:right w:val="nil"/>
            </w:tcBorders>
            <w:noWrap/>
          </w:tcPr>
          <w:p w:rsidRPr="00BE2643" w:rsidR="00A3063F" w:rsidP="0020784C" w:rsidRDefault="00A3063F" w14:paraId="6C5856BB" w14:textId="77777777">
            <w:pPr>
              <w:ind w:firstLine="200" w:firstLineChars="100"/>
              <w:rPr>
                <w:rFonts w:ascii="Arial" w:hAnsi="Arial" w:eastAsia="Times New Roman" w:cs="Arial"/>
                <w:sz w:val="20"/>
                <w:szCs w:val="20"/>
              </w:rPr>
            </w:pPr>
            <w:r w:rsidRPr="00BE2643">
              <w:rPr>
                <w:rFonts w:ascii="Arial" w:hAnsi="Arial"/>
                <w:sz w:val="20"/>
              </w:rPr>
              <w:t xml:space="preserve">f. Kaubeldavate ja müügivalmis väärtpaberite keskmine väärtus kvartalis </w:t>
            </w:r>
          </w:p>
        </w:tc>
        <w:tc>
          <w:tcPr>
            <w:tcW w:w="2745" w:type="dxa"/>
            <w:tcBorders>
              <w:left w:val="nil"/>
              <w:right w:val="nil"/>
            </w:tcBorders>
            <w:noWrap/>
          </w:tcPr>
          <w:p w:rsidRPr="00BE2643" w:rsidR="00A3063F" w:rsidP="0020784C" w:rsidRDefault="00A3063F" w14:paraId="14042DF6" w14:textId="77777777">
            <w:pPr>
              <w:jc w:val="right"/>
              <w:rPr>
                <w:rFonts w:ascii="Arial" w:hAnsi="Arial" w:eastAsia="Times New Roman" w:cs="Arial"/>
                <w:sz w:val="20"/>
                <w:szCs w:val="20"/>
                <w:lang w:eastAsia="en-GB"/>
              </w:rPr>
            </w:pPr>
          </w:p>
        </w:tc>
      </w:tr>
      <w:tr w:rsidRPr="00BE2643" w:rsidR="00A3063F" w:rsidTr="0020784C" w14:paraId="66730EFE" w14:textId="77777777">
        <w:trPr>
          <w:trHeight w:val="300"/>
        </w:trPr>
        <w:tc>
          <w:tcPr>
            <w:tcW w:w="6804" w:type="dxa"/>
            <w:gridSpan w:val="2"/>
            <w:tcBorders>
              <w:left w:val="nil"/>
              <w:right w:val="nil"/>
            </w:tcBorders>
            <w:noWrap/>
          </w:tcPr>
          <w:p w:rsidRPr="00BE2643" w:rsidR="00A3063F" w:rsidP="0020784C" w:rsidRDefault="00A3063F" w14:paraId="37315397" w14:textId="77777777">
            <w:pPr>
              <w:ind w:firstLine="200" w:firstLineChars="100"/>
              <w:rPr>
                <w:rFonts w:ascii="Arial" w:hAnsi="Arial" w:eastAsia="Times New Roman" w:cs="Arial"/>
                <w:sz w:val="20"/>
                <w:szCs w:val="20"/>
              </w:rPr>
            </w:pPr>
            <w:r w:rsidRPr="00BE2643">
              <w:rPr>
                <w:rFonts w:ascii="Arial" w:hAnsi="Arial"/>
                <w:sz w:val="20"/>
              </w:rPr>
              <w:t xml:space="preserve">g. Kaubeldavate ja müügivalmis väärtpaberite keskmine väärtus kuus </w:t>
            </w:r>
          </w:p>
        </w:tc>
        <w:tc>
          <w:tcPr>
            <w:tcW w:w="2745" w:type="dxa"/>
            <w:tcBorders>
              <w:left w:val="nil"/>
              <w:right w:val="nil"/>
            </w:tcBorders>
            <w:noWrap/>
          </w:tcPr>
          <w:p w:rsidRPr="00BE2643" w:rsidR="00A3063F" w:rsidP="0020784C" w:rsidRDefault="00A3063F" w14:paraId="7A60964D" w14:textId="77777777">
            <w:pPr>
              <w:jc w:val="right"/>
              <w:rPr>
                <w:rFonts w:ascii="Arial" w:hAnsi="Arial" w:eastAsia="Times New Roman" w:cs="Arial"/>
                <w:sz w:val="20"/>
                <w:szCs w:val="20"/>
                <w:lang w:eastAsia="en-GB"/>
              </w:rPr>
            </w:pPr>
          </w:p>
        </w:tc>
      </w:tr>
      <w:tr w:rsidRPr="00BE2643" w:rsidR="00A3063F" w:rsidTr="0020784C" w14:paraId="1693E2B7" w14:textId="77777777">
        <w:trPr>
          <w:trHeight w:val="300"/>
        </w:trPr>
        <w:tc>
          <w:tcPr>
            <w:tcW w:w="6804" w:type="dxa"/>
            <w:gridSpan w:val="2"/>
            <w:tcBorders>
              <w:left w:val="nil"/>
              <w:right w:val="nil"/>
            </w:tcBorders>
            <w:noWrap/>
          </w:tcPr>
          <w:p w:rsidRPr="00BE2643" w:rsidR="00A3063F" w:rsidP="0020784C" w:rsidRDefault="00A3063F" w14:paraId="67130C66" w14:textId="77777777">
            <w:pPr>
              <w:ind w:firstLine="200" w:firstLineChars="100"/>
              <w:rPr>
                <w:rFonts w:ascii="Arial" w:hAnsi="Arial" w:eastAsia="Times New Roman" w:cs="Arial"/>
                <w:sz w:val="20"/>
                <w:szCs w:val="20"/>
              </w:rPr>
            </w:pPr>
            <w:r w:rsidRPr="00BE2643">
              <w:rPr>
                <w:rFonts w:ascii="Arial" w:hAnsi="Arial"/>
                <w:sz w:val="20"/>
              </w:rPr>
              <w:t>h. 3. taseme varade näitaja (vana näitaja)</w:t>
            </w:r>
          </w:p>
        </w:tc>
        <w:tc>
          <w:tcPr>
            <w:tcW w:w="2745" w:type="dxa"/>
            <w:tcBorders>
              <w:left w:val="nil"/>
              <w:right w:val="nil"/>
            </w:tcBorders>
            <w:noWrap/>
          </w:tcPr>
          <w:p w:rsidRPr="00BE2643" w:rsidR="00A3063F" w:rsidP="0020784C" w:rsidRDefault="00A3063F" w14:paraId="60CF94FF" w14:textId="77777777">
            <w:pPr>
              <w:jc w:val="right"/>
              <w:rPr>
                <w:rFonts w:ascii="Arial" w:hAnsi="Arial" w:eastAsia="Times New Roman" w:cs="Arial"/>
                <w:sz w:val="20"/>
                <w:szCs w:val="20"/>
                <w:lang w:eastAsia="en-GB"/>
              </w:rPr>
            </w:pPr>
          </w:p>
        </w:tc>
      </w:tr>
      <w:tr w:rsidRPr="00BE2643" w:rsidR="00A3063F" w:rsidTr="0020784C" w14:paraId="10413883" w14:textId="77777777">
        <w:trPr>
          <w:trHeight w:val="300"/>
        </w:trPr>
        <w:tc>
          <w:tcPr>
            <w:tcW w:w="6804" w:type="dxa"/>
            <w:gridSpan w:val="2"/>
            <w:tcBorders>
              <w:left w:val="nil"/>
              <w:right w:val="nil"/>
            </w:tcBorders>
            <w:noWrap/>
          </w:tcPr>
          <w:p w:rsidRPr="00BE2643" w:rsidR="00A3063F" w:rsidP="0020784C" w:rsidRDefault="00A3063F" w14:paraId="426D456C" w14:textId="77777777">
            <w:pPr>
              <w:ind w:firstLine="200" w:firstLineChars="100"/>
              <w:rPr>
                <w:rFonts w:ascii="Arial" w:hAnsi="Arial" w:eastAsia="Times New Roman" w:cs="Arial"/>
                <w:sz w:val="20"/>
                <w:szCs w:val="20"/>
              </w:rPr>
            </w:pPr>
            <w:r w:rsidRPr="00BE2643">
              <w:rPr>
                <w:rFonts w:ascii="Arial" w:hAnsi="Arial"/>
                <w:sz w:val="20"/>
              </w:rPr>
              <w:t xml:space="preserve">i. 3. taseme varade keskmine väärtus kvartalis </w:t>
            </w:r>
          </w:p>
        </w:tc>
        <w:tc>
          <w:tcPr>
            <w:tcW w:w="2745" w:type="dxa"/>
            <w:tcBorders>
              <w:left w:val="nil"/>
              <w:right w:val="nil"/>
            </w:tcBorders>
            <w:noWrap/>
          </w:tcPr>
          <w:p w:rsidRPr="00BE2643" w:rsidR="00A3063F" w:rsidP="0020784C" w:rsidRDefault="00A3063F" w14:paraId="750D09E3" w14:textId="77777777">
            <w:pPr>
              <w:jc w:val="right"/>
              <w:rPr>
                <w:rFonts w:ascii="Arial" w:hAnsi="Arial" w:eastAsia="Times New Roman" w:cs="Arial"/>
                <w:sz w:val="20"/>
                <w:szCs w:val="20"/>
                <w:lang w:eastAsia="en-GB"/>
              </w:rPr>
            </w:pPr>
          </w:p>
        </w:tc>
      </w:tr>
      <w:tr w:rsidRPr="00BE2643" w:rsidR="00A3063F" w:rsidTr="0020784C" w14:paraId="4E3B594A" w14:textId="77777777">
        <w:trPr>
          <w:trHeight w:val="300"/>
        </w:trPr>
        <w:tc>
          <w:tcPr>
            <w:tcW w:w="6804" w:type="dxa"/>
            <w:gridSpan w:val="2"/>
            <w:tcBorders>
              <w:left w:val="nil"/>
              <w:right w:val="nil"/>
            </w:tcBorders>
            <w:noWrap/>
          </w:tcPr>
          <w:p w:rsidRPr="00BE2643" w:rsidR="00A3063F" w:rsidP="0020784C" w:rsidRDefault="00A3063F" w14:paraId="3121B48F" w14:textId="77777777">
            <w:pPr>
              <w:ind w:firstLine="200" w:firstLineChars="100"/>
              <w:rPr>
                <w:rFonts w:ascii="Arial" w:hAnsi="Arial" w:eastAsia="Times New Roman" w:cs="Arial"/>
                <w:sz w:val="20"/>
                <w:szCs w:val="20"/>
              </w:rPr>
            </w:pPr>
            <w:r w:rsidRPr="00BE2643">
              <w:rPr>
                <w:rFonts w:ascii="Arial" w:hAnsi="Arial"/>
                <w:sz w:val="20"/>
              </w:rPr>
              <w:t xml:space="preserve">j. 3. taseme varade keskmine väärtus kuus  </w:t>
            </w:r>
          </w:p>
        </w:tc>
        <w:tc>
          <w:tcPr>
            <w:tcW w:w="2745" w:type="dxa"/>
            <w:tcBorders>
              <w:left w:val="nil"/>
              <w:right w:val="nil"/>
            </w:tcBorders>
            <w:noWrap/>
          </w:tcPr>
          <w:p w:rsidRPr="00BE2643" w:rsidR="00A3063F" w:rsidP="0020784C" w:rsidRDefault="00A3063F" w14:paraId="7518A9EA" w14:textId="77777777">
            <w:pPr>
              <w:jc w:val="right"/>
              <w:rPr>
                <w:rFonts w:ascii="Arial" w:hAnsi="Arial" w:eastAsia="Times New Roman" w:cs="Arial"/>
                <w:sz w:val="20"/>
                <w:szCs w:val="20"/>
                <w:lang w:eastAsia="en-GB"/>
              </w:rPr>
            </w:pPr>
          </w:p>
        </w:tc>
      </w:tr>
      <w:tr w:rsidRPr="00BE2643" w:rsidR="00A3063F" w:rsidTr="0020784C" w14:paraId="3D683647" w14:textId="77777777">
        <w:trPr>
          <w:trHeight w:val="300"/>
        </w:trPr>
        <w:tc>
          <w:tcPr>
            <w:tcW w:w="6804" w:type="dxa"/>
            <w:gridSpan w:val="2"/>
            <w:tcBorders>
              <w:left w:val="nil"/>
              <w:right w:val="nil"/>
            </w:tcBorders>
            <w:noWrap/>
          </w:tcPr>
          <w:p w:rsidRPr="00BE2643" w:rsidR="00A3063F" w:rsidP="0020784C" w:rsidRDefault="00A3063F" w14:paraId="55DD3948" w14:textId="77777777">
            <w:pPr>
              <w:ind w:firstLine="200" w:firstLineChars="100"/>
              <w:rPr>
                <w:rFonts w:ascii="Arial" w:hAnsi="Arial" w:eastAsia="Times New Roman" w:cs="Arial"/>
                <w:sz w:val="20"/>
                <w:szCs w:val="20"/>
              </w:rPr>
            </w:pPr>
            <w:r w:rsidRPr="00BE2643">
              <w:rPr>
                <w:rFonts w:ascii="Arial" w:hAnsi="Arial"/>
                <w:sz w:val="20"/>
              </w:rPr>
              <w:t>k. 2. taseme varad, sh kindlustusvaldkonna tütarettevõtjad</w:t>
            </w:r>
          </w:p>
        </w:tc>
        <w:tc>
          <w:tcPr>
            <w:tcW w:w="2745" w:type="dxa"/>
            <w:tcBorders>
              <w:left w:val="nil"/>
              <w:right w:val="nil"/>
            </w:tcBorders>
            <w:noWrap/>
          </w:tcPr>
          <w:p w:rsidRPr="00BE2643" w:rsidR="00A3063F" w:rsidP="0020784C" w:rsidRDefault="00A3063F" w14:paraId="22EB7159" w14:textId="77777777">
            <w:pPr>
              <w:jc w:val="right"/>
              <w:rPr>
                <w:rFonts w:ascii="Arial" w:hAnsi="Arial" w:eastAsia="Times New Roman" w:cs="Arial"/>
                <w:sz w:val="20"/>
                <w:szCs w:val="20"/>
                <w:lang w:eastAsia="en-GB"/>
              </w:rPr>
            </w:pPr>
          </w:p>
        </w:tc>
      </w:tr>
      <w:tr w:rsidRPr="00BE2643" w:rsidR="00A3063F" w:rsidTr="0020784C" w14:paraId="44D7FACE" w14:textId="77777777">
        <w:trPr>
          <w:trHeight w:val="300"/>
        </w:trPr>
        <w:tc>
          <w:tcPr>
            <w:tcW w:w="6804" w:type="dxa"/>
            <w:gridSpan w:val="2"/>
            <w:tcBorders>
              <w:left w:val="nil"/>
              <w:right w:val="nil"/>
            </w:tcBorders>
            <w:noWrap/>
          </w:tcPr>
          <w:p w:rsidRPr="00BE2643" w:rsidR="00A3063F" w:rsidP="0020784C" w:rsidRDefault="00A3063F" w14:paraId="61F71E8D" w14:textId="77777777">
            <w:pPr>
              <w:ind w:left="454" w:hanging="141"/>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2. taseme varad, sh kindlustusvaldkonna tütarettevõtjad, kliiritud keskse vastaspoole kaudu</w:t>
            </w:r>
          </w:p>
        </w:tc>
        <w:tc>
          <w:tcPr>
            <w:tcW w:w="2745" w:type="dxa"/>
            <w:tcBorders>
              <w:left w:val="nil"/>
              <w:right w:val="nil"/>
            </w:tcBorders>
            <w:noWrap/>
          </w:tcPr>
          <w:p w:rsidRPr="00BE2643" w:rsidR="00A3063F" w:rsidP="0020784C" w:rsidRDefault="00A3063F" w14:paraId="605C027A" w14:textId="77777777">
            <w:pPr>
              <w:jc w:val="right"/>
              <w:rPr>
                <w:rFonts w:ascii="Arial" w:hAnsi="Arial" w:eastAsia="Times New Roman" w:cs="Arial"/>
                <w:sz w:val="20"/>
                <w:szCs w:val="20"/>
                <w:lang w:eastAsia="en-GB"/>
              </w:rPr>
            </w:pPr>
          </w:p>
        </w:tc>
      </w:tr>
      <w:tr w:rsidRPr="00BE2643" w:rsidR="00A3063F" w:rsidTr="0020784C" w14:paraId="791BB354" w14:textId="77777777">
        <w:trPr>
          <w:trHeight w:val="300"/>
        </w:trPr>
        <w:tc>
          <w:tcPr>
            <w:tcW w:w="6804" w:type="dxa"/>
            <w:gridSpan w:val="2"/>
            <w:tcBorders>
              <w:left w:val="nil"/>
              <w:right w:val="nil"/>
            </w:tcBorders>
            <w:noWrap/>
          </w:tcPr>
          <w:p w:rsidRPr="00BE2643" w:rsidR="00A3063F" w:rsidP="0020784C" w:rsidRDefault="00A3063F" w14:paraId="2CBD8DAC" w14:textId="77777777">
            <w:pPr>
              <w:ind w:left="454" w:hanging="141"/>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2. taseme varad, sh kindlustusvaldkonna tütarettevõtjad, kahepoolselt arveldatud</w:t>
            </w:r>
          </w:p>
        </w:tc>
        <w:tc>
          <w:tcPr>
            <w:tcW w:w="2745" w:type="dxa"/>
            <w:tcBorders>
              <w:left w:val="nil"/>
              <w:right w:val="nil"/>
            </w:tcBorders>
            <w:noWrap/>
          </w:tcPr>
          <w:p w:rsidRPr="00BE2643" w:rsidR="00A3063F" w:rsidP="0020784C" w:rsidRDefault="00A3063F" w14:paraId="7EF0DB58" w14:textId="77777777">
            <w:pPr>
              <w:jc w:val="right"/>
              <w:rPr>
                <w:rFonts w:ascii="Arial" w:hAnsi="Arial" w:eastAsia="Times New Roman" w:cs="Arial"/>
                <w:sz w:val="20"/>
                <w:szCs w:val="20"/>
                <w:lang w:eastAsia="en-GB"/>
              </w:rPr>
            </w:pPr>
          </w:p>
        </w:tc>
      </w:tr>
      <w:tr w:rsidRPr="00BE2643" w:rsidR="00A3063F" w:rsidTr="0020784C" w14:paraId="6786212F" w14:textId="77777777">
        <w:trPr>
          <w:trHeight w:val="300"/>
        </w:trPr>
        <w:tc>
          <w:tcPr>
            <w:tcW w:w="6804" w:type="dxa"/>
            <w:gridSpan w:val="2"/>
            <w:tcBorders>
              <w:left w:val="nil"/>
              <w:right w:val="nil"/>
            </w:tcBorders>
            <w:noWrap/>
          </w:tcPr>
          <w:p w:rsidRPr="00BE2643" w:rsidR="00A3063F" w:rsidP="0020784C" w:rsidRDefault="00A3063F" w14:paraId="36BBA12A" w14:textId="77777777">
            <w:pPr>
              <w:ind w:firstLine="313"/>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Muud 2. taseme varad, sh kindlustusvaldkonna tütarettevõtjad</w:t>
            </w:r>
          </w:p>
        </w:tc>
        <w:tc>
          <w:tcPr>
            <w:tcW w:w="2745" w:type="dxa"/>
            <w:tcBorders>
              <w:left w:val="nil"/>
              <w:right w:val="nil"/>
            </w:tcBorders>
            <w:noWrap/>
          </w:tcPr>
          <w:p w:rsidRPr="00BE2643" w:rsidR="00A3063F" w:rsidP="0020784C" w:rsidRDefault="00A3063F" w14:paraId="5722A7A4" w14:textId="77777777">
            <w:pPr>
              <w:jc w:val="right"/>
              <w:rPr>
                <w:rFonts w:ascii="Arial" w:hAnsi="Arial" w:eastAsia="Times New Roman" w:cs="Arial"/>
                <w:sz w:val="20"/>
                <w:szCs w:val="20"/>
                <w:lang w:eastAsia="en-GB"/>
              </w:rPr>
            </w:pPr>
          </w:p>
        </w:tc>
      </w:tr>
      <w:tr w:rsidRPr="00BE2643" w:rsidR="00A3063F" w:rsidTr="0020784C" w14:paraId="44F0F56A"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1FB3E36A" w14:textId="77777777">
            <w:pPr>
              <w:ind w:firstLine="200" w:firstLineChars="100"/>
              <w:rPr>
                <w:rFonts w:ascii="Arial" w:hAnsi="Arial" w:eastAsia="Times New Roman" w:cs="Arial"/>
                <w:sz w:val="20"/>
                <w:szCs w:val="20"/>
              </w:rPr>
            </w:pPr>
            <w:r w:rsidRPr="00BE2643">
              <w:rPr>
                <w:rFonts w:ascii="Arial" w:hAnsi="Arial"/>
                <w:sz w:val="20"/>
              </w:rPr>
              <w:t>l. 2. taseme varade keskmine väärtus, sh kindlustusvaldkonna tütarettevõtjad</w:t>
            </w:r>
          </w:p>
        </w:tc>
        <w:tc>
          <w:tcPr>
            <w:tcW w:w="2745" w:type="dxa"/>
            <w:tcBorders>
              <w:left w:val="nil"/>
              <w:bottom w:val="single" w:color="auto" w:sz="4" w:space="0"/>
              <w:right w:val="nil"/>
            </w:tcBorders>
            <w:noWrap/>
          </w:tcPr>
          <w:p w:rsidRPr="00BE2643" w:rsidR="00A3063F" w:rsidP="0020784C" w:rsidRDefault="00A3063F" w14:paraId="53281D18" w14:textId="77777777">
            <w:pPr>
              <w:jc w:val="right"/>
              <w:rPr>
                <w:rFonts w:ascii="Arial" w:hAnsi="Arial" w:eastAsia="Times New Roman" w:cs="Arial"/>
                <w:sz w:val="20"/>
                <w:szCs w:val="20"/>
                <w:lang w:eastAsia="en-GB"/>
              </w:rPr>
            </w:pPr>
          </w:p>
        </w:tc>
      </w:tr>
      <w:tr w:rsidRPr="00BE2643" w:rsidR="00A3063F" w:rsidTr="0020784C" w14:paraId="6FD52CD7" w14:textId="77777777">
        <w:trPr>
          <w:trHeight w:val="300"/>
        </w:trPr>
        <w:tc>
          <w:tcPr>
            <w:tcW w:w="6804" w:type="dxa"/>
            <w:gridSpan w:val="2"/>
            <w:tcBorders>
              <w:left w:val="nil"/>
              <w:bottom w:val="nil"/>
              <w:right w:val="nil"/>
            </w:tcBorders>
            <w:noWrap/>
          </w:tcPr>
          <w:p w:rsidRPr="00BE2643" w:rsidR="00A3063F" w:rsidP="0020784C" w:rsidRDefault="00A3063F" w14:paraId="6B03B939"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BE2643" w:rsidR="00A3063F" w:rsidP="0020784C" w:rsidRDefault="00A3063F" w14:paraId="08E5B81F" w14:textId="77777777">
            <w:pPr>
              <w:jc w:val="center"/>
              <w:rPr>
                <w:rFonts w:ascii="Arial" w:hAnsi="Arial" w:eastAsia="Times New Roman" w:cs="Arial"/>
                <w:b/>
                <w:bCs/>
                <w:sz w:val="20"/>
                <w:szCs w:val="20"/>
                <w:lang w:eastAsia="en-GB"/>
              </w:rPr>
            </w:pPr>
          </w:p>
        </w:tc>
      </w:tr>
      <w:tr w:rsidRPr="00BE2643" w:rsidR="00A3063F" w:rsidTr="0020784C" w14:paraId="6FB74C7D" w14:textId="77777777">
        <w:trPr>
          <w:trHeight w:val="300"/>
        </w:trPr>
        <w:tc>
          <w:tcPr>
            <w:tcW w:w="6804" w:type="dxa"/>
            <w:gridSpan w:val="2"/>
            <w:tcBorders>
              <w:top w:val="nil"/>
              <w:left w:val="nil"/>
              <w:right w:val="nil"/>
            </w:tcBorders>
            <w:noWrap/>
          </w:tcPr>
          <w:p w:rsidRPr="00BE2643" w:rsidR="00A3063F" w:rsidP="0020784C" w:rsidRDefault="00A3063F" w14:paraId="60261B0E" w14:textId="77777777">
            <w:pPr>
              <w:rPr>
                <w:rFonts w:ascii="Arial" w:hAnsi="Arial" w:eastAsia="Times New Roman" w:cs="Arial"/>
                <w:sz w:val="20"/>
                <w:szCs w:val="20"/>
              </w:rPr>
            </w:pPr>
            <w:r w:rsidRPr="00BE2643">
              <w:rPr>
                <w:rFonts w:ascii="Arial" w:hAnsi="Arial"/>
                <w:b/>
                <w:sz w:val="20"/>
              </w:rPr>
              <w:t>21. jagu. Jurisdiktsiooniülese tegevuse kirjed</w:t>
            </w:r>
          </w:p>
        </w:tc>
        <w:tc>
          <w:tcPr>
            <w:tcW w:w="2745" w:type="dxa"/>
            <w:tcBorders>
              <w:top w:val="nil"/>
              <w:left w:val="nil"/>
              <w:right w:val="nil"/>
            </w:tcBorders>
            <w:noWrap/>
          </w:tcPr>
          <w:p w:rsidRPr="00BE2643" w:rsidR="00A3063F" w:rsidP="0020784C" w:rsidRDefault="00A3063F" w14:paraId="30E8D81B" w14:textId="77777777">
            <w:pPr>
              <w:jc w:val="center"/>
              <w:rPr>
                <w:rFonts w:ascii="Arial" w:hAnsi="Arial" w:eastAsia="Times New Roman" w:cs="Arial"/>
                <w:b/>
                <w:bCs/>
                <w:sz w:val="20"/>
                <w:szCs w:val="20"/>
              </w:rPr>
            </w:pPr>
            <w:r w:rsidRPr="00BE2643">
              <w:rPr>
                <w:rFonts w:ascii="Arial" w:hAnsi="Arial"/>
                <w:b/>
                <w:sz w:val="20"/>
              </w:rPr>
              <w:t>Summa</w:t>
            </w:r>
          </w:p>
        </w:tc>
      </w:tr>
      <w:tr w:rsidRPr="00BE2643" w:rsidR="00A3063F" w:rsidTr="0020784C" w14:paraId="4A7CE147" w14:textId="77777777">
        <w:trPr>
          <w:trHeight w:val="300"/>
        </w:trPr>
        <w:tc>
          <w:tcPr>
            <w:tcW w:w="6804" w:type="dxa"/>
            <w:gridSpan w:val="2"/>
            <w:tcBorders>
              <w:left w:val="nil"/>
              <w:right w:val="nil"/>
            </w:tcBorders>
            <w:noWrap/>
          </w:tcPr>
          <w:p w:rsidRPr="00BE2643" w:rsidR="00A3063F" w:rsidP="0020784C" w:rsidRDefault="00A3063F" w14:paraId="65FE3897" w14:textId="77777777">
            <w:pPr>
              <w:rPr>
                <w:rFonts w:ascii="Arial" w:hAnsi="Arial" w:eastAsia="Times New Roman" w:cs="Arial"/>
                <w:sz w:val="20"/>
                <w:szCs w:val="20"/>
              </w:rPr>
            </w:pPr>
            <w:r w:rsidRPr="00BE2643">
              <w:rPr>
                <w:rFonts w:ascii="Arial" w:hAnsi="Arial"/>
                <w:sz w:val="20"/>
              </w:rPr>
              <w:t>a. Jurisdiktsiooniüleste kohustuste näitaja (vana näitaja)</w:t>
            </w:r>
          </w:p>
        </w:tc>
        <w:tc>
          <w:tcPr>
            <w:tcW w:w="2745" w:type="dxa"/>
            <w:tcBorders>
              <w:left w:val="nil"/>
              <w:right w:val="nil"/>
            </w:tcBorders>
            <w:noWrap/>
          </w:tcPr>
          <w:p w:rsidRPr="00BE2643" w:rsidR="00A3063F" w:rsidP="0020784C" w:rsidRDefault="00A3063F" w14:paraId="64CDE952" w14:textId="77777777">
            <w:pPr>
              <w:jc w:val="right"/>
              <w:rPr>
                <w:rFonts w:ascii="Arial" w:hAnsi="Arial" w:eastAsia="Times New Roman" w:cs="Arial"/>
                <w:sz w:val="20"/>
                <w:szCs w:val="20"/>
                <w:lang w:eastAsia="en-GB"/>
              </w:rPr>
            </w:pPr>
          </w:p>
        </w:tc>
      </w:tr>
      <w:tr w:rsidRPr="00BE2643" w:rsidR="00A3063F" w:rsidTr="0020784C" w14:paraId="6D210174" w14:textId="77777777">
        <w:trPr>
          <w:trHeight w:val="300"/>
        </w:trPr>
        <w:tc>
          <w:tcPr>
            <w:tcW w:w="6804" w:type="dxa"/>
            <w:gridSpan w:val="2"/>
            <w:tcBorders>
              <w:left w:val="nil"/>
              <w:right w:val="nil"/>
            </w:tcBorders>
            <w:noWrap/>
          </w:tcPr>
          <w:p w:rsidRPr="00BE2643" w:rsidR="00A3063F" w:rsidP="0020784C" w:rsidRDefault="00A3063F" w14:paraId="33DB4F9D" w14:textId="77777777">
            <w:pPr>
              <w:ind w:left="313"/>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Välismaised kohustused (v.a tuletisinstrumendid ja kohalikud kohustused kohalikus valuutas)</w:t>
            </w:r>
          </w:p>
        </w:tc>
        <w:tc>
          <w:tcPr>
            <w:tcW w:w="2745" w:type="dxa"/>
            <w:tcBorders>
              <w:left w:val="nil"/>
              <w:right w:val="nil"/>
            </w:tcBorders>
            <w:noWrap/>
          </w:tcPr>
          <w:p w:rsidRPr="00BE2643" w:rsidR="00A3063F" w:rsidP="0020784C" w:rsidRDefault="00A3063F" w14:paraId="7F8A064F" w14:textId="77777777">
            <w:pPr>
              <w:jc w:val="right"/>
              <w:rPr>
                <w:rFonts w:ascii="Arial" w:hAnsi="Arial" w:eastAsia="Times New Roman" w:cs="Arial"/>
                <w:sz w:val="20"/>
                <w:szCs w:val="20"/>
                <w:lang w:eastAsia="en-GB"/>
              </w:rPr>
            </w:pPr>
          </w:p>
        </w:tc>
      </w:tr>
      <w:tr w:rsidRPr="00BE2643" w:rsidR="00A3063F" w:rsidTr="0020784C" w14:paraId="789EAC8B" w14:textId="77777777">
        <w:trPr>
          <w:trHeight w:val="300"/>
        </w:trPr>
        <w:tc>
          <w:tcPr>
            <w:tcW w:w="6804" w:type="dxa"/>
            <w:gridSpan w:val="2"/>
            <w:tcBorders>
              <w:left w:val="nil"/>
              <w:right w:val="nil"/>
            </w:tcBorders>
            <w:noWrap/>
          </w:tcPr>
          <w:p w:rsidRPr="00BE2643" w:rsidR="00A3063F" w:rsidP="0020784C" w:rsidRDefault="00A3063F" w14:paraId="2641A99E" w14:textId="77777777">
            <w:pPr>
              <w:ind w:left="-2" w:leftChars="-1" w:firstLine="312" w:firstLineChars="156"/>
              <w:rPr>
                <w:rFonts w:ascii="Arial" w:hAnsi="Arial" w:eastAsia="Times New Roman" w:cs="Arial"/>
                <w:sz w:val="20"/>
                <w:szCs w:val="20"/>
              </w:rPr>
            </w:pPr>
            <w:r w:rsidRPr="00BE2643">
              <w:rPr>
                <w:rFonts w:ascii="Arial" w:hAnsi="Arial"/>
                <w:sz w:val="20"/>
                <w:lang w:eastAsia="en-GB"/>
              </w:rPr>
              <w:t xml:space="preserve">(2) </w:t>
            </w:r>
            <w:r w:rsidRPr="00BE2643">
              <w:rPr>
                <w:rFonts w:ascii="Arial" w:hAnsi="Arial"/>
                <w:sz w:val="20"/>
              </w:rPr>
              <w:t>Kirje 21.a.(1) alla kuuluvad mis tahes välismaised kohustused seotud kontorite ees</w:t>
            </w:r>
          </w:p>
        </w:tc>
        <w:tc>
          <w:tcPr>
            <w:tcW w:w="2745" w:type="dxa"/>
            <w:tcBorders>
              <w:left w:val="nil"/>
              <w:right w:val="nil"/>
            </w:tcBorders>
            <w:noWrap/>
          </w:tcPr>
          <w:p w:rsidRPr="00BE2643" w:rsidR="00A3063F" w:rsidP="0020784C" w:rsidRDefault="00A3063F" w14:paraId="4014CA38" w14:textId="77777777">
            <w:pPr>
              <w:jc w:val="right"/>
              <w:rPr>
                <w:rFonts w:ascii="Arial" w:hAnsi="Arial" w:eastAsia="Times New Roman" w:cs="Arial"/>
                <w:sz w:val="20"/>
                <w:szCs w:val="20"/>
                <w:lang w:eastAsia="en-GB"/>
              </w:rPr>
            </w:pPr>
          </w:p>
        </w:tc>
      </w:tr>
      <w:tr w:rsidRPr="00BE2643" w:rsidR="00A3063F" w:rsidTr="0020784C" w14:paraId="795AA5EB" w14:textId="77777777">
        <w:trPr>
          <w:trHeight w:val="300"/>
        </w:trPr>
        <w:tc>
          <w:tcPr>
            <w:tcW w:w="6804" w:type="dxa"/>
            <w:gridSpan w:val="2"/>
            <w:tcBorders>
              <w:left w:val="nil"/>
              <w:right w:val="nil"/>
            </w:tcBorders>
            <w:noWrap/>
          </w:tcPr>
          <w:p w:rsidRPr="00BE2643" w:rsidR="00A3063F" w:rsidP="0020784C" w:rsidRDefault="00A3063F" w14:paraId="7A4E4767" w14:textId="77777777">
            <w:pPr>
              <w:ind w:left="-2" w:leftChars="-1" w:firstLine="312" w:firstLineChars="156"/>
              <w:rPr>
                <w:rFonts w:ascii="Arial" w:hAnsi="Arial" w:eastAsia="Times New Roman" w:cs="Arial"/>
                <w:sz w:val="20"/>
                <w:szCs w:val="20"/>
              </w:rPr>
            </w:pPr>
            <w:r w:rsidRPr="00BE2643">
              <w:rPr>
                <w:rFonts w:ascii="Arial" w:hAnsi="Arial"/>
                <w:sz w:val="20"/>
                <w:lang w:eastAsia="en-GB"/>
              </w:rPr>
              <w:t xml:space="preserve">(3) </w:t>
            </w:r>
            <w:r w:rsidRPr="00BE2643">
              <w:rPr>
                <w:rFonts w:ascii="Arial" w:hAnsi="Arial"/>
                <w:sz w:val="20"/>
              </w:rPr>
              <w:t>Kohalikud kohustused kohalikus valuutas (v.a tuletisinstrumentidega seotud tegevus)</w:t>
            </w:r>
          </w:p>
        </w:tc>
        <w:tc>
          <w:tcPr>
            <w:tcW w:w="2745" w:type="dxa"/>
            <w:tcBorders>
              <w:left w:val="nil"/>
              <w:right w:val="nil"/>
            </w:tcBorders>
            <w:noWrap/>
          </w:tcPr>
          <w:p w:rsidRPr="00BE2643" w:rsidR="00A3063F" w:rsidP="0020784C" w:rsidRDefault="00A3063F" w14:paraId="281644D0" w14:textId="77777777">
            <w:pPr>
              <w:jc w:val="right"/>
              <w:rPr>
                <w:rFonts w:ascii="Arial" w:hAnsi="Arial" w:eastAsia="Times New Roman" w:cs="Arial"/>
                <w:sz w:val="20"/>
                <w:szCs w:val="20"/>
                <w:lang w:eastAsia="en-GB"/>
              </w:rPr>
            </w:pPr>
          </w:p>
        </w:tc>
      </w:tr>
      <w:tr w:rsidRPr="00BE2643" w:rsidR="00A3063F" w:rsidTr="0020784C" w14:paraId="60349DA2" w14:textId="77777777">
        <w:trPr>
          <w:trHeight w:val="300"/>
        </w:trPr>
        <w:tc>
          <w:tcPr>
            <w:tcW w:w="6804" w:type="dxa"/>
            <w:gridSpan w:val="2"/>
            <w:tcBorders>
              <w:left w:val="nil"/>
              <w:right w:val="nil"/>
            </w:tcBorders>
            <w:noWrap/>
          </w:tcPr>
          <w:p w:rsidRPr="00BE2643" w:rsidR="00A3063F" w:rsidP="0020784C" w:rsidRDefault="00A3063F" w14:paraId="259C17B7" w14:textId="77777777">
            <w:pPr>
              <w:ind w:firstLine="200" w:firstLineChars="100"/>
              <w:rPr>
                <w:rFonts w:ascii="Arial" w:hAnsi="Arial" w:eastAsia="Times New Roman" w:cs="Arial"/>
                <w:sz w:val="20"/>
                <w:szCs w:val="20"/>
              </w:rPr>
            </w:pPr>
            <w:r w:rsidRPr="00BE2643">
              <w:rPr>
                <w:rFonts w:ascii="Arial" w:hAnsi="Arial"/>
                <w:sz w:val="20"/>
              </w:rPr>
              <w:t>b. Kohalikud kohustused kohalikus valuutas (sh tuletisinstrumentidega seotud tegevus)</w:t>
            </w:r>
          </w:p>
        </w:tc>
        <w:tc>
          <w:tcPr>
            <w:tcW w:w="2745" w:type="dxa"/>
            <w:tcBorders>
              <w:left w:val="nil"/>
              <w:right w:val="nil"/>
            </w:tcBorders>
            <w:noWrap/>
          </w:tcPr>
          <w:p w:rsidRPr="00BE2643" w:rsidR="00A3063F" w:rsidP="0020784C" w:rsidRDefault="00A3063F" w14:paraId="70469E52" w14:textId="77777777">
            <w:pPr>
              <w:jc w:val="right"/>
              <w:rPr>
                <w:rFonts w:ascii="Arial" w:hAnsi="Arial" w:eastAsia="Times New Roman" w:cs="Arial"/>
                <w:sz w:val="20"/>
                <w:szCs w:val="20"/>
                <w:lang w:eastAsia="en-GB"/>
              </w:rPr>
            </w:pPr>
          </w:p>
        </w:tc>
      </w:tr>
      <w:tr w:rsidRPr="00BE2643" w:rsidR="00A3063F" w:rsidTr="0020784C" w14:paraId="0B912DAB" w14:textId="77777777">
        <w:trPr>
          <w:trHeight w:val="300"/>
        </w:trPr>
        <w:tc>
          <w:tcPr>
            <w:tcW w:w="6804" w:type="dxa"/>
            <w:gridSpan w:val="2"/>
            <w:tcBorders>
              <w:left w:val="nil"/>
              <w:right w:val="nil"/>
            </w:tcBorders>
            <w:noWrap/>
          </w:tcPr>
          <w:p w:rsidRPr="00BE2643" w:rsidR="00A3063F" w:rsidP="0020784C" w:rsidRDefault="00A3063F" w14:paraId="5D9034C7" w14:textId="77777777">
            <w:pPr>
              <w:ind w:left="171" w:firstLine="28" w:firstLineChars="14"/>
              <w:rPr>
                <w:rFonts w:ascii="Arial" w:hAnsi="Arial" w:eastAsia="Times New Roman" w:cs="Arial"/>
                <w:sz w:val="20"/>
                <w:szCs w:val="20"/>
              </w:rPr>
            </w:pPr>
            <w:r w:rsidRPr="00BE2643">
              <w:rPr>
                <w:rFonts w:ascii="Arial" w:hAnsi="Arial"/>
                <w:sz w:val="20"/>
              </w:rPr>
              <w:t>c. Jurisdiktsiooniülesed kohalikud nõuded kohalikus valuutas (v.a tuletisinstrumentidega seotud tegevus)</w:t>
            </w:r>
          </w:p>
        </w:tc>
        <w:tc>
          <w:tcPr>
            <w:tcW w:w="2745" w:type="dxa"/>
            <w:tcBorders>
              <w:left w:val="nil"/>
              <w:right w:val="nil"/>
            </w:tcBorders>
            <w:noWrap/>
          </w:tcPr>
          <w:p w:rsidRPr="00BE2643" w:rsidR="00A3063F" w:rsidP="0020784C" w:rsidRDefault="00A3063F" w14:paraId="0045A9D6" w14:textId="77777777">
            <w:pPr>
              <w:jc w:val="right"/>
              <w:rPr>
                <w:rFonts w:ascii="Arial" w:hAnsi="Arial" w:eastAsia="Times New Roman" w:cs="Arial"/>
                <w:sz w:val="20"/>
                <w:szCs w:val="20"/>
                <w:lang w:eastAsia="en-GB"/>
              </w:rPr>
            </w:pPr>
          </w:p>
        </w:tc>
      </w:tr>
      <w:tr w:rsidRPr="00BE2643" w:rsidR="00A3063F" w:rsidTr="0020784C" w14:paraId="7F04C32D" w14:textId="77777777">
        <w:trPr>
          <w:trHeight w:val="300"/>
        </w:trPr>
        <w:tc>
          <w:tcPr>
            <w:tcW w:w="6804" w:type="dxa"/>
            <w:gridSpan w:val="2"/>
            <w:tcBorders>
              <w:left w:val="nil"/>
              <w:right w:val="nil"/>
            </w:tcBorders>
            <w:noWrap/>
          </w:tcPr>
          <w:p w:rsidRPr="00BE2643" w:rsidR="00A3063F" w:rsidP="0020784C" w:rsidRDefault="00A3063F" w14:paraId="5B91B211" w14:textId="77777777">
            <w:pPr>
              <w:ind w:left="171" w:firstLine="28" w:firstLineChars="14"/>
              <w:rPr>
                <w:rFonts w:ascii="Arial" w:hAnsi="Arial" w:eastAsia="Times New Roman" w:cs="Arial"/>
                <w:sz w:val="20"/>
                <w:szCs w:val="20"/>
              </w:rPr>
            </w:pPr>
            <w:r w:rsidRPr="00BE2643">
              <w:rPr>
                <w:rFonts w:ascii="Arial" w:hAnsi="Arial"/>
                <w:sz w:val="20"/>
              </w:rPr>
              <w:t>d. Jurisdiktsiooniülesed kohalikud nõuded kohalikus valuutas (sh tuletisinstrumentidega seotud tegevus)</w:t>
            </w:r>
          </w:p>
        </w:tc>
        <w:tc>
          <w:tcPr>
            <w:tcW w:w="2745" w:type="dxa"/>
            <w:tcBorders>
              <w:left w:val="nil"/>
              <w:right w:val="nil"/>
            </w:tcBorders>
            <w:noWrap/>
          </w:tcPr>
          <w:p w:rsidRPr="00BE2643" w:rsidR="00A3063F" w:rsidP="0020784C" w:rsidRDefault="00A3063F" w14:paraId="7F692030" w14:textId="77777777">
            <w:pPr>
              <w:jc w:val="right"/>
              <w:rPr>
                <w:rFonts w:ascii="Arial" w:hAnsi="Arial" w:eastAsia="Times New Roman" w:cs="Arial"/>
                <w:sz w:val="20"/>
                <w:szCs w:val="20"/>
                <w:lang w:eastAsia="en-GB"/>
              </w:rPr>
            </w:pPr>
          </w:p>
        </w:tc>
      </w:tr>
      <w:tr w:rsidRPr="00BE2643" w:rsidR="00A3063F" w:rsidTr="0020784C" w14:paraId="6F40B065" w14:textId="77777777">
        <w:trPr>
          <w:trHeight w:val="300"/>
        </w:trPr>
        <w:tc>
          <w:tcPr>
            <w:tcW w:w="6804" w:type="dxa"/>
            <w:gridSpan w:val="2"/>
            <w:tcBorders>
              <w:left w:val="nil"/>
              <w:right w:val="nil"/>
            </w:tcBorders>
            <w:noWrap/>
          </w:tcPr>
          <w:p w:rsidRPr="00BE2643" w:rsidR="00A3063F" w:rsidP="0020784C" w:rsidRDefault="00A3063F" w14:paraId="74C08B5B" w14:textId="77777777">
            <w:pPr>
              <w:ind w:left="171" w:firstLine="28" w:firstLineChars="14"/>
              <w:rPr>
                <w:rFonts w:ascii="Arial" w:hAnsi="Arial" w:eastAsia="Times New Roman" w:cs="Arial"/>
                <w:sz w:val="20"/>
                <w:szCs w:val="20"/>
              </w:rPr>
            </w:pPr>
            <w:r w:rsidRPr="00BE2643">
              <w:rPr>
                <w:rFonts w:ascii="Arial" w:hAnsi="Arial"/>
                <w:sz w:val="20"/>
              </w:rPr>
              <w:t>e. Välismaiste tuletisinstrumentide nõuded lõppriski alusel (ühtse kriisilahenduskorra käsitamisel ühtse jurisdiktsioonina)</w:t>
            </w:r>
          </w:p>
        </w:tc>
        <w:tc>
          <w:tcPr>
            <w:tcW w:w="2745" w:type="dxa"/>
            <w:tcBorders>
              <w:left w:val="nil"/>
              <w:right w:val="nil"/>
            </w:tcBorders>
            <w:noWrap/>
          </w:tcPr>
          <w:p w:rsidRPr="00BE2643" w:rsidR="00A3063F" w:rsidP="0020784C" w:rsidRDefault="00A3063F" w14:paraId="19AF258F" w14:textId="77777777">
            <w:pPr>
              <w:jc w:val="right"/>
              <w:rPr>
                <w:rFonts w:ascii="Arial" w:hAnsi="Arial" w:eastAsia="Times New Roman" w:cs="Arial"/>
                <w:sz w:val="20"/>
                <w:szCs w:val="20"/>
                <w:lang w:eastAsia="en-GB"/>
              </w:rPr>
            </w:pPr>
          </w:p>
        </w:tc>
      </w:tr>
      <w:tr w:rsidRPr="00BE2643" w:rsidR="00A3063F" w:rsidTr="0020784C" w14:paraId="67EF5093" w14:textId="77777777">
        <w:trPr>
          <w:trHeight w:val="300"/>
        </w:trPr>
        <w:tc>
          <w:tcPr>
            <w:tcW w:w="6804" w:type="dxa"/>
            <w:gridSpan w:val="2"/>
            <w:tcBorders>
              <w:left w:val="nil"/>
              <w:right w:val="nil"/>
            </w:tcBorders>
            <w:noWrap/>
          </w:tcPr>
          <w:p w:rsidRPr="00BE2643" w:rsidR="00A3063F" w:rsidP="0020784C" w:rsidRDefault="00A3063F" w14:paraId="1FBBFD8B" w14:textId="77777777">
            <w:pPr>
              <w:ind w:left="171" w:firstLine="28" w:firstLineChars="14"/>
              <w:rPr>
                <w:rFonts w:ascii="Arial" w:hAnsi="Arial" w:eastAsia="Times New Roman" w:cs="Arial"/>
                <w:sz w:val="20"/>
                <w:szCs w:val="20"/>
              </w:rPr>
            </w:pPr>
            <w:r w:rsidRPr="00BE2643">
              <w:rPr>
                <w:rFonts w:ascii="Arial" w:hAnsi="Arial"/>
                <w:sz w:val="20"/>
              </w:rPr>
              <w:t>f. Välismaiste tuletisinstrumentide nõuded lõppriski alusel (ühtse kriisilahenduskorra käsitamisel ühtse jurisdiktsioonina)</w:t>
            </w:r>
          </w:p>
        </w:tc>
        <w:tc>
          <w:tcPr>
            <w:tcW w:w="2745" w:type="dxa"/>
            <w:tcBorders>
              <w:left w:val="nil"/>
              <w:right w:val="nil"/>
            </w:tcBorders>
            <w:noWrap/>
          </w:tcPr>
          <w:p w:rsidRPr="00BE2643" w:rsidR="00A3063F" w:rsidP="0020784C" w:rsidRDefault="00A3063F" w14:paraId="09FA71E0" w14:textId="77777777">
            <w:pPr>
              <w:jc w:val="right"/>
              <w:rPr>
                <w:rFonts w:ascii="Arial" w:hAnsi="Arial" w:eastAsia="Times New Roman" w:cs="Arial"/>
                <w:sz w:val="20"/>
                <w:szCs w:val="20"/>
                <w:lang w:eastAsia="en-GB"/>
              </w:rPr>
            </w:pPr>
          </w:p>
        </w:tc>
      </w:tr>
      <w:tr w:rsidRPr="00BE2643" w:rsidR="00A3063F" w:rsidTr="0020784C" w14:paraId="4C68D169" w14:textId="77777777">
        <w:trPr>
          <w:trHeight w:val="300"/>
        </w:trPr>
        <w:tc>
          <w:tcPr>
            <w:tcW w:w="6804" w:type="dxa"/>
            <w:gridSpan w:val="2"/>
            <w:tcBorders>
              <w:left w:val="nil"/>
              <w:right w:val="nil"/>
            </w:tcBorders>
            <w:noWrap/>
          </w:tcPr>
          <w:p w:rsidRPr="00BE2643" w:rsidR="00A3063F" w:rsidP="0020784C" w:rsidRDefault="00A3063F" w14:paraId="62F30C10" w14:textId="77777777">
            <w:pPr>
              <w:ind w:left="171" w:firstLine="28" w:firstLineChars="14"/>
              <w:rPr>
                <w:rFonts w:ascii="Arial" w:hAnsi="Arial" w:eastAsia="Times New Roman" w:cs="Arial"/>
                <w:sz w:val="20"/>
                <w:szCs w:val="20"/>
              </w:rPr>
            </w:pPr>
            <w:r w:rsidRPr="00BE2643">
              <w:rPr>
                <w:rFonts w:ascii="Arial" w:hAnsi="Arial"/>
                <w:sz w:val="20"/>
              </w:rPr>
              <w:t>g. Välismaised kohustused kohese riski alusel, sh tuletisinstrumendid (ühtse kriisilahenduskorra käsitamisel ühtse jurisdiktsioonina)</w:t>
            </w:r>
          </w:p>
        </w:tc>
        <w:tc>
          <w:tcPr>
            <w:tcW w:w="2745" w:type="dxa"/>
            <w:tcBorders>
              <w:left w:val="nil"/>
              <w:right w:val="nil"/>
            </w:tcBorders>
            <w:noWrap/>
          </w:tcPr>
          <w:p w:rsidRPr="00BE2643" w:rsidR="00A3063F" w:rsidP="0020784C" w:rsidRDefault="00A3063F" w14:paraId="2122BAE6" w14:textId="77777777">
            <w:pPr>
              <w:jc w:val="right"/>
              <w:rPr>
                <w:rFonts w:ascii="Arial" w:hAnsi="Arial" w:eastAsia="Times New Roman" w:cs="Arial"/>
                <w:sz w:val="20"/>
                <w:szCs w:val="20"/>
                <w:lang w:eastAsia="en-GB"/>
              </w:rPr>
            </w:pPr>
          </w:p>
        </w:tc>
      </w:tr>
      <w:tr w:rsidRPr="00BE2643" w:rsidR="00A3063F" w:rsidTr="0020784C" w14:paraId="569463FC" w14:textId="77777777">
        <w:trPr>
          <w:trHeight w:val="300"/>
        </w:trPr>
        <w:tc>
          <w:tcPr>
            <w:tcW w:w="6804" w:type="dxa"/>
            <w:gridSpan w:val="2"/>
            <w:tcBorders>
              <w:left w:val="nil"/>
              <w:right w:val="nil"/>
            </w:tcBorders>
            <w:noWrap/>
          </w:tcPr>
          <w:p w:rsidRPr="00BE2643" w:rsidR="00A3063F" w:rsidP="0020784C" w:rsidRDefault="00A3063F" w14:paraId="6C368A66" w14:textId="77777777">
            <w:pPr>
              <w:ind w:left="171" w:firstLine="28" w:firstLineChars="14"/>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Välismaiste tuletisinstrumentide kohustused kohese riski alusel (ühtse kriisilahenduskorra käsitamisel ühtse jurisdiktsioonina)</w:t>
            </w:r>
          </w:p>
        </w:tc>
        <w:tc>
          <w:tcPr>
            <w:tcW w:w="2745" w:type="dxa"/>
            <w:tcBorders>
              <w:left w:val="nil"/>
              <w:right w:val="nil"/>
            </w:tcBorders>
            <w:noWrap/>
          </w:tcPr>
          <w:p w:rsidRPr="00BE2643" w:rsidR="00A3063F" w:rsidP="0020784C" w:rsidRDefault="00A3063F" w14:paraId="0368626B" w14:textId="77777777">
            <w:pPr>
              <w:jc w:val="right"/>
              <w:rPr>
                <w:rFonts w:ascii="Arial" w:hAnsi="Arial" w:eastAsia="Times New Roman" w:cs="Arial"/>
                <w:sz w:val="20"/>
                <w:szCs w:val="20"/>
                <w:lang w:eastAsia="en-GB"/>
              </w:rPr>
            </w:pPr>
          </w:p>
        </w:tc>
      </w:tr>
      <w:tr w:rsidRPr="00BE2643" w:rsidR="00A3063F" w:rsidTr="0020784C" w14:paraId="1A24783F" w14:textId="77777777">
        <w:trPr>
          <w:trHeight w:val="300"/>
        </w:trPr>
        <w:tc>
          <w:tcPr>
            <w:tcW w:w="6804" w:type="dxa"/>
            <w:gridSpan w:val="2"/>
            <w:tcBorders>
              <w:left w:val="nil"/>
              <w:right w:val="nil"/>
            </w:tcBorders>
            <w:noWrap/>
          </w:tcPr>
          <w:p w:rsidRPr="00BE2643" w:rsidR="00A3063F" w:rsidP="0020784C" w:rsidRDefault="00A3063F" w14:paraId="15CC8E78" w14:textId="77777777">
            <w:pPr>
              <w:ind w:firstLine="200" w:firstLineChars="100"/>
              <w:rPr>
                <w:rFonts w:ascii="Arial" w:hAnsi="Arial" w:eastAsia="Times New Roman" w:cs="Arial"/>
                <w:sz w:val="20"/>
                <w:szCs w:val="20"/>
              </w:rPr>
            </w:pPr>
            <w:r w:rsidRPr="00BE2643">
              <w:rPr>
                <w:rFonts w:ascii="Arial" w:hAnsi="Arial"/>
                <w:sz w:val="20"/>
              </w:rPr>
              <w:t>h. Jurisdiktsiooniülesed kohalikud nõuded kohalikus valuutas, v.a tuletisinstrumentidega seotud tegevus (ühtse kriisilahenduskorra käsitamisel ühtse jurisdiktsioonina)</w:t>
            </w:r>
          </w:p>
        </w:tc>
        <w:tc>
          <w:tcPr>
            <w:tcW w:w="2745" w:type="dxa"/>
            <w:tcBorders>
              <w:left w:val="nil"/>
              <w:right w:val="nil"/>
            </w:tcBorders>
            <w:noWrap/>
          </w:tcPr>
          <w:p w:rsidRPr="00BE2643" w:rsidR="00A3063F" w:rsidP="0020784C" w:rsidRDefault="00A3063F" w14:paraId="638255DA" w14:textId="77777777">
            <w:pPr>
              <w:jc w:val="right"/>
              <w:rPr>
                <w:rFonts w:ascii="Arial" w:hAnsi="Arial" w:eastAsia="Times New Roman" w:cs="Arial"/>
                <w:sz w:val="20"/>
                <w:szCs w:val="20"/>
                <w:lang w:eastAsia="en-GB"/>
              </w:rPr>
            </w:pPr>
          </w:p>
        </w:tc>
      </w:tr>
      <w:tr w:rsidRPr="00BE2643" w:rsidR="00A3063F" w:rsidTr="0020784C" w14:paraId="6F75630C" w14:textId="77777777">
        <w:trPr>
          <w:trHeight w:val="300"/>
        </w:trPr>
        <w:tc>
          <w:tcPr>
            <w:tcW w:w="6804" w:type="dxa"/>
            <w:gridSpan w:val="2"/>
            <w:tcBorders>
              <w:left w:val="nil"/>
              <w:right w:val="nil"/>
            </w:tcBorders>
            <w:noWrap/>
          </w:tcPr>
          <w:p w:rsidRPr="00BE2643" w:rsidR="00A3063F" w:rsidP="0020784C" w:rsidRDefault="00A3063F" w14:paraId="0425B985" w14:textId="77777777">
            <w:pPr>
              <w:ind w:left="171" w:firstLine="28" w:firstLineChars="14"/>
              <w:rPr>
                <w:rFonts w:ascii="Arial" w:hAnsi="Arial" w:eastAsia="Times New Roman" w:cs="Arial"/>
                <w:sz w:val="20"/>
                <w:szCs w:val="20"/>
              </w:rPr>
            </w:pPr>
            <w:r w:rsidRPr="00BE2643">
              <w:rPr>
                <w:rFonts w:ascii="Arial" w:hAnsi="Arial"/>
                <w:sz w:val="20"/>
              </w:rPr>
              <w:t>i. Jurisdiktsiooniülesed kohalikud nõuded kohalikus valuutas, v.a tuletisinstrumentidega seotud tegevus (ühtse kriisilahenduskorra käsitamisel ühtse jurisdiktsioonina)</w:t>
            </w:r>
          </w:p>
        </w:tc>
        <w:tc>
          <w:tcPr>
            <w:tcW w:w="2745" w:type="dxa"/>
            <w:tcBorders>
              <w:left w:val="nil"/>
              <w:right w:val="nil"/>
            </w:tcBorders>
            <w:noWrap/>
          </w:tcPr>
          <w:p w:rsidRPr="00BE2643" w:rsidR="00A3063F" w:rsidP="0020784C" w:rsidRDefault="00A3063F" w14:paraId="364AD25F" w14:textId="77777777">
            <w:pPr>
              <w:jc w:val="right"/>
              <w:rPr>
                <w:rFonts w:ascii="Arial" w:hAnsi="Arial" w:eastAsia="Times New Roman" w:cs="Arial"/>
                <w:sz w:val="20"/>
                <w:szCs w:val="20"/>
                <w:lang w:eastAsia="en-GB"/>
              </w:rPr>
            </w:pPr>
          </w:p>
        </w:tc>
      </w:tr>
      <w:tr w:rsidRPr="00BE2643" w:rsidR="00A3063F" w:rsidTr="0020784C" w14:paraId="4FAD7466" w14:textId="77777777">
        <w:trPr>
          <w:trHeight w:val="300"/>
        </w:trPr>
        <w:tc>
          <w:tcPr>
            <w:tcW w:w="6804" w:type="dxa"/>
            <w:gridSpan w:val="2"/>
            <w:tcBorders>
              <w:left w:val="nil"/>
              <w:right w:val="nil"/>
            </w:tcBorders>
            <w:noWrap/>
          </w:tcPr>
          <w:p w:rsidRPr="00BE2643" w:rsidR="00A3063F" w:rsidP="0020784C" w:rsidRDefault="00A3063F" w14:paraId="0565A9B7" w14:textId="77777777">
            <w:pPr>
              <w:ind w:left="171" w:firstLine="28" w:firstLineChars="14"/>
              <w:rPr>
                <w:rFonts w:ascii="Arial" w:hAnsi="Arial" w:eastAsia="Times New Roman" w:cs="Arial"/>
                <w:sz w:val="20"/>
                <w:szCs w:val="20"/>
              </w:rPr>
            </w:pPr>
            <w:r w:rsidRPr="00BE2643">
              <w:rPr>
                <w:rFonts w:ascii="Arial" w:hAnsi="Arial"/>
                <w:sz w:val="20"/>
              </w:rPr>
              <w:t>j. Välismaised kohustused, v.a tuletisinstrumendid ja kohalikud kohustused kohalikus valuutas (ühtse kriisilahenduskorra käsitamisel ühtse jurisdiktsioonina)</w:t>
            </w:r>
          </w:p>
        </w:tc>
        <w:tc>
          <w:tcPr>
            <w:tcW w:w="2745" w:type="dxa"/>
            <w:tcBorders>
              <w:left w:val="nil"/>
              <w:right w:val="nil"/>
            </w:tcBorders>
            <w:noWrap/>
          </w:tcPr>
          <w:p w:rsidRPr="00BE2643" w:rsidR="00A3063F" w:rsidP="0020784C" w:rsidRDefault="00A3063F" w14:paraId="282C89C1" w14:textId="77777777">
            <w:pPr>
              <w:jc w:val="right"/>
              <w:rPr>
                <w:rFonts w:ascii="Arial" w:hAnsi="Arial" w:eastAsia="Times New Roman" w:cs="Arial"/>
                <w:sz w:val="20"/>
                <w:szCs w:val="20"/>
                <w:lang w:eastAsia="en-GB"/>
              </w:rPr>
            </w:pPr>
          </w:p>
        </w:tc>
      </w:tr>
      <w:tr w:rsidRPr="00BE2643" w:rsidR="00A3063F" w:rsidTr="0020784C" w14:paraId="0F814556" w14:textId="77777777">
        <w:trPr>
          <w:trHeight w:val="300"/>
        </w:trPr>
        <w:tc>
          <w:tcPr>
            <w:tcW w:w="6804" w:type="dxa"/>
            <w:gridSpan w:val="2"/>
            <w:tcBorders>
              <w:left w:val="nil"/>
              <w:right w:val="nil"/>
            </w:tcBorders>
            <w:noWrap/>
          </w:tcPr>
          <w:p w:rsidRPr="00BE2643" w:rsidR="00A3063F" w:rsidP="0020784C" w:rsidRDefault="00A3063F" w14:paraId="4C574B3D" w14:textId="77777777">
            <w:pPr>
              <w:ind w:left="171" w:firstLine="28" w:firstLineChars="14"/>
              <w:rPr>
                <w:rFonts w:ascii="Arial" w:hAnsi="Arial" w:eastAsia="Times New Roman" w:cs="Arial"/>
                <w:sz w:val="20"/>
                <w:szCs w:val="20"/>
              </w:rPr>
            </w:pPr>
            <w:r w:rsidRPr="00BE2643">
              <w:rPr>
                <w:rFonts w:ascii="Arial" w:hAnsi="Arial"/>
                <w:sz w:val="20"/>
                <w:lang w:eastAsia="en-GB"/>
              </w:rPr>
              <w:t xml:space="preserve">(1) </w:t>
            </w:r>
            <w:r w:rsidRPr="00BE2643">
              <w:rPr>
                <w:rFonts w:ascii="Arial" w:hAnsi="Arial"/>
                <w:sz w:val="20"/>
              </w:rPr>
              <w:t>Kirje 20.j. alla kuuluvad mis tahes välismaised kohustused seotud kontorite ees (ühtse kriisilahenduskorra käsitamisel ühtse jurisdiktsioonina)</w:t>
            </w:r>
          </w:p>
        </w:tc>
        <w:tc>
          <w:tcPr>
            <w:tcW w:w="2745" w:type="dxa"/>
            <w:tcBorders>
              <w:left w:val="nil"/>
              <w:right w:val="nil"/>
            </w:tcBorders>
            <w:noWrap/>
          </w:tcPr>
          <w:p w:rsidRPr="00BE2643" w:rsidR="00A3063F" w:rsidP="0020784C" w:rsidRDefault="00A3063F" w14:paraId="4BEE495D" w14:textId="77777777">
            <w:pPr>
              <w:jc w:val="right"/>
              <w:rPr>
                <w:rFonts w:ascii="Arial" w:hAnsi="Arial" w:eastAsia="Times New Roman" w:cs="Arial"/>
                <w:sz w:val="20"/>
                <w:szCs w:val="20"/>
                <w:lang w:eastAsia="en-GB"/>
              </w:rPr>
            </w:pPr>
          </w:p>
        </w:tc>
      </w:tr>
      <w:tr w:rsidRPr="00BE2643" w:rsidR="00A3063F" w:rsidTr="0020784C" w14:paraId="5E09EBA8" w14:textId="77777777">
        <w:trPr>
          <w:trHeight w:val="300"/>
        </w:trPr>
        <w:tc>
          <w:tcPr>
            <w:tcW w:w="6804" w:type="dxa"/>
            <w:gridSpan w:val="2"/>
            <w:tcBorders>
              <w:left w:val="nil"/>
              <w:right w:val="nil"/>
            </w:tcBorders>
            <w:noWrap/>
          </w:tcPr>
          <w:p w:rsidRPr="00BE2643" w:rsidR="00A3063F" w:rsidP="0020784C" w:rsidRDefault="00A3063F" w14:paraId="6D4DB1D5" w14:textId="77777777">
            <w:pPr>
              <w:ind w:left="171" w:firstLine="28" w:firstLineChars="14"/>
              <w:rPr>
                <w:rFonts w:ascii="Arial" w:hAnsi="Arial" w:eastAsia="Times New Roman" w:cs="Arial"/>
                <w:sz w:val="20"/>
                <w:szCs w:val="20"/>
              </w:rPr>
            </w:pPr>
            <w:r w:rsidRPr="00BE2643">
              <w:rPr>
                <w:rFonts w:ascii="Arial" w:hAnsi="Arial"/>
                <w:sz w:val="20"/>
              </w:rPr>
              <w:lastRenderedPageBreak/>
              <w:t>k. Kohalikud kohustused kohalikus valuutas, v.a tuletisinstrumendid (ühtse kriisilahenduskorra käsitamisel ühtse jurisdiktsioonina)</w:t>
            </w:r>
          </w:p>
        </w:tc>
        <w:tc>
          <w:tcPr>
            <w:tcW w:w="2745" w:type="dxa"/>
            <w:tcBorders>
              <w:left w:val="nil"/>
              <w:right w:val="nil"/>
            </w:tcBorders>
            <w:noWrap/>
          </w:tcPr>
          <w:p w:rsidRPr="00BE2643" w:rsidR="00A3063F" w:rsidP="0020784C" w:rsidRDefault="00A3063F" w14:paraId="58AC1E0E" w14:textId="77777777">
            <w:pPr>
              <w:jc w:val="right"/>
              <w:rPr>
                <w:rFonts w:ascii="Arial" w:hAnsi="Arial" w:eastAsia="Times New Roman" w:cs="Arial"/>
                <w:sz w:val="20"/>
                <w:szCs w:val="20"/>
                <w:lang w:eastAsia="en-GB"/>
              </w:rPr>
            </w:pPr>
          </w:p>
        </w:tc>
      </w:tr>
      <w:tr w:rsidRPr="00BE2643" w:rsidR="00A3063F" w:rsidTr="0020784C" w14:paraId="7DB4F2EB" w14:textId="77777777">
        <w:trPr>
          <w:trHeight w:val="300"/>
        </w:trPr>
        <w:tc>
          <w:tcPr>
            <w:tcW w:w="6804" w:type="dxa"/>
            <w:gridSpan w:val="2"/>
            <w:tcBorders>
              <w:left w:val="nil"/>
              <w:right w:val="nil"/>
            </w:tcBorders>
            <w:noWrap/>
          </w:tcPr>
          <w:p w:rsidRPr="00BE2643" w:rsidR="00A3063F" w:rsidP="0020784C" w:rsidRDefault="00A3063F" w14:paraId="3DA26D70" w14:textId="77777777">
            <w:pPr>
              <w:ind w:left="171" w:firstLine="28" w:firstLineChars="14"/>
              <w:rPr>
                <w:rFonts w:ascii="Arial" w:hAnsi="Arial" w:eastAsia="Times New Roman" w:cs="Arial"/>
                <w:sz w:val="20"/>
                <w:szCs w:val="20"/>
              </w:rPr>
            </w:pPr>
            <w:r w:rsidRPr="00BE2643">
              <w:rPr>
                <w:rFonts w:ascii="Arial" w:hAnsi="Arial"/>
                <w:sz w:val="20"/>
              </w:rPr>
              <w:t>l. Kohalikud kohustused kohalikus valuutas, v.a tuletisinstrumendid (ühtse kriisilahenduskorra käsitamisel ühtse jurisdiktsioonina)</w:t>
            </w:r>
          </w:p>
        </w:tc>
        <w:tc>
          <w:tcPr>
            <w:tcW w:w="2745" w:type="dxa"/>
            <w:tcBorders>
              <w:left w:val="nil"/>
              <w:right w:val="nil"/>
            </w:tcBorders>
            <w:noWrap/>
          </w:tcPr>
          <w:p w:rsidRPr="00BE2643" w:rsidR="00A3063F" w:rsidP="0020784C" w:rsidRDefault="00A3063F" w14:paraId="1B4D40A0" w14:textId="77777777">
            <w:pPr>
              <w:jc w:val="right"/>
              <w:rPr>
                <w:rFonts w:ascii="Arial" w:hAnsi="Arial" w:eastAsia="Times New Roman" w:cs="Arial"/>
                <w:sz w:val="20"/>
                <w:szCs w:val="20"/>
                <w:lang w:eastAsia="en-GB"/>
              </w:rPr>
            </w:pPr>
          </w:p>
        </w:tc>
      </w:tr>
      <w:tr w:rsidRPr="00BE2643" w:rsidR="00A3063F" w:rsidTr="0020784C" w14:paraId="1C714DE1" w14:textId="77777777">
        <w:trPr>
          <w:trHeight w:val="300"/>
        </w:trPr>
        <w:tc>
          <w:tcPr>
            <w:tcW w:w="6804" w:type="dxa"/>
            <w:gridSpan w:val="2"/>
            <w:tcBorders>
              <w:left w:val="nil"/>
              <w:right w:val="nil"/>
            </w:tcBorders>
            <w:noWrap/>
          </w:tcPr>
          <w:p w:rsidRPr="00BE2643" w:rsidR="00A3063F" w:rsidP="0020784C" w:rsidRDefault="00A3063F" w14:paraId="21D81570" w14:textId="77777777">
            <w:pPr>
              <w:ind w:left="171" w:firstLine="28" w:firstLineChars="14"/>
              <w:rPr>
                <w:rFonts w:ascii="Arial" w:hAnsi="Arial" w:eastAsia="Times New Roman" w:cs="Arial"/>
                <w:sz w:val="20"/>
                <w:szCs w:val="20"/>
              </w:rPr>
            </w:pPr>
            <w:r w:rsidRPr="00BE2643">
              <w:rPr>
                <w:rFonts w:ascii="Arial" w:hAnsi="Arial"/>
                <w:sz w:val="20"/>
              </w:rPr>
              <w:t>m. Kohalike netopositsioonide summa kohalikus valuutas, sh tuletisinstrumendid, kui netosumma on positiivne</w:t>
            </w:r>
          </w:p>
        </w:tc>
        <w:tc>
          <w:tcPr>
            <w:tcW w:w="2745" w:type="dxa"/>
            <w:tcBorders>
              <w:left w:val="nil"/>
              <w:right w:val="nil"/>
            </w:tcBorders>
            <w:noWrap/>
          </w:tcPr>
          <w:p w:rsidRPr="00BE2643" w:rsidR="00A3063F" w:rsidP="0020784C" w:rsidRDefault="00A3063F" w14:paraId="79BB2B19" w14:textId="77777777">
            <w:pPr>
              <w:jc w:val="right"/>
              <w:rPr>
                <w:rFonts w:ascii="Arial" w:hAnsi="Arial" w:eastAsia="Times New Roman" w:cs="Arial"/>
                <w:sz w:val="20"/>
                <w:szCs w:val="20"/>
                <w:lang w:eastAsia="en-GB"/>
              </w:rPr>
            </w:pPr>
          </w:p>
        </w:tc>
      </w:tr>
      <w:tr w:rsidRPr="00BE2643" w:rsidR="00A3063F" w:rsidTr="0020784C" w14:paraId="45EF7E9F" w14:textId="77777777">
        <w:trPr>
          <w:trHeight w:val="300"/>
        </w:trPr>
        <w:tc>
          <w:tcPr>
            <w:tcW w:w="6804" w:type="dxa"/>
            <w:gridSpan w:val="2"/>
            <w:tcBorders>
              <w:left w:val="nil"/>
              <w:right w:val="nil"/>
            </w:tcBorders>
            <w:noWrap/>
          </w:tcPr>
          <w:p w:rsidRPr="00BE2643" w:rsidR="00A3063F" w:rsidP="0020784C" w:rsidRDefault="00A3063F" w14:paraId="41C56484" w14:textId="77777777">
            <w:pPr>
              <w:ind w:left="171" w:firstLine="28" w:firstLineChars="14"/>
              <w:rPr>
                <w:rFonts w:ascii="Arial" w:hAnsi="Arial" w:eastAsia="Times New Roman" w:cs="Arial"/>
                <w:sz w:val="20"/>
                <w:szCs w:val="20"/>
              </w:rPr>
            </w:pPr>
            <w:r w:rsidRPr="00BE2643">
              <w:rPr>
                <w:rFonts w:ascii="Arial" w:hAnsi="Arial"/>
                <w:sz w:val="20"/>
              </w:rPr>
              <w:t>n. Kohalike netopositsioonide summa kohalikus valuutas, sh tuletisinstrumendid, kui netosumma on negatiivne</w:t>
            </w:r>
          </w:p>
        </w:tc>
        <w:tc>
          <w:tcPr>
            <w:tcW w:w="2745" w:type="dxa"/>
            <w:tcBorders>
              <w:left w:val="nil"/>
              <w:right w:val="nil"/>
            </w:tcBorders>
            <w:noWrap/>
          </w:tcPr>
          <w:p w:rsidRPr="00BE2643" w:rsidR="00A3063F" w:rsidP="0020784C" w:rsidRDefault="00A3063F" w14:paraId="4CADE322" w14:textId="77777777">
            <w:pPr>
              <w:jc w:val="right"/>
              <w:rPr>
                <w:rFonts w:ascii="Arial" w:hAnsi="Arial" w:eastAsia="Times New Roman" w:cs="Arial"/>
                <w:sz w:val="20"/>
                <w:szCs w:val="20"/>
                <w:lang w:eastAsia="en-GB"/>
              </w:rPr>
            </w:pPr>
          </w:p>
        </w:tc>
      </w:tr>
      <w:tr w:rsidRPr="00BE2643" w:rsidR="00A3063F" w:rsidTr="0020784C" w14:paraId="6CAD2B8C" w14:textId="77777777">
        <w:trPr>
          <w:trHeight w:val="300"/>
        </w:trPr>
        <w:tc>
          <w:tcPr>
            <w:tcW w:w="6804" w:type="dxa"/>
            <w:gridSpan w:val="2"/>
            <w:tcBorders>
              <w:left w:val="nil"/>
              <w:right w:val="nil"/>
            </w:tcBorders>
            <w:noWrap/>
          </w:tcPr>
          <w:p w:rsidRPr="00BE2643" w:rsidR="00A3063F" w:rsidP="0020784C" w:rsidRDefault="00A3063F" w14:paraId="0FD9697D" w14:textId="77777777">
            <w:pPr>
              <w:ind w:left="171" w:firstLine="28" w:firstLineChars="14"/>
              <w:rPr>
                <w:rFonts w:ascii="Arial" w:hAnsi="Arial" w:eastAsia="Times New Roman" w:cs="Arial"/>
                <w:sz w:val="20"/>
                <w:szCs w:val="20"/>
              </w:rPr>
            </w:pPr>
            <w:r w:rsidRPr="00BE2643">
              <w:rPr>
                <w:rFonts w:ascii="Arial" w:hAnsi="Arial"/>
                <w:sz w:val="20"/>
              </w:rPr>
              <w:t>o. Ühtse kriisilahenduskorra väliste riikide kohalike netopositsioonide summa kohalikus valuutas, sh tuletisinstrumendid, kui netosumma on positiivne (ühtse kriisilahenduskorra käsitamisel ühtse jurisdiktsioonina)</w:t>
            </w:r>
          </w:p>
        </w:tc>
        <w:tc>
          <w:tcPr>
            <w:tcW w:w="2745" w:type="dxa"/>
            <w:tcBorders>
              <w:left w:val="nil"/>
              <w:right w:val="nil"/>
            </w:tcBorders>
            <w:noWrap/>
          </w:tcPr>
          <w:p w:rsidRPr="00BE2643" w:rsidR="00A3063F" w:rsidP="0020784C" w:rsidRDefault="00A3063F" w14:paraId="22B09E14" w14:textId="77777777">
            <w:pPr>
              <w:jc w:val="right"/>
              <w:rPr>
                <w:rFonts w:ascii="Arial" w:hAnsi="Arial" w:eastAsia="Times New Roman" w:cs="Arial"/>
                <w:sz w:val="20"/>
                <w:szCs w:val="20"/>
                <w:lang w:eastAsia="en-GB"/>
              </w:rPr>
            </w:pPr>
          </w:p>
        </w:tc>
      </w:tr>
      <w:tr w:rsidRPr="00BE2643" w:rsidR="00A3063F" w:rsidTr="0020784C" w14:paraId="3952AA14" w14:textId="77777777">
        <w:trPr>
          <w:trHeight w:val="300"/>
        </w:trPr>
        <w:tc>
          <w:tcPr>
            <w:tcW w:w="6804" w:type="dxa"/>
            <w:gridSpan w:val="2"/>
            <w:tcBorders>
              <w:left w:val="nil"/>
              <w:right w:val="nil"/>
            </w:tcBorders>
            <w:noWrap/>
          </w:tcPr>
          <w:p w:rsidRPr="00BE2643" w:rsidR="00A3063F" w:rsidP="0020784C" w:rsidRDefault="00A3063F" w14:paraId="4A6C823C" w14:textId="77777777">
            <w:pPr>
              <w:ind w:left="171" w:firstLine="28" w:firstLineChars="14"/>
              <w:rPr>
                <w:rFonts w:ascii="Arial" w:hAnsi="Arial" w:eastAsia="Times New Roman" w:cs="Arial"/>
                <w:sz w:val="20"/>
                <w:szCs w:val="20"/>
              </w:rPr>
            </w:pPr>
            <w:r w:rsidRPr="00BE2643">
              <w:rPr>
                <w:rFonts w:ascii="Arial" w:hAnsi="Arial"/>
                <w:sz w:val="20"/>
              </w:rPr>
              <w:t>p. Ühtse kriisilahenduskorra väliste riikide kohalike netopositsioonide summa kohalikus valuutas, sh tuletisinstrumendid, kui netosumma on positiivne (ühtse kriisilahenduskorra käsitamisel ühtse jurisdiktsioonina)</w:t>
            </w:r>
          </w:p>
        </w:tc>
        <w:tc>
          <w:tcPr>
            <w:tcW w:w="2745" w:type="dxa"/>
            <w:tcBorders>
              <w:left w:val="nil"/>
              <w:right w:val="nil"/>
            </w:tcBorders>
            <w:noWrap/>
          </w:tcPr>
          <w:p w:rsidRPr="00BE2643" w:rsidR="00A3063F" w:rsidP="0020784C" w:rsidRDefault="00A3063F" w14:paraId="3FCD12AF" w14:textId="77777777">
            <w:pPr>
              <w:jc w:val="right"/>
              <w:rPr>
                <w:rFonts w:ascii="Arial" w:hAnsi="Arial" w:eastAsia="Times New Roman" w:cs="Arial"/>
                <w:sz w:val="20"/>
                <w:szCs w:val="20"/>
                <w:lang w:eastAsia="en-GB"/>
              </w:rPr>
            </w:pPr>
          </w:p>
        </w:tc>
      </w:tr>
      <w:tr w:rsidRPr="00BE2643" w:rsidR="00A3063F" w:rsidTr="0020784C" w14:paraId="638410F0" w14:textId="77777777">
        <w:trPr>
          <w:trHeight w:val="300"/>
        </w:trPr>
        <w:tc>
          <w:tcPr>
            <w:tcW w:w="6804" w:type="dxa"/>
            <w:gridSpan w:val="2"/>
            <w:tcBorders>
              <w:left w:val="nil"/>
              <w:right w:val="nil"/>
            </w:tcBorders>
            <w:noWrap/>
          </w:tcPr>
          <w:p w:rsidRPr="00BE2643" w:rsidR="00A3063F" w:rsidP="0020784C" w:rsidRDefault="00A3063F" w14:paraId="33538753" w14:textId="77777777">
            <w:pPr>
              <w:ind w:left="171" w:firstLine="28" w:firstLineChars="14"/>
              <w:rPr>
                <w:rFonts w:ascii="Arial" w:hAnsi="Arial" w:eastAsia="Times New Roman" w:cs="Arial"/>
                <w:sz w:val="20"/>
                <w:szCs w:val="20"/>
              </w:rPr>
            </w:pPr>
            <w:r w:rsidRPr="00BE2643">
              <w:rPr>
                <w:rFonts w:ascii="Arial" w:hAnsi="Arial"/>
                <w:sz w:val="20"/>
              </w:rPr>
              <w:t>q. Ühtse kriisilahenduskorra riikide kohalike netopositsioonide summa kohalikus valuutas, sh tuletisinstrumendid (ühtse kriisilahenduskorra käsitamisel ühtse jurisdiktsioonina)</w:t>
            </w:r>
          </w:p>
        </w:tc>
        <w:tc>
          <w:tcPr>
            <w:tcW w:w="2745" w:type="dxa"/>
            <w:tcBorders>
              <w:left w:val="nil"/>
              <w:right w:val="nil"/>
            </w:tcBorders>
            <w:noWrap/>
          </w:tcPr>
          <w:p w:rsidRPr="00BE2643" w:rsidR="00A3063F" w:rsidP="0020784C" w:rsidRDefault="00A3063F" w14:paraId="267B4EA0" w14:textId="77777777">
            <w:pPr>
              <w:jc w:val="right"/>
              <w:rPr>
                <w:rFonts w:ascii="Arial" w:hAnsi="Arial" w:eastAsia="Times New Roman" w:cs="Arial"/>
                <w:sz w:val="20"/>
                <w:szCs w:val="20"/>
                <w:lang w:eastAsia="en-GB"/>
              </w:rPr>
            </w:pPr>
          </w:p>
        </w:tc>
      </w:tr>
      <w:tr w:rsidRPr="00BE2643" w:rsidR="00A3063F" w:rsidTr="0020784C" w14:paraId="658F61B3" w14:textId="77777777">
        <w:trPr>
          <w:trHeight w:val="300"/>
        </w:trPr>
        <w:tc>
          <w:tcPr>
            <w:tcW w:w="6804" w:type="dxa"/>
            <w:gridSpan w:val="2"/>
            <w:tcBorders>
              <w:left w:val="nil"/>
              <w:right w:val="nil"/>
            </w:tcBorders>
            <w:noWrap/>
          </w:tcPr>
          <w:p w:rsidRPr="00BE2643" w:rsidR="00A3063F" w:rsidP="0020784C" w:rsidRDefault="00A3063F" w14:paraId="5C8AA599" w14:textId="77777777">
            <w:pPr>
              <w:ind w:firstLine="200" w:firstLineChars="100"/>
              <w:rPr>
                <w:rFonts w:ascii="Arial" w:hAnsi="Arial" w:eastAsia="Times New Roman" w:cs="Arial"/>
                <w:sz w:val="20"/>
                <w:szCs w:val="20"/>
              </w:rPr>
            </w:pPr>
            <w:r w:rsidRPr="00BE2643">
              <w:rPr>
                <w:rFonts w:ascii="Arial" w:hAnsi="Arial"/>
                <w:sz w:val="20"/>
              </w:rPr>
              <w:t xml:space="preserve">r. Välismaiste tütarettevõtjate kirjendatud kontorisisesed nõuded </w:t>
            </w:r>
          </w:p>
        </w:tc>
        <w:tc>
          <w:tcPr>
            <w:tcW w:w="2745" w:type="dxa"/>
            <w:tcBorders>
              <w:left w:val="nil"/>
              <w:right w:val="nil"/>
            </w:tcBorders>
            <w:noWrap/>
          </w:tcPr>
          <w:p w:rsidRPr="00BE2643" w:rsidR="00A3063F" w:rsidP="0020784C" w:rsidRDefault="00A3063F" w14:paraId="4DFFB353" w14:textId="77777777">
            <w:pPr>
              <w:jc w:val="right"/>
              <w:rPr>
                <w:rFonts w:ascii="Arial" w:hAnsi="Arial" w:eastAsia="Times New Roman" w:cs="Arial"/>
                <w:sz w:val="20"/>
                <w:szCs w:val="20"/>
                <w:lang w:eastAsia="en-GB"/>
              </w:rPr>
            </w:pPr>
          </w:p>
        </w:tc>
      </w:tr>
      <w:tr w:rsidRPr="00BE2643" w:rsidR="00A3063F" w:rsidTr="0020784C" w14:paraId="52141DC7" w14:textId="77777777">
        <w:trPr>
          <w:trHeight w:val="300"/>
        </w:trPr>
        <w:tc>
          <w:tcPr>
            <w:tcW w:w="6804" w:type="dxa"/>
            <w:gridSpan w:val="2"/>
            <w:tcBorders>
              <w:left w:val="nil"/>
              <w:right w:val="nil"/>
            </w:tcBorders>
            <w:noWrap/>
          </w:tcPr>
          <w:p w:rsidRPr="00BE2643" w:rsidR="00A3063F" w:rsidP="0020784C" w:rsidRDefault="00A3063F" w14:paraId="48A3F51B" w14:textId="77777777">
            <w:pPr>
              <w:ind w:firstLine="200" w:firstLineChars="100"/>
              <w:rPr>
                <w:rFonts w:ascii="Arial" w:hAnsi="Arial" w:eastAsia="Times New Roman" w:cs="Arial"/>
                <w:sz w:val="20"/>
                <w:szCs w:val="20"/>
              </w:rPr>
            </w:pPr>
            <w:r w:rsidRPr="00BE2643">
              <w:rPr>
                <w:rFonts w:ascii="Arial" w:hAnsi="Arial"/>
                <w:sz w:val="20"/>
              </w:rPr>
              <w:t xml:space="preserve">s. Välismaiste harukontorite kirjendatud kontorisisesed nõuded </w:t>
            </w:r>
          </w:p>
        </w:tc>
        <w:tc>
          <w:tcPr>
            <w:tcW w:w="2745" w:type="dxa"/>
            <w:tcBorders>
              <w:left w:val="nil"/>
              <w:right w:val="nil"/>
            </w:tcBorders>
            <w:noWrap/>
          </w:tcPr>
          <w:p w:rsidRPr="00BE2643" w:rsidR="00A3063F" w:rsidP="0020784C" w:rsidRDefault="00A3063F" w14:paraId="54FEE7EC" w14:textId="77777777">
            <w:pPr>
              <w:jc w:val="right"/>
              <w:rPr>
                <w:rFonts w:ascii="Arial" w:hAnsi="Arial" w:eastAsia="Times New Roman" w:cs="Arial"/>
                <w:sz w:val="20"/>
                <w:szCs w:val="20"/>
                <w:lang w:eastAsia="en-GB"/>
              </w:rPr>
            </w:pPr>
          </w:p>
        </w:tc>
      </w:tr>
      <w:tr w:rsidRPr="00BE2643" w:rsidR="00A3063F" w:rsidTr="0020784C" w14:paraId="3BA9B37F" w14:textId="77777777">
        <w:trPr>
          <w:trHeight w:val="300"/>
        </w:trPr>
        <w:tc>
          <w:tcPr>
            <w:tcW w:w="6804" w:type="dxa"/>
            <w:gridSpan w:val="2"/>
            <w:tcBorders>
              <w:left w:val="nil"/>
              <w:right w:val="nil"/>
            </w:tcBorders>
            <w:noWrap/>
          </w:tcPr>
          <w:p w:rsidRPr="00BE2643" w:rsidR="00A3063F" w:rsidP="0020784C" w:rsidRDefault="00A3063F" w14:paraId="68C73B59" w14:textId="77777777">
            <w:pPr>
              <w:ind w:firstLine="200" w:firstLineChars="100"/>
              <w:rPr>
                <w:rFonts w:ascii="Arial" w:hAnsi="Arial" w:eastAsia="Times New Roman" w:cs="Arial"/>
                <w:sz w:val="20"/>
                <w:szCs w:val="20"/>
              </w:rPr>
            </w:pPr>
            <w:r w:rsidRPr="00BE2643">
              <w:rPr>
                <w:rFonts w:ascii="Arial" w:hAnsi="Arial"/>
                <w:sz w:val="20"/>
              </w:rPr>
              <w:t>t. Välismaiste tütarettevõtjate kirjendatud kontorisisesed kohustused</w:t>
            </w:r>
          </w:p>
        </w:tc>
        <w:tc>
          <w:tcPr>
            <w:tcW w:w="2745" w:type="dxa"/>
            <w:tcBorders>
              <w:left w:val="nil"/>
              <w:right w:val="nil"/>
            </w:tcBorders>
            <w:noWrap/>
          </w:tcPr>
          <w:p w:rsidRPr="00BE2643" w:rsidR="00A3063F" w:rsidP="0020784C" w:rsidRDefault="00A3063F" w14:paraId="3E3CC04A" w14:textId="77777777">
            <w:pPr>
              <w:jc w:val="right"/>
              <w:rPr>
                <w:rFonts w:ascii="Arial" w:hAnsi="Arial" w:eastAsia="Times New Roman" w:cs="Arial"/>
                <w:sz w:val="20"/>
                <w:szCs w:val="20"/>
                <w:lang w:eastAsia="en-GB"/>
              </w:rPr>
            </w:pPr>
          </w:p>
        </w:tc>
      </w:tr>
      <w:tr w:rsidRPr="00BE2643" w:rsidR="00A3063F" w:rsidTr="0020784C" w14:paraId="6110CEDD" w14:textId="77777777">
        <w:trPr>
          <w:trHeight w:val="300"/>
        </w:trPr>
        <w:tc>
          <w:tcPr>
            <w:tcW w:w="6804" w:type="dxa"/>
            <w:gridSpan w:val="2"/>
            <w:tcBorders>
              <w:left w:val="nil"/>
              <w:right w:val="nil"/>
            </w:tcBorders>
            <w:noWrap/>
          </w:tcPr>
          <w:p w:rsidRPr="00BE2643" w:rsidR="00A3063F" w:rsidP="0020784C" w:rsidRDefault="00A3063F" w14:paraId="7857D617" w14:textId="77777777">
            <w:pPr>
              <w:ind w:firstLine="200" w:firstLineChars="100"/>
              <w:rPr>
                <w:rFonts w:ascii="Arial" w:hAnsi="Arial" w:eastAsia="Times New Roman" w:cs="Arial"/>
                <w:sz w:val="20"/>
                <w:szCs w:val="20"/>
              </w:rPr>
            </w:pPr>
            <w:r w:rsidRPr="00BE2643">
              <w:rPr>
                <w:rFonts w:ascii="Arial" w:hAnsi="Arial"/>
                <w:sz w:val="20"/>
              </w:rPr>
              <w:t xml:space="preserve">u. Välismaiste harukontorite kirjendatud kontorisisesed kohustused </w:t>
            </w:r>
          </w:p>
        </w:tc>
        <w:tc>
          <w:tcPr>
            <w:tcW w:w="2745" w:type="dxa"/>
            <w:tcBorders>
              <w:left w:val="nil"/>
              <w:right w:val="nil"/>
            </w:tcBorders>
            <w:noWrap/>
          </w:tcPr>
          <w:p w:rsidRPr="00BE2643" w:rsidR="00A3063F" w:rsidP="0020784C" w:rsidRDefault="00A3063F" w14:paraId="5CBD3115" w14:textId="77777777">
            <w:pPr>
              <w:jc w:val="right"/>
              <w:rPr>
                <w:rFonts w:ascii="Arial" w:hAnsi="Arial" w:eastAsia="Times New Roman" w:cs="Arial"/>
                <w:sz w:val="20"/>
                <w:szCs w:val="20"/>
                <w:lang w:eastAsia="en-GB"/>
              </w:rPr>
            </w:pPr>
          </w:p>
        </w:tc>
      </w:tr>
      <w:tr w:rsidRPr="00BE2643" w:rsidR="00A3063F" w:rsidTr="0020784C" w14:paraId="6BB1006E" w14:textId="77777777">
        <w:trPr>
          <w:trHeight w:val="300"/>
        </w:trPr>
        <w:tc>
          <w:tcPr>
            <w:tcW w:w="6804" w:type="dxa"/>
            <w:gridSpan w:val="2"/>
            <w:tcBorders>
              <w:left w:val="nil"/>
              <w:right w:val="nil"/>
            </w:tcBorders>
            <w:noWrap/>
          </w:tcPr>
          <w:p w:rsidRPr="00BE2643" w:rsidR="00A3063F" w:rsidP="0020784C" w:rsidRDefault="00A3063F" w14:paraId="5CDCE520" w14:textId="77777777">
            <w:pPr>
              <w:ind w:firstLine="200" w:firstLineChars="100"/>
              <w:rPr>
                <w:rFonts w:ascii="Arial" w:hAnsi="Arial" w:eastAsia="Times New Roman" w:cs="Arial"/>
                <w:sz w:val="20"/>
                <w:szCs w:val="20"/>
              </w:rPr>
            </w:pPr>
            <w:r w:rsidRPr="00BE2643">
              <w:rPr>
                <w:rFonts w:ascii="Arial" w:hAnsi="Arial"/>
                <w:sz w:val="20"/>
              </w:rPr>
              <w:t xml:space="preserve">v. Jurisdiktsiooniüleste nõuete keskmine väärtus kvartalis </w:t>
            </w:r>
          </w:p>
        </w:tc>
        <w:tc>
          <w:tcPr>
            <w:tcW w:w="2745" w:type="dxa"/>
            <w:tcBorders>
              <w:left w:val="nil"/>
              <w:right w:val="nil"/>
            </w:tcBorders>
            <w:noWrap/>
          </w:tcPr>
          <w:p w:rsidRPr="00BE2643" w:rsidR="00A3063F" w:rsidP="0020784C" w:rsidRDefault="00A3063F" w14:paraId="214EEB99" w14:textId="77777777">
            <w:pPr>
              <w:jc w:val="right"/>
              <w:rPr>
                <w:rFonts w:ascii="Arial" w:hAnsi="Arial" w:eastAsia="Times New Roman" w:cs="Arial"/>
                <w:sz w:val="20"/>
                <w:szCs w:val="20"/>
                <w:lang w:eastAsia="en-GB"/>
              </w:rPr>
            </w:pPr>
          </w:p>
        </w:tc>
      </w:tr>
      <w:tr w:rsidRPr="00BE2643" w:rsidR="00A3063F" w:rsidTr="0020784C" w14:paraId="098B64C8" w14:textId="77777777">
        <w:trPr>
          <w:trHeight w:val="300"/>
        </w:trPr>
        <w:tc>
          <w:tcPr>
            <w:tcW w:w="6804" w:type="dxa"/>
            <w:gridSpan w:val="2"/>
            <w:tcBorders>
              <w:left w:val="nil"/>
              <w:right w:val="nil"/>
            </w:tcBorders>
            <w:noWrap/>
          </w:tcPr>
          <w:p w:rsidRPr="00BE2643" w:rsidR="00A3063F" w:rsidP="0020784C" w:rsidRDefault="00A3063F" w14:paraId="006A707B" w14:textId="77777777">
            <w:pPr>
              <w:ind w:firstLine="200" w:firstLineChars="100"/>
              <w:rPr>
                <w:rFonts w:ascii="Arial" w:hAnsi="Arial" w:eastAsia="Times New Roman" w:cs="Arial"/>
                <w:sz w:val="20"/>
                <w:szCs w:val="20"/>
              </w:rPr>
            </w:pPr>
            <w:r w:rsidRPr="00BE2643">
              <w:rPr>
                <w:rFonts w:ascii="Arial" w:hAnsi="Arial"/>
                <w:sz w:val="20"/>
              </w:rPr>
              <w:t xml:space="preserve">w. Jurisdiktsiooniüleste nõuete keskmine väärtus kuus </w:t>
            </w:r>
          </w:p>
        </w:tc>
        <w:tc>
          <w:tcPr>
            <w:tcW w:w="2745" w:type="dxa"/>
            <w:tcBorders>
              <w:left w:val="nil"/>
              <w:right w:val="nil"/>
            </w:tcBorders>
            <w:noWrap/>
          </w:tcPr>
          <w:p w:rsidRPr="00BE2643" w:rsidR="00A3063F" w:rsidP="0020784C" w:rsidRDefault="00A3063F" w14:paraId="0E69BD2F" w14:textId="77777777">
            <w:pPr>
              <w:jc w:val="right"/>
              <w:rPr>
                <w:rFonts w:ascii="Arial" w:hAnsi="Arial" w:eastAsia="Times New Roman" w:cs="Arial"/>
                <w:sz w:val="20"/>
                <w:szCs w:val="20"/>
                <w:lang w:eastAsia="en-GB"/>
              </w:rPr>
            </w:pPr>
          </w:p>
        </w:tc>
      </w:tr>
      <w:tr w:rsidRPr="00BE2643" w:rsidR="00A3063F" w:rsidTr="0020784C" w14:paraId="09345009" w14:textId="77777777">
        <w:trPr>
          <w:trHeight w:val="300"/>
        </w:trPr>
        <w:tc>
          <w:tcPr>
            <w:tcW w:w="6804" w:type="dxa"/>
            <w:gridSpan w:val="2"/>
            <w:tcBorders>
              <w:left w:val="nil"/>
              <w:right w:val="nil"/>
            </w:tcBorders>
            <w:noWrap/>
          </w:tcPr>
          <w:p w:rsidRPr="00BE2643" w:rsidR="00A3063F" w:rsidP="0020784C" w:rsidRDefault="00A3063F" w14:paraId="43A60E2E" w14:textId="77777777">
            <w:pPr>
              <w:ind w:firstLine="200" w:firstLineChars="100"/>
              <w:rPr>
                <w:rFonts w:ascii="Arial" w:hAnsi="Arial" w:eastAsia="Times New Roman" w:cs="Arial"/>
                <w:sz w:val="20"/>
                <w:szCs w:val="20"/>
              </w:rPr>
            </w:pPr>
            <w:r w:rsidRPr="00BE2643">
              <w:rPr>
                <w:rFonts w:ascii="Arial" w:hAnsi="Arial"/>
                <w:sz w:val="20"/>
              </w:rPr>
              <w:t xml:space="preserve">x. Jurisdiktsiooniüleste kohustuste keskmine väärtus kvartalis </w:t>
            </w:r>
          </w:p>
        </w:tc>
        <w:tc>
          <w:tcPr>
            <w:tcW w:w="2745" w:type="dxa"/>
            <w:tcBorders>
              <w:left w:val="nil"/>
              <w:right w:val="nil"/>
            </w:tcBorders>
            <w:noWrap/>
          </w:tcPr>
          <w:p w:rsidRPr="00BE2643" w:rsidR="00A3063F" w:rsidP="0020784C" w:rsidRDefault="00A3063F" w14:paraId="547AE1C6" w14:textId="77777777">
            <w:pPr>
              <w:jc w:val="right"/>
              <w:rPr>
                <w:rFonts w:ascii="Arial" w:hAnsi="Arial" w:eastAsia="Times New Roman" w:cs="Arial"/>
                <w:sz w:val="20"/>
                <w:szCs w:val="20"/>
                <w:lang w:eastAsia="en-GB"/>
              </w:rPr>
            </w:pPr>
          </w:p>
        </w:tc>
      </w:tr>
      <w:tr w:rsidRPr="00BE2643" w:rsidR="00A3063F" w:rsidTr="0020784C" w14:paraId="647EE556"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36EF1A59" w14:textId="77777777">
            <w:pPr>
              <w:ind w:firstLine="200" w:firstLineChars="100"/>
              <w:rPr>
                <w:rFonts w:ascii="Arial" w:hAnsi="Arial" w:eastAsia="Times New Roman" w:cs="Arial"/>
                <w:sz w:val="20"/>
                <w:szCs w:val="20"/>
              </w:rPr>
            </w:pPr>
            <w:r w:rsidRPr="00BE2643">
              <w:rPr>
                <w:rFonts w:ascii="Arial" w:hAnsi="Arial"/>
                <w:sz w:val="20"/>
              </w:rPr>
              <w:t xml:space="preserve">y. Jurisdiktsiooniüleste kohustuste keskmine väärtus kuus </w:t>
            </w:r>
          </w:p>
        </w:tc>
        <w:tc>
          <w:tcPr>
            <w:tcW w:w="2745" w:type="dxa"/>
            <w:tcBorders>
              <w:left w:val="nil"/>
              <w:bottom w:val="single" w:color="auto" w:sz="4" w:space="0"/>
              <w:right w:val="nil"/>
            </w:tcBorders>
            <w:noWrap/>
          </w:tcPr>
          <w:p w:rsidRPr="00BE2643" w:rsidR="00A3063F" w:rsidP="0020784C" w:rsidRDefault="00A3063F" w14:paraId="0DD2A133" w14:textId="77777777">
            <w:pPr>
              <w:jc w:val="right"/>
              <w:rPr>
                <w:rFonts w:ascii="Arial" w:hAnsi="Arial" w:eastAsia="Times New Roman" w:cs="Arial"/>
                <w:sz w:val="20"/>
                <w:szCs w:val="20"/>
                <w:lang w:eastAsia="en-GB"/>
              </w:rPr>
            </w:pPr>
          </w:p>
        </w:tc>
      </w:tr>
      <w:tr w:rsidRPr="00BE2643" w:rsidR="00A3063F" w:rsidTr="0020784C" w14:paraId="4DDF78E6" w14:textId="77777777">
        <w:trPr>
          <w:trHeight w:val="300"/>
        </w:trPr>
        <w:tc>
          <w:tcPr>
            <w:tcW w:w="6804" w:type="dxa"/>
            <w:gridSpan w:val="2"/>
            <w:tcBorders>
              <w:left w:val="nil"/>
              <w:bottom w:val="nil"/>
              <w:right w:val="nil"/>
            </w:tcBorders>
            <w:noWrap/>
          </w:tcPr>
          <w:p w:rsidRPr="00BE2643" w:rsidR="00A3063F" w:rsidP="0020784C" w:rsidRDefault="00A3063F" w14:paraId="7330FCD7"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BE2643" w:rsidR="00A3063F" w:rsidP="0020784C" w:rsidRDefault="00A3063F" w14:paraId="3960B3D3" w14:textId="77777777">
            <w:pPr>
              <w:jc w:val="right"/>
              <w:rPr>
                <w:rFonts w:ascii="Arial" w:hAnsi="Arial" w:eastAsia="Times New Roman" w:cs="Arial"/>
                <w:sz w:val="20"/>
                <w:szCs w:val="20"/>
                <w:lang w:eastAsia="en-GB"/>
              </w:rPr>
            </w:pPr>
          </w:p>
        </w:tc>
      </w:tr>
      <w:tr w:rsidRPr="00BE2643" w:rsidR="00A3063F" w:rsidTr="0020784C" w14:paraId="51C39738" w14:textId="77777777">
        <w:trPr>
          <w:trHeight w:val="300"/>
        </w:trPr>
        <w:tc>
          <w:tcPr>
            <w:tcW w:w="6804" w:type="dxa"/>
            <w:gridSpan w:val="2"/>
            <w:tcBorders>
              <w:top w:val="nil"/>
              <w:left w:val="nil"/>
              <w:right w:val="nil"/>
            </w:tcBorders>
            <w:noWrap/>
          </w:tcPr>
          <w:p w:rsidRPr="00BE2643" w:rsidR="00A3063F" w:rsidP="0020784C" w:rsidRDefault="00A3063F" w14:paraId="112DE1D4" w14:textId="77777777">
            <w:pPr>
              <w:rPr>
                <w:rFonts w:ascii="Arial" w:hAnsi="Arial" w:eastAsia="Times New Roman" w:cs="Arial"/>
                <w:sz w:val="20"/>
                <w:szCs w:val="20"/>
              </w:rPr>
            </w:pPr>
            <w:r w:rsidRPr="00BE2643">
              <w:rPr>
                <w:rFonts w:ascii="Arial" w:hAnsi="Arial"/>
                <w:b/>
                <w:sz w:val="20"/>
              </w:rPr>
              <w:t>22. jagu. Lisanäitajad</w:t>
            </w:r>
          </w:p>
        </w:tc>
        <w:tc>
          <w:tcPr>
            <w:tcW w:w="2745" w:type="dxa"/>
            <w:tcBorders>
              <w:top w:val="nil"/>
              <w:left w:val="nil"/>
              <w:right w:val="nil"/>
            </w:tcBorders>
            <w:noWrap/>
          </w:tcPr>
          <w:p w:rsidRPr="00BE2643" w:rsidR="00A3063F" w:rsidP="0020784C" w:rsidRDefault="00A3063F" w14:paraId="283D466D" w14:textId="77777777">
            <w:pPr>
              <w:jc w:val="right"/>
              <w:rPr>
                <w:rFonts w:ascii="Arial" w:hAnsi="Arial" w:eastAsia="Times New Roman" w:cs="Arial"/>
                <w:sz w:val="20"/>
                <w:szCs w:val="20"/>
                <w:lang w:eastAsia="en-GB"/>
              </w:rPr>
            </w:pPr>
          </w:p>
        </w:tc>
      </w:tr>
      <w:tr w:rsidRPr="00BE2643" w:rsidR="00A3063F" w:rsidTr="0020784C" w14:paraId="3390CDF6" w14:textId="77777777">
        <w:trPr>
          <w:trHeight w:val="300"/>
        </w:trPr>
        <w:tc>
          <w:tcPr>
            <w:tcW w:w="6804" w:type="dxa"/>
            <w:gridSpan w:val="2"/>
            <w:tcBorders>
              <w:left w:val="nil"/>
              <w:right w:val="nil"/>
            </w:tcBorders>
            <w:noWrap/>
          </w:tcPr>
          <w:p w:rsidRPr="00BE2643" w:rsidR="00A3063F" w:rsidP="0020784C" w:rsidRDefault="00A3063F" w14:paraId="578D0E18" w14:textId="77777777">
            <w:pPr>
              <w:ind w:firstLine="200" w:firstLineChars="100"/>
              <w:rPr>
                <w:rFonts w:ascii="Arial" w:hAnsi="Arial" w:eastAsia="Times New Roman" w:cs="Arial"/>
                <w:sz w:val="20"/>
                <w:szCs w:val="20"/>
              </w:rPr>
            </w:pPr>
            <w:r w:rsidRPr="00BE2643">
              <w:rPr>
                <w:rFonts w:ascii="Arial" w:hAnsi="Arial"/>
                <w:sz w:val="20"/>
              </w:rPr>
              <w:t>a. Välismaine netotulu (ühtse kriisilahenduskorra käsitamisel ühtse jurisdiktsioonina)</w:t>
            </w:r>
          </w:p>
        </w:tc>
        <w:tc>
          <w:tcPr>
            <w:tcW w:w="2745" w:type="dxa"/>
            <w:tcBorders>
              <w:left w:val="nil"/>
              <w:right w:val="nil"/>
            </w:tcBorders>
            <w:noWrap/>
          </w:tcPr>
          <w:p w:rsidRPr="00BE2643" w:rsidR="00A3063F" w:rsidP="0020784C" w:rsidRDefault="00A3063F" w14:paraId="596284E3" w14:textId="77777777">
            <w:pPr>
              <w:jc w:val="right"/>
              <w:rPr>
                <w:rFonts w:ascii="Arial" w:hAnsi="Arial" w:eastAsia="Times New Roman" w:cs="Arial"/>
                <w:sz w:val="20"/>
                <w:szCs w:val="20"/>
                <w:lang w:eastAsia="en-GB"/>
              </w:rPr>
            </w:pPr>
          </w:p>
        </w:tc>
      </w:tr>
      <w:tr w:rsidRPr="00BE2643" w:rsidR="00A3063F" w:rsidTr="0020784C" w14:paraId="3B4E1B5D"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553A1382" w14:textId="77777777">
            <w:pPr>
              <w:ind w:firstLine="200" w:firstLineChars="100"/>
              <w:rPr>
                <w:rFonts w:ascii="Arial" w:hAnsi="Arial" w:eastAsia="Times New Roman" w:cs="Arial"/>
                <w:sz w:val="20"/>
                <w:szCs w:val="20"/>
              </w:rPr>
            </w:pPr>
            <w:r w:rsidRPr="00BE2643">
              <w:rPr>
                <w:rFonts w:ascii="Arial" w:hAnsi="Arial"/>
                <w:sz w:val="20"/>
              </w:rPr>
              <w:t>b. Jurisdiktsioonide arv (ühtse kriisilahenduskorra käsitamisel ühtse jurisdiktsioonina)</w:t>
            </w:r>
          </w:p>
        </w:tc>
        <w:tc>
          <w:tcPr>
            <w:tcW w:w="2745" w:type="dxa"/>
            <w:tcBorders>
              <w:left w:val="nil"/>
              <w:right w:val="nil"/>
            </w:tcBorders>
            <w:noWrap/>
          </w:tcPr>
          <w:p w:rsidRPr="00BE2643" w:rsidR="00A3063F" w:rsidP="0020784C" w:rsidRDefault="00A3063F" w14:paraId="300B4475" w14:textId="77777777">
            <w:pPr>
              <w:jc w:val="right"/>
              <w:rPr>
                <w:rFonts w:ascii="Arial" w:hAnsi="Arial" w:eastAsia="Times New Roman" w:cs="Arial"/>
                <w:sz w:val="20"/>
                <w:szCs w:val="20"/>
                <w:lang w:eastAsia="en-GB"/>
              </w:rPr>
            </w:pPr>
          </w:p>
        </w:tc>
      </w:tr>
      <w:tr w:rsidRPr="00BE2643" w:rsidR="00A3063F" w:rsidTr="0020784C" w14:paraId="67A968E7" w14:textId="77777777">
        <w:trPr>
          <w:trHeight w:val="300"/>
        </w:trPr>
        <w:tc>
          <w:tcPr>
            <w:tcW w:w="6804" w:type="dxa"/>
            <w:gridSpan w:val="2"/>
            <w:tcBorders>
              <w:left w:val="nil"/>
              <w:bottom w:val="nil"/>
              <w:right w:val="nil"/>
            </w:tcBorders>
            <w:noWrap/>
          </w:tcPr>
          <w:p w:rsidRPr="00BE2643" w:rsidR="00A3063F" w:rsidP="0020784C" w:rsidRDefault="00A3063F" w14:paraId="3E7C96FA"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BE2643" w:rsidR="00A3063F" w:rsidP="0020784C" w:rsidRDefault="00A3063F" w14:paraId="4CB8C6A4" w14:textId="77777777">
            <w:pPr>
              <w:jc w:val="right"/>
              <w:rPr>
                <w:rFonts w:ascii="Arial" w:hAnsi="Arial" w:eastAsia="Times New Roman" w:cs="Arial"/>
                <w:sz w:val="20"/>
                <w:szCs w:val="20"/>
                <w:lang w:eastAsia="en-GB"/>
              </w:rPr>
            </w:pPr>
          </w:p>
        </w:tc>
      </w:tr>
      <w:tr w:rsidRPr="00BE2643" w:rsidR="00A3063F" w:rsidTr="0020784C" w14:paraId="5AC10130" w14:textId="77777777">
        <w:trPr>
          <w:trHeight w:val="300"/>
        </w:trPr>
        <w:tc>
          <w:tcPr>
            <w:tcW w:w="6804" w:type="dxa"/>
            <w:gridSpan w:val="2"/>
            <w:tcBorders>
              <w:top w:val="nil"/>
              <w:left w:val="nil"/>
              <w:bottom w:val="nil"/>
              <w:right w:val="nil"/>
            </w:tcBorders>
            <w:noWrap/>
          </w:tcPr>
          <w:p w:rsidRPr="00BE2643" w:rsidR="00A3063F" w:rsidP="0020784C" w:rsidRDefault="00A3063F" w14:paraId="692A5243" w14:textId="77777777">
            <w:pPr>
              <w:ind w:firstLine="221" w:firstLineChars="100"/>
              <w:rPr>
                <w:rFonts w:ascii="Arial" w:hAnsi="Arial" w:eastAsia="Times New Roman" w:cs="Arial"/>
                <w:sz w:val="20"/>
                <w:szCs w:val="20"/>
              </w:rPr>
            </w:pPr>
            <w:r w:rsidRPr="00BE2643">
              <w:rPr>
                <w:rFonts w:asciiTheme="majorHAnsi" w:hAnsiTheme="majorHAnsi"/>
                <w:b/>
                <w:i/>
                <w:caps/>
              </w:rPr>
              <w:t>Kontrollnimekiri</w:t>
            </w:r>
          </w:p>
        </w:tc>
        <w:tc>
          <w:tcPr>
            <w:tcW w:w="2745" w:type="dxa"/>
            <w:tcBorders>
              <w:top w:val="nil"/>
              <w:left w:val="nil"/>
              <w:bottom w:val="nil"/>
              <w:right w:val="nil"/>
            </w:tcBorders>
            <w:noWrap/>
          </w:tcPr>
          <w:p w:rsidRPr="00BE2643" w:rsidR="00A3063F" w:rsidP="0020784C" w:rsidRDefault="00A3063F" w14:paraId="17A2C735" w14:textId="77777777">
            <w:pPr>
              <w:jc w:val="right"/>
              <w:rPr>
                <w:rFonts w:ascii="Arial" w:hAnsi="Arial" w:eastAsia="Times New Roman" w:cs="Arial"/>
                <w:sz w:val="20"/>
                <w:szCs w:val="20"/>
                <w:lang w:eastAsia="en-GB"/>
              </w:rPr>
            </w:pPr>
          </w:p>
        </w:tc>
      </w:tr>
      <w:tr w:rsidRPr="00BE2643" w:rsidR="00A3063F" w:rsidTr="0020784C" w14:paraId="32D20180" w14:textId="77777777">
        <w:trPr>
          <w:trHeight w:val="300"/>
        </w:trPr>
        <w:tc>
          <w:tcPr>
            <w:tcW w:w="6804" w:type="dxa"/>
            <w:gridSpan w:val="2"/>
            <w:tcBorders>
              <w:top w:val="nil"/>
              <w:left w:val="nil"/>
              <w:bottom w:val="single" w:color="auto" w:sz="4" w:space="0"/>
              <w:right w:val="nil"/>
            </w:tcBorders>
            <w:noWrap/>
          </w:tcPr>
          <w:p w:rsidRPr="00BE2643" w:rsidR="00A3063F" w:rsidP="0020784C" w:rsidRDefault="00A3063F" w14:paraId="39576C79"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BE2643" w:rsidR="00A3063F" w:rsidP="0020784C" w:rsidRDefault="00A3063F" w14:paraId="69E93638" w14:textId="77777777">
            <w:pPr>
              <w:jc w:val="right"/>
              <w:rPr>
                <w:rFonts w:ascii="Arial" w:hAnsi="Arial" w:eastAsia="Times New Roman" w:cs="Arial"/>
                <w:sz w:val="20"/>
                <w:szCs w:val="20"/>
                <w:lang w:eastAsia="en-GB"/>
              </w:rPr>
            </w:pPr>
          </w:p>
        </w:tc>
      </w:tr>
      <w:tr w:rsidRPr="00BE2643" w:rsidR="00A3063F" w:rsidTr="0020784C" w14:paraId="617C457E"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3D904858" w14:textId="77777777">
            <w:pPr>
              <w:rPr>
                <w:rFonts w:ascii="Arial" w:hAnsi="Arial" w:eastAsia="Times New Roman" w:cs="Arial"/>
                <w:sz w:val="20"/>
                <w:szCs w:val="20"/>
              </w:rPr>
            </w:pPr>
            <w:r w:rsidRPr="00BE2643">
              <w:rPr>
                <w:b/>
              </w:rPr>
              <w:t>23. jagu. Näitajate väärtused (läbivaadatud metoodika)</w:t>
            </w:r>
          </w:p>
        </w:tc>
        <w:tc>
          <w:tcPr>
            <w:tcW w:w="2745" w:type="dxa"/>
            <w:tcBorders>
              <w:left w:val="nil"/>
              <w:right w:val="nil"/>
            </w:tcBorders>
            <w:noWrap/>
          </w:tcPr>
          <w:p w:rsidRPr="00BE2643" w:rsidR="00A3063F" w:rsidP="0020784C" w:rsidRDefault="00A3063F" w14:paraId="63341E53" w14:textId="77777777">
            <w:pPr>
              <w:jc w:val="center"/>
              <w:rPr>
                <w:rFonts w:ascii="Arial" w:hAnsi="Arial" w:eastAsia="Times New Roman" w:cs="Arial"/>
                <w:sz w:val="20"/>
                <w:szCs w:val="20"/>
              </w:rPr>
            </w:pPr>
            <w:r w:rsidRPr="00BE2643">
              <w:rPr>
                <w:b/>
              </w:rPr>
              <w:t>Näitaja väärtus aruandlusvaluutas</w:t>
            </w:r>
          </w:p>
        </w:tc>
      </w:tr>
      <w:tr w:rsidRPr="00BE2643" w:rsidR="00A3063F" w:rsidTr="0020784C" w14:paraId="6C0085C1"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782EFD3" w14:textId="77777777">
            <w:pPr>
              <w:ind w:left="171" w:firstLine="48" w:firstLineChars="22"/>
              <w:rPr>
                <w:rFonts w:ascii="Arial" w:hAnsi="Arial" w:eastAsia="Times New Roman" w:cs="Arial"/>
                <w:sz w:val="20"/>
                <w:szCs w:val="20"/>
              </w:rPr>
            </w:pPr>
            <w:r w:rsidRPr="00BE2643">
              <w:t>a. 2. jagu. Koguriskipositsiooni näitaja, sh kindlustusvaldkonna tütarettevõtjad</w:t>
            </w:r>
          </w:p>
        </w:tc>
        <w:tc>
          <w:tcPr>
            <w:tcW w:w="2745" w:type="dxa"/>
            <w:tcBorders>
              <w:left w:val="nil"/>
              <w:right w:val="nil"/>
            </w:tcBorders>
            <w:noWrap/>
          </w:tcPr>
          <w:p w:rsidRPr="00BE2643" w:rsidR="00A3063F" w:rsidP="0020784C" w:rsidRDefault="00A3063F" w14:paraId="753777EC" w14:textId="77777777">
            <w:pPr>
              <w:jc w:val="right"/>
              <w:rPr>
                <w:rFonts w:ascii="Arial" w:hAnsi="Arial" w:eastAsia="Times New Roman" w:cs="Arial"/>
                <w:sz w:val="20"/>
                <w:szCs w:val="20"/>
                <w:lang w:eastAsia="en-GB"/>
              </w:rPr>
            </w:pPr>
          </w:p>
        </w:tc>
      </w:tr>
      <w:tr w:rsidRPr="00BE2643" w:rsidR="00A3063F" w:rsidTr="0020784C" w14:paraId="5974CE37"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6B18220A" w14:textId="77777777">
            <w:pPr>
              <w:ind w:left="171" w:firstLine="48" w:firstLineChars="22"/>
              <w:rPr>
                <w:rFonts w:ascii="Arial" w:hAnsi="Arial" w:eastAsia="Times New Roman" w:cs="Arial"/>
                <w:sz w:val="20"/>
                <w:szCs w:val="20"/>
              </w:rPr>
            </w:pPr>
            <w:r w:rsidRPr="00BE2643">
              <w:t>b. 3. jagu. Finantssüsteemisiseste varade näitaja, sh kindlustusvaldkonna tütarettevõtjad</w:t>
            </w:r>
          </w:p>
        </w:tc>
        <w:tc>
          <w:tcPr>
            <w:tcW w:w="2745" w:type="dxa"/>
            <w:tcBorders>
              <w:left w:val="nil"/>
              <w:right w:val="nil"/>
            </w:tcBorders>
            <w:noWrap/>
          </w:tcPr>
          <w:p w:rsidRPr="00BE2643" w:rsidR="00A3063F" w:rsidP="0020784C" w:rsidRDefault="00A3063F" w14:paraId="17DECD40" w14:textId="77777777">
            <w:pPr>
              <w:jc w:val="right"/>
              <w:rPr>
                <w:rFonts w:ascii="Arial" w:hAnsi="Arial" w:eastAsia="Times New Roman" w:cs="Arial"/>
                <w:sz w:val="20"/>
                <w:szCs w:val="20"/>
                <w:lang w:eastAsia="en-GB"/>
              </w:rPr>
            </w:pPr>
          </w:p>
        </w:tc>
      </w:tr>
      <w:tr w:rsidRPr="00BE2643" w:rsidR="00A3063F" w:rsidTr="0020784C" w14:paraId="26683AB2"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117F622" w14:textId="77777777">
            <w:pPr>
              <w:ind w:left="171" w:firstLine="48" w:firstLineChars="22"/>
              <w:rPr>
                <w:rFonts w:ascii="Arial" w:hAnsi="Arial" w:eastAsia="Times New Roman" w:cs="Arial"/>
                <w:sz w:val="20"/>
                <w:szCs w:val="20"/>
              </w:rPr>
            </w:pPr>
            <w:r w:rsidRPr="00BE2643">
              <w:t>c. 4. jagu. Finantssüsteemisiseste kohustuste näitaja, sh kindlustusvaldkonna tütarettevõtjad</w:t>
            </w:r>
          </w:p>
        </w:tc>
        <w:tc>
          <w:tcPr>
            <w:tcW w:w="2745" w:type="dxa"/>
            <w:tcBorders>
              <w:left w:val="nil"/>
              <w:right w:val="nil"/>
            </w:tcBorders>
            <w:noWrap/>
          </w:tcPr>
          <w:p w:rsidRPr="00BE2643" w:rsidR="00A3063F" w:rsidP="0020784C" w:rsidRDefault="00A3063F" w14:paraId="3F4A749B" w14:textId="77777777">
            <w:pPr>
              <w:jc w:val="right"/>
              <w:rPr>
                <w:rFonts w:ascii="Arial" w:hAnsi="Arial" w:eastAsia="Times New Roman" w:cs="Arial"/>
                <w:sz w:val="20"/>
                <w:szCs w:val="20"/>
                <w:lang w:eastAsia="en-GB"/>
              </w:rPr>
            </w:pPr>
          </w:p>
        </w:tc>
      </w:tr>
      <w:tr w:rsidRPr="00BE2643" w:rsidR="00A3063F" w:rsidTr="0020784C" w14:paraId="0188AB3E"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7A09715" w14:textId="77777777">
            <w:pPr>
              <w:ind w:left="171" w:firstLine="48" w:firstLineChars="22"/>
              <w:rPr>
                <w:rFonts w:ascii="Arial" w:hAnsi="Arial" w:eastAsia="Times New Roman" w:cs="Arial"/>
                <w:sz w:val="20"/>
                <w:szCs w:val="20"/>
              </w:rPr>
            </w:pPr>
            <w:r w:rsidRPr="00BE2643">
              <w:t>d. 5. jagu. Lunastamata või tagasiostmata väärtpaberite näitaja, sh kindlustusvaldkonna tütarettevõtjad</w:t>
            </w:r>
          </w:p>
        </w:tc>
        <w:tc>
          <w:tcPr>
            <w:tcW w:w="2745" w:type="dxa"/>
            <w:tcBorders>
              <w:left w:val="nil"/>
              <w:right w:val="nil"/>
            </w:tcBorders>
            <w:noWrap/>
          </w:tcPr>
          <w:p w:rsidRPr="00BE2643" w:rsidR="00A3063F" w:rsidP="0020784C" w:rsidRDefault="00A3063F" w14:paraId="36D0C0FE" w14:textId="77777777">
            <w:pPr>
              <w:jc w:val="right"/>
              <w:rPr>
                <w:rFonts w:ascii="Arial" w:hAnsi="Arial" w:eastAsia="Times New Roman" w:cs="Arial"/>
                <w:sz w:val="20"/>
                <w:szCs w:val="20"/>
                <w:lang w:eastAsia="en-GB"/>
              </w:rPr>
            </w:pPr>
          </w:p>
        </w:tc>
      </w:tr>
      <w:tr w:rsidRPr="00BE2643" w:rsidR="00A3063F" w:rsidTr="0020784C" w14:paraId="661EF4BF"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31E0A44" w14:textId="77777777">
            <w:pPr>
              <w:ind w:firstLine="220" w:firstLineChars="100"/>
              <w:rPr>
                <w:rFonts w:ascii="Arial" w:hAnsi="Arial" w:eastAsia="Times New Roman" w:cs="Arial"/>
                <w:sz w:val="20"/>
                <w:szCs w:val="20"/>
              </w:rPr>
            </w:pPr>
            <w:r w:rsidRPr="00BE2643">
              <w:t>e. 6. jagu. Maksetegevuse näitaja</w:t>
            </w:r>
          </w:p>
        </w:tc>
        <w:tc>
          <w:tcPr>
            <w:tcW w:w="2745" w:type="dxa"/>
            <w:tcBorders>
              <w:left w:val="nil"/>
              <w:right w:val="nil"/>
            </w:tcBorders>
            <w:noWrap/>
          </w:tcPr>
          <w:p w:rsidRPr="00BE2643" w:rsidR="00A3063F" w:rsidP="0020784C" w:rsidRDefault="00A3063F" w14:paraId="627CBB01" w14:textId="77777777">
            <w:pPr>
              <w:jc w:val="right"/>
              <w:rPr>
                <w:rFonts w:ascii="Arial" w:hAnsi="Arial" w:eastAsia="Times New Roman" w:cs="Arial"/>
                <w:sz w:val="20"/>
                <w:szCs w:val="20"/>
                <w:lang w:eastAsia="en-GB"/>
              </w:rPr>
            </w:pPr>
          </w:p>
        </w:tc>
      </w:tr>
      <w:tr w:rsidRPr="00BE2643" w:rsidR="00A3063F" w:rsidTr="0020784C" w14:paraId="0B93B6A0"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4CA025FE" w14:textId="77777777">
            <w:pPr>
              <w:ind w:firstLine="220" w:firstLineChars="100"/>
              <w:rPr>
                <w:rFonts w:ascii="Arial" w:hAnsi="Arial" w:eastAsia="Times New Roman" w:cs="Arial"/>
                <w:sz w:val="20"/>
                <w:szCs w:val="20"/>
              </w:rPr>
            </w:pPr>
            <w:r w:rsidRPr="00BE2643">
              <w:t>f. 7. jagu. Hoiul olevate varade näitaja</w:t>
            </w:r>
          </w:p>
        </w:tc>
        <w:tc>
          <w:tcPr>
            <w:tcW w:w="2745" w:type="dxa"/>
            <w:tcBorders>
              <w:left w:val="nil"/>
              <w:right w:val="nil"/>
            </w:tcBorders>
            <w:noWrap/>
          </w:tcPr>
          <w:p w:rsidRPr="00BE2643" w:rsidR="00A3063F" w:rsidP="0020784C" w:rsidRDefault="00A3063F" w14:paraId="36DE5C9D" w14:textId="77777777">
            <w:pPr>
              <w:jc w:val="right"/>
              <w:rPr>
                <w:rFonts w:ascii="Arial" w:hAnsi="Arial" w:eastAsia="Times New Roman" w:cs="Arial"/>
                <w:sz w:val="20"/>
                <w:szCs w:val="20"/>
                <w:lang w:eastAsia="en-GB"/>
              </w:rPr>
            </w:pPr>
          </w:p>
        </w:tc>
      </w:tr>
      <w:tr w:rsidRPr="00BE2643" w:rsidR="00A3063F" w:rsidTr="0020784C" w14:paraId="11362FC2"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3CD1C575" w14:textId="77777777">
            <w:pPr>
              <w:ind w:firstLine="220" w:firstLineChars="100"/>
              <w:rPr>
                <w:rFonts w:ascii="Arial" w:hAnsi="Arial" w:eastAsia="Times New Roman" w:cs="Arial"/>
                <w:sz w:val="20"/>
                <w:szCs w:val="20"/>
              </w:rPr>
            </w:pPr>
            <w:r w:rsidRPr="00BE2643">
              <w:t>g. 8. jagu. Emissioonide tagamise tehingute näitaja</w:t>
            </w:r>
          </w:p>
        </w:tc>
        <w:tc>
          <w:tcPr>
            <w:tcW w:w="2745" w:type="dxa"/>
            <w:tcBorders>
              <w:left w:val="nil"/>
              <w:right w:val="nil"/>
            </w:tcBorders>
            <w:noWrap/>
          </w:tcPr>
          <w:p w:rsidRPr="00BE2643" w:rsidR="00A3063F" w:rsidP="0020784C" w:rsidRDefault="00A3063F" w14:paraId="5690EF39" w14:textId="77777777">
            <w:pPr>
              <w:jc w:val="right"/>
              <w:rPr>
                <w:rFonts w:ascii="Arial" w:hAnsi="Arial" w:eastAsia="Times New Roman" w:cs="Arial"/>
                <w:sz w:val="20"/>
                <w:szCs w:val="20"/>
                <w:lang w:eastAsia="en-GB"/>
              </w:rPr>
            </w:pPr>
          </w:p>
        </w:tc>
      </w:tr>
      <w:tr w:rsidRPr="00BE2643" w:rsidR="00A3063F" w:rsidTr="0020784C" w14:paraId="09051C40"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66D2D4FB" w14:textId="77777777">
            <w:pPr>
              <w:ind w:firstLine="220" w:firstLineChars="100"/>
              <w:rPr>
                <w:rFonts w:ascii="Arial" w:hAnsi="Arial" w:eastAsia="Times New Roman" w:cs="Arial"/>
                <w:sz w:val="20"/>
                <w:szCs w:val="20"/>
              </w:rPr>
            </w:pPr>
            <w:r w:rsidRPr="00BE2643">
              <w:t>h. 9. jagu (c). Kauplemismahu fikseeritud tulu alamnäitaja</w:t>
            </w:r>
          </w:p>
        </w:tc>
        <w:tc>
          <w:tcPr>
            <w:tcW w:w="2745" w:type="dxa"/>
            <w:tcBorders>
              <w:left w:val="nil"/>
              <w:right w:val="nil"/>
            </w:tcBorders>
            <w:noWrap/>
          </w:tcPr>
          <w:p w:rsidRPr="00BE2643" w:rsidR="00A3063F" w:rsidP="0020784C" w:rsidRDefault="00A3063F" w14:paraId="4141812B" w14:textId="77777777">
            <w:pPr>
              <w:jc w:val="right"/>
              <w:rPr>
                <w:rFonts w:ascii="Arial" w:hAnsi="Arial" w:eastAsia="Times New Roman" w:cs="Arial"/>
                <w:sz w:val="20"/>
                <w:szCs w:val="20"/>
                <w:lang w:eastAsia="en-GB"/>
              </w:rPr>
            </w:pPr>
          </w:p>
        </w:tc>
      </w:tr>
      <w:tr w:rsidRPr="00BE2643" w:rsidR="00A3063F" w:rsidTr="0020784C" w14:paraId="528E24DA"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24197D9F" w14:textId="77777777">
            <w:pPr>
              <w:ind w:left="171" w:firstLine="77" w:firstLineChars="35"/>
              <w:rPr>
                <w:rFonts w:ascii="Arial" w:hAnsi="Arial" w:eastAsia="Times New Roman" w:cs="Arial"/>
                <w:sz w:val="20"/>
                <w:szCs w:val="20"/>
              </w:rPr>
            </w:pPr>
            <w:r w:rsidRPr="00BE2643">
              <w:lastRenderedPageBreak/>
              <w:t>i. 9. jagu (f). Kauplemismahu näitaja – omandiväärtpaberid ja teised väärtpaberid</w:t>
            </w:r>
          </w:p>
        </w:tc>
        <w:tc>
          <w:tcPr>
            <w:tcW w:w="2745" w:type="dxa"/>
            <w:tcBorders>
              <w:left w:val="nil"/>
              <w:right w:val="nil"/>
            </w:tcBorders>
            <w:noWrap/>
          </w:tcPr>
          <w:p w:rsidRPr="00BE2643" w:rsidR="00A3063F" w:rsidP="0020784C" w:rsidRDefault="00A3063F" w14:paraId="00F50359" w14:textId="77777777">
            <w:pPr>
              <w:jc w:val="right"/>
              <w:rPr>
                <w:rFonts w:ascii="Arial" w:hAnsi="Arial" w:eastAsia="Times New Roman" w:cs="Arial"/>
                <w:sz w:val="20"/>
                <w:szCs w:val="20"/>
                <w:lang w:eastAsia="en-GB"/>
              </w:rPr>
            </w:pPr>
          </w:p>
        </w:tc>
      </w:tr>
      <w:tr w:rsidRPr="00BE2643" w:rsidR="00A3063F" w:rsidTr="0020784C" w14:paraId="6F034ECE"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3228AFE4" w14:textId="77777777">
            <w:pPr>
              <w:ind w:left="171" w:firstLine="77" w:firstLineChars="35"/>
              <w:rPr>
                <w:rFonts w:ascii="Arial" w:hAnsi="Arial" w:eastAsia="Times New Roman" w:cs="Arial"/>
                <w:sz w:val="20"/>
                <w:szCs w:val="20"/>
              </w:rPr>
            </w:pPr>
            <w:r w:rsidRPr="00BE2643">
              <w:t>j. 10. jagu. Börsiväliste tuletisinstrumentide näitaja, sh kindlustusvaldkonna tütarettevõtjad</w:t>
            </w:r>
          </w:p>
        </w:tc>
        <w:tc>
          <w:tcPr>
            <w:tcW w:w="2745" w:type="dxa"/>
            <w:tcBorders>
              <w:left w:val="nil"/>
              <w:right w:val="nil"/>
            </w:tcBorders>
            <w:noWrap/>
          </w:tcPr>
          <w:p w:rsidRPr="00BE2643" w:rsidR="00A3063F" w:rsidP="0020784C" w:rsidRDefault="00A3063F" w14:paraId="5DF083F6" w14:textId="77777777">
            <w:pPr>
              <w:jc w:val="right"/>
              <w:rPr>
                <w:rFonts w:ascii="Arial" w:hAnsi="Arial" w:eastAsia="Times New Roman" w:cs="Arial"/>
                <w:sz w:val="20"/>
                <w:szCs w:val="20"/>
                <w:lang w:eastAsia="en-GB"/>
              </w:rPr>
            </w:pPr>
          </w:p>
        </w:tc>
      </w:tr>
      <w:tr w:rsidRPr="00BE2643" w:rsidR="00A3063F" w:rsidTr="0020784C" w14:paraId="226E6C13"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6CF317E4" w14:textId="77777777">
            <w:pPr>
              <w:ind w:firstLine="220" w:firstLineChars="100"/>
              <w:rPr>
                <w:rFonts w:ascii="Arial" w:hAnsi="Arial" w:eastAsia="Times New Roman" w:cs="Arial"/>
                <w:sz w:val="20"/>
                <w:szCs w:val="20"/>
              </w:rPr>
            </w:pPr>
            <w:r w:rsidRPr="00BE2643">
              <w:t>k. i. 10. jagu. Kaubeldavate ja müügivalmis väärtpaberite näitaja</w:t>
            </w:r>
          </w:p>
        </w:tc>
        <w:tc>
          <w:tcPr>
            <w:tcW w:w="2745" w:type="dxa"/>
            <w:tcBorders>
              <w:left w:val="nil"/>
              <w:right w:val="nil"/>
            </w:tcBorders>
            <w:noWrap/>
          </w:tcPr>
          <w:p w:rsidRPr="00BE2643" w:rsidR="00A3063F" w:rsidP="0020784C" w:rsidRDefault="00A3063F" w14:paraId="44E864C3" w14:textId="77777777">
            <w:pPr>
              <w:jc w:val="right"/>
              <w:rPr>
                <w:rFonts w:ascii="Arial" w:hAnsi="Arial" w:eastAsia="Times New Roman" w:cs="Arial"/>
                <w:sz w:val="20"/>
                <w:szCs w:val="20"/>
                <w:lang w:eastAsia="en-GB"/>
              </w:rPr>
            </w:pPr>
          </w:p>
        </w:tc>
      </w:tr>
      <w:tr w:rsidRPr="00BE2643" w:rsidR="00A3063F" w:rsidTr="0020784C" w14:paraId="796DBB99"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134E993" w14:textId="77777777">
            <w:pPr>
              <w:ind w:firstLine="220" w:firstLineChars="100"/>
              <w:rPr>
                <w:rFonts w:ascii="Arial" w:hAnsi="Arial" w:eastAsia="Times New Roman" w:cs="Arial"/>
                <w:sz w:val="20"/>
                <w:szCs w:val="20"/>
              </w:rPr>
            </w:pPr>
            <w:r w:rsidRPr="00BE2643">
              <w:t>l. 12. jagu. 3. taseme varad, sh kindlustusvaldkonna tütarettevõtjad</w:t>
            </w:r>
          </w:p>
        </w:tc>
        <w:tc>
          <w:tcPr>
            <w:tcW w:w="2745" w:type="dxa"/>
            <w:tcBorders>
              <w:left w:val="nil"/>
              <w:right w:val="nil"/>
            </w:tcBorders>
            <w:noWrap/>
          </w:tcPr>
          <w:p w:rsidRPr="00BE2643" w:rsidR="00A3063F" w:rsidP="0020784C" w:rsidRDefault="00A3063F" w14:paraId="65F1699E" w14:textId="77777777">
            <w:pPr>
              <w:jc w:val="right"/>
              <w:rPr>
                <w:rFonts w:ascii="Arial" w:hAnsi="Arial" w:eastAsia="Times New Roman" w:cs="Arial"/>
                <w:sz w:val="20"/>
                <w:szCs w:val="20"/>
                <w:lang w:eastAsia="en-GB"/>
              </w:rPr>
            </w:pPr>
          </w:p>
        </w:tc>
      </w:tr>
      <w:tr w:rsidRPr="00BE2643" w:rsidR="00A3063F" w:rsidTr="0020784C" w14:paraId="4259C3A2"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1C2C2CA" w14:textId="77777777">
            <w:pPr>
              <w:ind w:firstLine="220" w:firstLineChars="100"/>
              <w:rPr>
                <w:rFonts w:ascii="Arial" w:hAnsi="Arial" w:eastAsia="Times New Roman" w:cs="Arial"/>
                <w:sz w:val="20"/>
                <w:szCs w:val="20"/>
              </w:rPr>
            </w:pPr>
            <w:r w:rsidRPr="00BE2643">
              <w:t>m. 13. jagu. Jurisdiktsiooniüleste nõuete näitaja</w:t>
            </w:r>
          </w:p>
        </w:tc>
        <w:tc>
          <w:tcPr>
            <w:tcW w:w="2745" w:type="dxa"/>
            <w:tcBorders>
              <w:left w:val="nil"/>
              <w:right w:val="nil"/>
            </w:tcBorders>
            <w:noWrap/>
          </w:tcPr>
          <w:p w:rsidRPr="00BE2643" w:rsidR="00A3063F" w:rsidP="0020784C" w:rsidRDefault="00A3063F" w14:paraId="27B76992" w14:textId="77777777">
            <w:pPr>
              <w:jc w:val="right"/>
              <w:rPr>
                <w:rFonts w:ascii="Arial" w:hAnsi="Arial" w:eastAsia="Times New Roman" w:cs="Arial"/>
                <w:sz w:val="20"/>
                <w:szCs w:val="20"/>
                <w:lang w:eastAsia="en-GB"/>
              </w:rPr>
            </w:pPr>
          </w:p>
        </w:tc>
      </w:tr>
      <w:tr w:rsidRPr="00BE2643" w:rsidR="00A3063F" w:rsidTr="0020784C" w14:paraId="4E5842FC"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8B2F42C" w14:textId="77777777">
            <w:pPr>
              <w:ind w:firstLine="220" w:firstLineChars="100"/>
              <w:rPr>
                <w:rFonts w:ascii="Arial" w:hAnsi="Arial" w:eastAsia="Times New Roman" w:cs="Arial"/>
                <w:sz w:val="20"/>
                <w:szCs w:val="20"/>
              </w:rPr>
            </w:pPr>
            <w:r w:rsidRPr="00BE2643">
              <w:t>n. 14. jagu. Jurisdiktsiooniüleste kohustuste näitaja</w:t>
            </w:r>
          </w:p>
        </w:tc>
        <w:tc>
          <w:tcPr>
            <w:tcW w:w="2745" w:type="dxa"/>
            <w:tcBorders>
              <w:left w:val="nil"/>
              <w:right w:val="nil"/>
            </w:tcBorders>
            <w:noWrap/>
          </w:tcPr>
          <w:p w:rsidRPr="00BE2643" w:rsidR="00A3063F" w:rsidP="0020784C" w:rsidRDefault="00A3063F" w14:paraId="544DF90D" w14:textId="77777777">
            <w:pPr>
              <w:jc w:val="right"/>
              <w:rPr>
                <w:rFonts w:ascii="Arial" w:hAnsi="Arial" w:eastAsia="Times New Roman" w:cs="Arial"/>
                <w:sz w:val="20"/>
                <w:szCs w:val="20"/>
                <w:lang w:eastAsia="en-GB"/>
              </w:rPr>
            </w:pPr>
          </w:p>
        </w:tc>
      </w:tr>
      <w:tr w:rsidRPr="00BE2643" w:rsidR="00A3063F" w:rsidTr="0020784C" w14:paraId="5978F744"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2B0EA087" w14:textId="77777777">
            <w:pPr>
              <w:ind w:firstLine="220" w:firstLineChars="100"/>
              <w:rPr>
                <w:rFonts w:ascii="Arial" w:hAnsi="Arial" w:eastAsia="Times New Roman" w:cs="Arial"/>
                <w:sz w:val="20"/>
                <w:szCs w:val="20"/>
              </w:rPr>
            </w:pPr>
            <w:r w:rsidRPr="00BE2643">
              <w:t>o. Muud jaod</w:t>
            </w:r>
          </w:p>
        </w:tc>
        <w:tc>
          <w:tcPr>
            <w:tcW w:w="2745" w:type="dxa"/>
            <w:tcBorders>
              <w:left w:val="nil"/>
              <w:right w:val="nil"/>
            </w:tcBorders>
            <w:noWrap/>
          </w:tcPr>
          <w:p w:rsidRPr="00BE2643" w:rsidR="00A3063F" w:rsidP="0020784C" w:rsidRDefault="00A3063F" w14:paraId="6B3132DB" w14:textId="77777777">
            <w:pPr>
              <w:jc w:val="right"/>
              <w:rPr>
                <w:rFonts w:ascii="Arial" w:hAnsi="Arial" w:eastAsia="Times New Roman" w:cs="Arial"/>
                <w:sz w:val="20"/>
                <w:szCs w:val="20"/>
                <w:lang w:eastAsia="en-GB"/>
              </w:rPr>
            </w:pPr>
          </w:p>
        </w:tc>
      </w:tr>
      <w:tr w:rsidRPr="00BE2643" w:rsidR="00A3063F" w:rsidTr="0020784C" w14:paraId="68571C22"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10B2C159" w14:textId="77777777">
            <w:pPr>
              <w:ind w:firstLine="220" w:firstLineChars="100"/>
              <w:rPr>
                <w:rFonts w:ascii="Arial" w:hAnsi="Arial" w:eastAsia="Times New Roman" w:cs="Arial"/>
                <w:sz w:val="20"/>
                <w:szCs w:val="20"/>
              </w:rPr>
            </w:pPr>
            <w:r w:rsidRPr="00BE2643">
              <w:t>(1) Kirje 1.a ‒ Järelevalveasutuse esitatav üldteave</w:t>
            </w:r>
          </w:p>
        </w:tc>
        <w:tc>
          <w:tcPr>
            <w:tcW w:w="2745" w:type="dxa"/>
            <w:tcBorders>
              <w:left w:val="nil"/>
              <w:right w:val="nil"/>
            </w:tcBorders>
            <w:noWrap/>
          </w:tcPr>
          <w:p w:rsidRPr="00BE2643" w:rsidR="00A3063F" w:rsidP="0020784C" w:rsidRDefault="00A3063F" w14:paraId="34B03E69" w14:textId="77777777">
            <w:pPr>
              <w:jc w:val="right"/>
              <w:rPr>
                <w:rFonts w:ascii="Arial" w:hAnsi="Arial" w:eastAsia="Times New Roman" w:cs="Arial"/>
                <w:sz w:val="20"/>
                <w:szCs w:val="20"/>
                <w:lang w:eastAsia="en-GB"/>
              </w:rPr>
            </w:pPr>
          </w:p>
        </w:tc>
      </w:tr>
      <w:tr w:rsidRPr="00BE2643" w:rsidR="00A3063F" w:rsidTr="0020784C" w14:paraId="550A4800"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0DF23F5" w14:textId="77777777">
            <w:pPr>
              <w:ind w:firstLine="220" w:firstLineChars="100"/>
              <w:rPr>
                <w:rFonts w:ascii="Arial" w:hAnsi="Arial" w:eastAsia="Times New Roman" w:cs="Arial"/>
                <w:sz w:val="20"/>
                <w:szCs w:val="20"/>
              </w:rPr>
            </w:pPr>
            <w:r w:rsidRPr="00BE2643">
              <w:t>(2) Kirje 1.b ‒ Aruandva finantseerimisasutuse esitatav üldteave</w:t>
            </w:r>
          </w:p>
        </w:tc>
        <w:tc>
          <w:tcPr>
            <w:tcW w:w="2745" w:type="dxa"/>
            <w:tcBorders>
              <w:left w:val="nil"/>
              <w:right w:val="nil"/>
            </w:tcBorders>
            <w:noWrap/>
          </w:tcPr>
          <w:p w:rsidRPr="00BE2643" w:rsidR="00A3063F" w:rsidP="0020784C" w:rsidRDefault="00A3063F" w14:paraId="3B736584" w14:textId="77777777">
            <w:pPr>
              <w:jc w:val="right"/>
              <w:rPr>
                <w:rFonts w:ascii="Arial" w:hAnsi="Arial" w:eastAsia="Times New Roman" w:cs="Arial"/>
                <w:sz w:val="20"/>
                <w:szCs w:val="20"/>
                <w:lang w:eastAsia="en-GB"/>
              </w:rPr>
            </w:pPr>
          </w:p>
        </w:tc>
      </w:tr>
      <w:tr w:rsidRPr="00BE2643" w:rsidR="00A3063F" w:rsidTr="0020784C" w14:paraId="7673545D"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6791A0B" w14:textId="77777777">
            <w:pPr>
              <w:ind w:firstLine="220" w:firstLineChars="100"/>
              <w:rPr>
                <w:rFonts w:ascii="Arial" w:hAnsi="Arial" w:eastAsia="Times New Roman" w:cs="Arial"/>
                <w:sz w:val="20"/>
                <w:szCs w:val="20"/>
              </w:rPr>
            </w:pPr>
            <w:r w:rsidRPr="00BE2643">
              <w:t>(3) 15. jagu. Lisanäitajad</w:t>
            </w:r>
          </w:p>
        </w:tc>
        <w:tc>
          <w:tcPr>
            <w:tcW w:w="2745" w:type="dxa"/>
            <w:tcBorders>
              <w:left w:val="nil"/>
              <w:right w:val="nil"/>
            </w:tcBorders>
            <w:noWrap/>
          </w:tcPr>
          <w:p w:rsidRPr="00BE2643" w:rsidR="00A3063F" w:rsidP="0020784C" w:rsidRDefault="00A3063F" w14:paraId="6EE8DD01" w14:textId="77777777">
            <w:pPr>
              <w:jc w:val="right"/>
              <w:rPr>
                <w:rFonts w:ascii="Arial" w:hAnsi="Arial" w:eastAsia="Times New Roman" w:cs="Arial"/>
                <w:sz w:val="20"/>
                <w:szCs w:val="20"/>
                <w:lang w:eastAsia="en-GB"/>
              </w:rPr>
            </w:pPr>
          </w:p>
        </w:tc>
      </w:tr>
      <w:tr w:rsidRPr="00BE2643" w:rsidR="00A3063F" w:rsidTr="0020784C" w14:paraId="68E7D7B2"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41786E4B" w14:textId="77777777">
            <w:pPr>
              <w:ind w:firstLine="220" w:firstLineChars="100"/>
              <w:rPr>
                <w:rFonts w:ascii="Arial" w:hAnsi="Arial" w:eastAsia="Times New Roman" w:cs="Arial"/>
                <w:sz w:val="20"/>
                <w:szCs w:val="20"/>
              </w:rPr>
            </w:pPr>
            <w:r w:rsidRPr="00BE2643">
              <w:t>(4) 16. jagu. Lisakirjed</w:t>
            </w:r>
          </w:p>
        </w:tc>
        <w:tc>
          <w:tcPr>
            <w:tcW w:w="2745" w:type="dxa"/>
            <w:tcBorders>
              <w:left w:val="nil"/>
              <w:right w:val="nil"/>
            </w:tcBorders>
            <w:noWrap/>
          </w:tcPr>
          <w:p w:rsidRPr="00BE2643" w:rsidR="00A3063F" w:rsidP="0020784C" w:rsidRDefault="00A3063F" w14:paraId="442C0C7C" w14:textId="77777777">
            <w:pPr>
              <w:jc w:val="right"/>
              <w:rPr>
                <w:rFonts w:ascii="Arial" w:hAnsi="Arial" w:eastAsia="Times New Roman" w:cs="Arial"/>
                <w:sz w:val="20"/>
                <w:szCs w:val="20"/>
                <w:lang w:eastAsia="en-GB"/>
              </w:rPr>
            </w:pPr>
          </w:p>
        </w:tc>
      </w:tr>
      <w:tr w:rsidRPr="00BE2643" w:rsidR="00A3063F" w:rsidTr="0020784C" w14:paraId="0A481CB6"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214AC206" w14:textId="77777777">
            <w:pPr>
              <w:ind w:firstLine="220" w:firstLineChars="100"/>
              <w:rPr>
                <w:rFonts w:ascii="Arial" w:hAnsi="Arial" w:eastAsia="Times New Roman" w:cs="Arial"/>
                <w:sz w:val="20"/>
                <w:szCs w:val="20"/>
              </w:rPr>
            </w:pPr>
            <w:r w:rsidRPr="00BE2643">
              <w:t>(5) 17. jagu. Suuruse kirjed</w:t>
            </w:r>
          </w:p>
        </w:tc>
        <w:tc>
          <w:tcPr>
            <w:tcW w:w="2745" w:type="dxa"/>
            <w:tcBorders>
              <w:left w:val="nil"/>
              <w:right w:val="nil"/>
            </w:tcBorders>
            <w:noWrap/>
          </w:tcPr>
          <w:p w:rsidRPr="00BE2643" w:rsidR="00A3063F" w:rsidP="0020784C" w:rsidRDefault="00A3063F" w14:paraId="4C022B68" w14:textId="77777777">
            <w:pPr>
              <w:jc w:val="right"/>
              <w:rPr>
                <w:rFonts w:ascii="Arial" w:hAnsi="Arial" w:eastAsia="Times New Roman" w:cs="Arial"/>
                <w:sz w:val="20"/>
                <w:szCs w:val="20"/>
                <w:lang w:eastAsia="en-GB"/>
              </w:rPr>
            </w:pPr>
          </w:p>
        </w:tc>
      </w:tr>
      <w:tr w:rsidRPr="00BE2643" w:rsidR="00A3063F" w:rsidTr="0020784C" w14:paraId="4219A2D3"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B822320" w14:textId="77777777">
            <w:pPr>
              <w:ind w:firstLine="220" w:firstLineChars="100"/>
              <w:rPr>
                <w:rFonts w:ascii="Arial" w:hAnsi="Arial" w:eastAsia="Times New Roman" w:cs="Arial"/>
                <w:sz w:val="20"/>
                <w:szCs w:val="20"/>
              </w:rPr>
            </w:pPr>
            <w:r w:rsidRPr="00BE2643">
              <w:t>(6) 18. jagu. Vastastikuse seotuse kirjed</w:t>
            </w:r>
          </w:p>
        </w:tc>
        <w:tc>
          <w:tcPr>
            <w:tcW w:w="2745" w:type="dxa"/>
            <w:tcBorders>
              <w:left w:val="nil"/>
              <w:right w:val="nil"/>
            </w:tcBorders>
            <w:noWrap/>
          </w:tcPr>
          <w:p w:rsidRPr="00BE2643" w:rsidR="00A3063F" w:rsidP="0020784C" w:rsidRDefault="00A3063F" w14:paraId="1A8A2E29" w14:textId="77777777">
            <w:pPr>
              <w:jc w:val="right"/>
              <w:rPr>
                <w:rFonts w:ascii="Arial" w:hAnsi="Arial" w:eastAsia="Times New Roman" w:cs="Arial"/>
                <w:sz w:val="20"/>
                <w:szCs w:val="20"/>
                <w:lang w:eastAsia="en-GB"/>
              </w:rPr>
            </w:pPr>
          </w:p>
        </w:tc>
      </w:tr>
      <w:tr w:rsidRPr="00BE2643" w:rsidR="00A3063F" w:rsidTr="0020784C" w14:paraId="6895C2F5"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6C8860E0" w14:textId="77777777">
            <w:pPr>
              <w:ind w:firstLine="220" w:firstLineChars="100"/>
              <w:rPr>
                <w:rFonts w:ascii="Arial" w:hAnsi="Arial" w:eastAsia="Times New Roman" w:cs="Arial"/>
                <w:sz w:val="20"/>
                <w:szCs w:val="20"/>
              </w:rPr>
            </w:pPr>
            <w:r w:rsidRPr="00BE2643">
              <w:t>(7) 19. jagu. Asendatavuse / finantsinfrastruktuuri kirjed</w:t>
            </w:r>
          </w:p>
        </w:tc>
        <w:tc>
          <w:tcPr>
            <w:tcW w:w="2745" w:type="dxa"/>
            <w:tcBorders>
              <w:left w:val="nil"/>
              <w:right w:val="nil"/>
            </w:tcBorders>
            <w:noWrap/>
          </w:tcPr>
          <w:p w:rsidRPr="00BE2643" w:rsidR="00A3063F" w:rsidP="0020784C" w:rsidRDefault="00A3063F" w14:paraId="46F9649D" w14:textId="77777777">
            <w:pPr>
              <w:jc w:val="right"/>
              <w:rPr>
                <w:rFonts w:ascii="Arial" w:hAnsi="Arial" w:eastAsia="Times New Roman" w:cs="Arial"/>
                <w:sz w:val="20"/>
                <w:szCs w:val="20"/>
                <w:lang w:eastAsia="en-GB"/>
              </w:rPr>
            </w:pPr>
          </w:p>
        </w:tc>
      </w:tr>
      <w:tr w:rsidRPr="00BE2643" w:rsidR="00A3063F" w:rsidTr="0020784C" w14:paraId="5713AA18"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54652EBC" w14:textId="77777777">
            <w:pPr>
              <w:ind w:firstLine="220" w:firstLineChars="100"/>
              <w:rPr>
                <w:rFonts w:ascii="Arial" w:hAnsi="Arial" w:eastAsia="Times New Roman" w:cs="Arial"/>
                <w:sz w:val="20"/>
                <w:szCs w:val="20"/>
              </w:rPr>
            </w:pPr>
            <w:r w:rsidRPr="00BE2643">
              <w:t>(8) 20. jagu. Keerukuse kirjed</w:t>
            </w:r>
          </w:p>
        </w:tc>
        <w:tc>
          <w:tcPr>
            <w:tcW w:w="2745" w:type="dxa"/>
            <w:tcBorders>
              <w:left w:val="nil"/>
              <w:right w:val="nil"/>
            </w:tcBorders>
            <w:noWrap/>
          </w:tcPr>
          <w:p w:rsidRPr="00BE2643" w:rsidR="00A3063F" w:rsidP="0020784C" w:rsidRDefault="00A3063F" w14:paraId="48BEB431" w14:textId="77777777">
            <w:pPr>
              <w:jc w:val="right"/>
              <w:rPr>
                <w:rFonts w:ascii="Arial" w:hAnsi="Arial" w:eastAsia="Times New Roman" w:cs="Arial"/>
                <w:sz w:val="20"/>
                <w:szCs w:val="20"/>
                <w:lang w:eastAsia="en-GB"/>
              </w:rPr>
            </w:pPr>
          </w:p>
        </w:tc>
      </w:tr>
      <w:tr w:rsidRPr="00BE2643" w:rsidR="00A3063F" w:rsidTr="0020784C" w14:paraId="6104CF28"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287142F2" w14:textId="77777777">
            <w:pPr>
              <w:ind w:firstLine="220" w:firstLineChars="100"/>
              <w:rPr>
                <w:rFonts w:ascii="Arial" w:hAnsi="Arial" w:eastAsia="Times New Roman" w:cs="Arial"/>
                <w:sz w:val="20"/>
                <w:szCs w:val="20"/>
              </w:rPr>
            </w:pPr>
            <w:r w:rsidRPr="00BE2643">
              <w:t>(9) 21. jagu. Jurisdiktsiooniülese tegevuse kirjed</w:t>
            </w:r>
          </w:p>
        </w:tc>
        <w:tc>
          <w:tcPr>
            <w:tcW w:w="2745" w:type="dxa"/>
            <w:tcBorders>
              <w:left w:val="nil"/>
              <w:right w:val="nil"/>
            </w:tcBorders>
            <w:noWrap/>
          </w:tcPr>
          <w:p w:rsidRPr="00BE2643" w:rsidR="00A3063F" w:rsidP="0020784C" w:rsidRDefault="00A3063F" w14:paraId="1C220ACB" w14:textId="77777777">
            <w:pPr>
              <w:jc w:val="right"/>
              <w:rPr>
                <w:rFonts w:ascii="Arial" w:hAnsi="Arial" w:eastAsia="Times New Roman" w:cs="Arial"/>
                <w:sz w:val="20"/>
                <w:szCs w:val="20"/>
                <w:lang w:eastAsia="en-GB"/>
              </w:rPr>
            </w:pPr>
          </w:p>
        </w:tc>
      </w:tr>
      <w:tr w:rsidRPr="00BE2643" w:rsidR="00A3063F" w:rsidTr="0020784C" w14:paraId="45A6CF6E"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108C2154" w14:textId="77777777">
            <w:pPr>
              <w:ind w:firstLine="220" w:firstLineChars="100"/>
              <w:rPr>
                <w:rFonts w:ascii="Arial" w:hAnsi="Arial" w:eastAsia="Times New Roman" w:cs="Arial"/>
                <w:sz w:val="20"/>
                <w:szCs w:val="20"/>
              </w:rPr>
            </w:pPr>
            <w:r w:rsidRPr="00BE2643">
              <w:t>(10) 22. jagu. Lisanäitajad</w:t>
            </w:r>
          </w:p>
        </w:tc>
        <w:tc>
          <w:tcPr>
            <w:tcW w:w="2745" w:type="dxa"/>
            <w:tcBorders>
              <w:left w:val="nil"/>
              <w:right w:val="nil"/>
            </w:tcBorders>
            <w:noWrap/>
          </w:tcPr>
          <w:p w:rsidRPr="00BE2643" w:rsidR="00A3063F" w:rsidP="0020784C" w:rsidRDefault="00A3063F" w14:paraId="6AE7474A" w14:textId="77777777">
            <w:pPr>
              <w:jc w:val="right"/>
              <w:rPr>
                <w:rFonts w:ascii="Arial" w:hAnsi="Arial" w:eastAsia="Times New Roman" w:cs="Arial"/>
                <w:sz w:val="20"/>
                <w:szCs w:val="20"/>
                <w:lang w:eastAsia="en-GB"/>
              </w:rPr>
            </w:pPr>
          </w:p>
        </w:tc>
      </w:tr>
      <w:tr w:rsidRPr="00BE2643" w:rsidR="00A3063F" w:rsidTr="0020784C" w14:paraId="1A85A753"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2B707805" w14:textId="77777777">
            <w:pPr>
              <w:rPr>
                <w:b/>
                <w:bCs/>
              </w:rPr>
            </w:pPr>
          </w:p>
        </w:tc>
        <w:tc>
          <w:tcPr>
            <w:tcW w:w="2745" w:type="dxa"/>
            <w:tcBorders>
              <w:left w:val="nil"/>
              <w:right w:val="nil"/>
            </w:tcBorders>
            <w:noWrap/>
          </w:tcPr>
          <w:p w:rsidRPr="00BE2643" w:rsidR="00A3063F" w:rsidP="0020784C" w:rsidRDefault="00A3063F" w14:paraId="14B90F1E" w14:textId="77777777">
            <w:pPr>
              <w:jc w:val="center"/>
              <w:rPr>
                <w:b/>
                <w:bCs/>
              </w:rPr>
            </w:pPr>
          </w:p>
        </w:tc>
      </w:tr>
      <w:tr w:rsidRPr="00BE2643" w:rsidR="00A3063F" w:rsidTr="0020784C" w14:paraId="67DC9BBF"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1470E230" w14:textId="77777777">
            <w:pPr>
              <w:rPr>
                <w:rFonts w:ascii="Arial" w:hAnsi="Arial" w:eastAsia="Times New Roman" w:cs="Arial"/>
                <w:sz w:val="20"/>
                <w:szCs w:val="20"/>
              </w:rPr>
            </w:pPr>
            <w:r w:rsidRPr="00BE2643">
              <w:rPr>
                <w:b/>
              </w:rPr>
              <w:t>24. jagu. Näitajate väärtused (vana metoodika)</w:t>
            </w:r>
          </w:p>
        </w:tc>
        <w:tc>
          <w:tcPr>
            <w:tcW w:w="2745" w:type="dxa"/>
            <w:tcBorders>
              <w:left w:val="nil"/>
              <w:right w:val="nil"/>
            </w:tcBorders>
            <w:noWrap/>
          </w:tcPr>
          <w:p w:rsidRPr="00BE2643" w:rsidR="00A3063F" w:rsidP="0020784C" w:rsidRDefault="00A3063F" w14:paraId="49A20668" w14:textId="77777777">
            <w:pPr>
              <w:jc w:val="center"/>
              <w:rPr>
                <w:rFonts w:ascii="Arial" w:hAnsi="Arial" w:eastAsia="Times New Roman" w:cs="Arial"/>
                <w:sz w:val="20"/>
                <w:szCs w:val="20"/>
              </w:rPr>
            </w:pPr>
            <w:r w:rsidRPr="00BE2643">
              <w:rPr>
                <w:b/>
              </w:rPr>
              <w:t>Näitaja väärtus aruandlusvaluutas</w:t>
            </w:r>
          </w:p>
        </w:tc>
      </w:tr>
      <w:tr w:rsidRPr="00BE2643" w:rsidR="00A3063F" w:rsidTr="0020784C" w14:paraId="4439B2A3"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154FD1AB" w14:textId="77777777">
            <w:pPr>
              <w:ind w:firstLine="220" w:firstLineChars="100"/>
              <w:rPr>
                <w:rFonts w:ascii="Arial" w:hAnsi="Arial" w:eastAsia="Times New Roman" w:cs="Arial"/>
                <w:sz w:val="20"/>
                <w:szCs w:val="20"/>
              </w:rPr>
            </w:pPr>
            <w:r w:rsidRPr="00BE2643">
              <w:t>a. 2. jagu. Koguriskipositsiooni näitaja</w:t>
            </w:r>
          </w:p>
        </w:tc>
        <w:tc>
          <w:tcPr>
            <w:tcW w:w="2745" w:type="dxa"/>
            <w:tcBorders>
              <w:left w:val="nil"/>
              <w:right w:val="nil"/>
            </w:tcBorders>
            <w:noWrap/>
          </w:tcPr>
          <w:p w:rsidRPr="00BE2643" w:rsidR="00A3063F" w:rsidP="0020784C" w:rsidRDefault="00A3063F" w14:paraId="322B5A73" w14:textId="77777777">
            <w:pPr>
              <w:jc w:val="right"/>
              <w:rPr>
                <w:rFonts w:ascii="Arial" w:hAnsi="Arial" w:eastAsia="Times New Roman" w:cs="Arial"/>
                <w:sz w:val="20"/>
                <w:szCs w:val="20"/>
                <w:lang w:eastAsia="en-GB"/>
              </w:rPr>
            </w:pPr>
          </w:p>
        </w:tc>
      </w:tr>
      <w:tr w:rsidRPr="00BE2643" w:rsidR="00A3063F" w:rsidTr="0020784C" w14:paraId="2303D8FD"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486EE47" w14:textId="77777777">
            <w:pPr>
              <w:ind w:firstLine="220" w:firstLineChars="100"/>
              <w:rPr>
                <w:rFonts w:ascii="Arial" w:hAnsi="Arial" w:eastAsia="Times New Roman" w:cs="Arial"/>
                <w:sz w:val="20"/>
                <w:szCs w:val="20"/>
              </w:rPr>
            </w:pPr>
            <w:r w:rsidRPr="00BE2643">
              <w:t>b. 3. jagu. Finantssüsteemisiseste varade näitaja</w:t>
            </w:r>
          </w:p>
        </w:tc>
        <w:tc>
          <w:tcPr>
            <w:tcW w:w="2745" w:type="dxa"/>
            <w:tcBorders>
              <w:left w:val="nil"/>
              <w:right w:val="nil"/>
            </w:tcBorders>
            <w:noWrap/>
          </w:tcPr>
          <w:p w:rsidRPr="00BE2643" w:rsidR="00A3063F" w:rsidP="0020784C" w:rsidRDefault="00A3063F" w14:paraId="77701C8A" w14:textId="77777777">
            <w:pPr>
              <w:jc w:val="right"/>
              <w:rPr>
                <w:rFonts w:ascii="Arial" w:hAnsi="Arial" w:eastAsia="Times New Roman" w:cs="Arial"/>
                <w:sz w:val="20"/>
                <w:szCs w:val="20"/>
                <w:lang w:eastAsia="en-GB"/>
              </w:rPr>
            </w:pPr>
          </w:p>
        </w:tc>
      </w:tr>
      <w:tr w:rsidRPr="00BE2643" w:rsidR="00A3063F" w:rsidTr="0020784C" w14:paraId="379E7586"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65A82951" w14:textId="77777777">
            <w:pPr>
              <w:ind w:firstLine="220" w:firstLineChars="100"/>
              <w:rPr>
                <w:rFonts w:ascii="Arial" w:hAnsi="Arial" w:eastAsia="Times New Roman" w:cs="Arial"/>
                <w:sz w:val="20"/>
                <w:szCs w:val="20"/>
              </w:rPr>
            </w:pPr>
            <w:r w:rsidRPr="00BE2643">
              <w:t>c. 4. jagu. Finantssüsteemisiseste kohustuste näitaja</w:t>
            </w:r>
          </w:p>
        </w:tc>
        <w:tc>
          <w:tcPr>
            <w:tcW w:w="2745" w:type="dxa"/>
            <w:tcBorders>
              <w:left w:val="nil"/>
              <w:right w:val="nil"/>
            </w:tcBorders>
            <w:noWrap/>
          </w:tcPr>
          <w:p w:rsidRPr="00BE2643" w:rsidR="00A3063F" w:rsidP="0020784C" w:rsidRDefault="00A3063F" w14:paraId="7F45E63C" w14:textId="77777777">
            <w:pPr>
              <w:jc w:val="right"/>
              <w:rPr>
                <w:rFonts w:ascii="Arial" w:hAnsi="Arial" w:eastAsia="Times New Roman" w:cs="Arial"/>
                <w:sz w:val="20"/>
                <w:szCs w:val="20"/>
                <w:lang w:eastAsia="en-GB"/>
              </w:rPr>
            </w:pPr>
          </w:p>
        </w:tc>
      </w:tr>
      <w:tr w:rsidRPr="00BE2643" w:rsidR="00A3063F" w:rsidTr="0020784C" w14:paraId="3E7E64A9"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550F548B" w14:textId="77777777">
            <w:pPr>
              <w:ind w:firstLine="220" w:firstLineChars="100"/>
              <w:rPr>
                <w:rFonts w:ascii="Arial" w:hAnsi="Arial" w:eastAsia="Times New Roman" w:cs="Arial"/>
                <w:sz w:val="20"/>
                <w:szCs w:val="20"/>
              </w:rPr>
            </w:pPr>
            <w:r w:rsidRPr="00BE2643">
              <w:t>d. 5. jagu. Lunastamata või tagasiostmata väärtpaberite näitaja</w:t>
            </w:r>
          </w:p>
        </w:tc>
        <w:tc>
          <w:tcPr>
            <w:tcW w:w="2745" w:type="dxa"/>
            <w:tcBorders>
              <w:left w:val="nil"/>
              <w:right w:val="nil"/>
            </w:tcBorders>
            <w:noWrap/>
          </w:tcPr>
          <w:p w:rsidRPr="00BE2643" w:rsidR="00A3063F" w:rsidP="0020784C" w:rsidRDefault="00A3063F" w14:paraId="482B418C" w14:textId="77777777">
            <w:pPr>
              <w:jc w:val="right"/>
              <w:rPr>
                <w:rFonts w:ascii="Arial" w:hAnsi="Arial" w:eastAsia="Times New Roman" w:cs="Arial"/>
                <w:sz w:val="20"/>
                <w:szCs w:val="20"/>
                <w:lang w:eastAsia="en-GB"/>
              </w:rPr>
            </w:pPr>
          </w:p>
        </w:tc>
      </w:tr>
      <w:tr w:rsidRPr="00BE2643" w:rsidR="00A3063F" w:rsidTr="0020784C" w14:paraId="3423C8D1"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11E88834" w14:textId="77777777">
            <w:pPr>
              <w:ind w:firstLine="220" w:firstLineChars="100"/>
              <w:rPr>
                <w:rFonts w:ascii="Arial" w:hAnsi="Arial" w:eastAsia="Times New Roman" w:cs="Arial"/>
                <w:sz w:val="20"/>
                <w:szCs w:val="20"/>
              </w:rPr>
            </w:pPr>
            <w:r w:rsidRPr="00BE2643">
              <w:t>e. 6. jagu. Maksetegevuse näitaja</w:t>
            </w:r>
          </w:p>
        </w:tc>
        <w:tc>
          <w:tcPr>
            <w:tcW w:w="2745" w:type="dxa"/>
            <w:tcBorders>
              <w:left w:val="nil"/>
              <w:right w:val="nil"/>
            </w:tcBorders>
            <w:noWrap/>
          </w:tcPr>
          <w:p w:rsidRPr="00BE2643" w:rsidR="00A3063F" w:rsidP="0020784C" w:rsidRDefault="00A3063F" w14:paraId="20BE0072" w14:textId="77777777">
            <w:pPr>
              <w:jc w:val="right"/>
              <w:rPr>
                <w:rFonts w:ascii="Arial" w:hAnsi="Arial" w:eastAsia="Times New Roman" w:cs="Arial"/>
                <w:sz w:val="20"/>
                <w:szCs w:val="20"/>
                <w:lang w:eastAsia="en-GB"/>
              </w:rPr>
            </w:pPr>
          </w:p>
        </w:tc>
      </w:tr>
      <w:tr w:rsidRPr="00BE2643" w:rsidR="00A3063F" w:rsidTr="0020784C" w14:paraId="1071F7DB"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5BDBC4A1" w14:textId="77777777">
            <w:pPr>
              <w:ind w:firstLine="220" w:firstLineChars="100"/>
              <w:rPr>
                <w:rFonts w:ascii="Arial" w:hAnsi="Arial" w:eastAsia="Times New Roman" w:cs="Arial"/>
                <w:sz w:val="20"/>
                <w:szCs w:val="20"/>
              </w:rPr>
            </w:pPr>
            <w:r w:rsidRPr="00BE2643">
              <w:t>f. 7. jagu. Hoiul olevate varade näitaja</w:t>
            </w:r>
          </w:p>
        </w:tc>
        <w:tc>
          <w:tcPr>
            <w:tcW w:w="2745" w:type="dxa"/>
            <w:tcBorders>
              <w:left w:val="nil"/>
              <w:right w:val="nil"/>
            </w:tcBorders>
            <w:noWrap/>
          </w:tcPr>
          <w:p w:rsidRPr="00BE2643" w:rsidR="00A3063F" w:rsidP="0020784C" w:rsidRDefault="00A3063F" w14:paraId="19133200" w14:textId="77777777">
            <w:pPr>
              <w:jc w:val="right"/>
              <w:rPr>
                <w:rFonts w:ascii="Arial" w:hAnsi="Arial" w:eastAsia="Times New Roman" w:cs="Arial"/>
                <w:sz w:val="20"/>
                <w:szCs w:val="20"/>
                <w:lang w:eastAsia="en-GB"/>
              </w:rPr>
            </w:pPr>
          </w:p>
        </w:tc>
      </w:tr>
      <w:tr w:rsidRPr="00BE2643" w:rsidR="00A3063F" w:rsidTr="0020784C" w14:paraId="69EA266E"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7F3E3577" w14:textId="77777777">
            <w:pPr>
              <w:ind w:firstLine="220" w:firstLineChars="100"/>
              <w:rPr>
                <w:rFonts w:ascii="Arial" w:hAnsi="Arial" w:eastAsia="Times New Roman" w:cs="Arial"/>
                <w:sz w:val="20"/>
                <w:szCs w:val="20"/>
              </w:rPr>
            </w:pPr>
            <w:r w:rsidRPr="00BE2643">
              <w:t>g. 8. jagu. Emissioonide tagamise tehingute näitaja</w:t>
            </w:r>
          </w:p>
        </w:tc>
        <w:tc>
          <w:tcPr>
            <w:tcW w:w="2745" w:type="dxa"/>
            <w:tcBorders>
              <w:left w:val="nil"/>
              <w:right w:val="nil"/>
            </w:tcBorders>
            <w:noWrap/>
          </w:tcPr>
          <w:p w:rsidRPr="00BE2643" w:rsidR="00A3063F" w:rsidP="0020784C" w:rsidRDefault="00A3063F" w14:paraId="10961D2E" w14:textId="77777777">
            <w:pPr>
              <w:jc w:val="right"/>
              <w:rPr>
                <w:rFonts w:ascii="Arial" w:hAnsi="Arial" w:eastAsia="Times New Roman" w:cs="Arial"/>
                <w:sz w:val="20"/>
                <w:szCs w:val="20"/>
                <w:lang w:eastAsia="en-GB"/>
              </w:rPr>
            </w:pPr>
          </w:p>
        </w:tc>
      </w:tr>
      <w:tr w:rsidRPr="00BE2643" w:rsidR="00A3063F" w:rsidTr="0020784C" w14:paraId="531B4FBB"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56D1370E" w14:textId="77777777">
            <w:pPr>
              <w:ind w:firstLine="220" w:firstLineChars="100"/>
              <w:rPr>
                <w:rFonts w:ascii="Arial" w:hAnsi="Arial" w:eastAsia="Times New Roman" w:cs="Arial"/>
                <w:sz w:val="20"/>
                <w:szCs w:val="20"/>
              </w:rPr>
            </w:pPr>
            <w:r w:rsidRPr="00BE2643">
              <w:t>h. 9. jagu. Börsiväliste tuletisinstrumentide näitaja</w:t>
            </w:r>
          </w:p>
        </w:tc>
        <w:tc>
          <w:tcPr>
            <w:tcW w:w="2745" w:type="dxa"/>
            <w:tcBorders>
              <w:left w:val="nil"/>
              <w:right w:val="nil"/>
            </w:tcBorders>
            <w:noWrap/>
          </w:tcPr>
          <w:p w:rsidRPr="00BE2643" w:rsidR="00A3063F" w:rsidP="0020784C" w:rsidRDefault="00A3063F" w14:paraId="3339FFE9" w14:textId="77777777">
            <w:pPr>
              <w:jc w:val="right"/>
              <w:rPr>
                <w:rFonts w:ascii="Arial" w:hAnsi="Arial" w:eastAsia="Times New Roman" w:cs="Arial"/>
                <w:sz w:val="20"/>
                <w:szCs w:val="20"/>
                <w:lang w:eastAsia="en-GB"/>
              </w:rPr>
            </w:pPr>
          </w:p>
        </w:tc>
      </w:tr>
      <w:tr w:rsidRPr="00BE2643" w:rsidR="00A3063F" w:rsidTr="0020784C" w14:paraId="6443D0BE"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59CE9AB7" w14:textId="77777777">
            <w:pPr>
              <w:ind w:firstLine="220" w:firstLineChars="100"/>
              <w:rPr>
                <w:rFonts w:ascii="Arial" w:hAnsi="Arial" w:eastAsia="Times New Roman" w:cs="Arial"/>
                <w:sz w:val="20"/>
                <w:szCs w:val="20"/>
              </w:rPr>
            </w:pPr>
            <w:r w:rsidRPr="00BE2643">
              <w:t>i. 10. jagu. Kaubeldavate ja müügivalmis väärtpaberite näitaja</w:t>
            </w:r>
          </w:p>
        </w:tc>
        <w:tc>
          <w:tcPr>
            <w:tcW w:w="2745" w:type="dxa"/>
            <w:tcBorders>
              <w:left w:val="nil"/>
              <w:right w:val="nil"/>
            </w:tcBorders>
            <w:noWrap/>
          </w:tcPr>
          <w:p w:rsidRPr="00BE2643" w:rsidR="00A3063F" w:rsidP="0020784C" w:rsidRDefault="00A3063F" w14:paraId="661239E4" w14:textId="77777777">
            <w:pPr>
              <w:jc w:val="right"/>
              <w:rPr>
                <w:rFonts w:ascii="Arial" w:hAnsi="Arial" w:eastAsia="Times New Roman" w:cs="Arial"/>
                <w:sz w:val="20"/>
                <w:szCs w:val="20"/>
                <w:lang w:eastAsia="en-GB"/>
              </w:rPr>
            </w:pPr>
          </w:p>
        </w:tc>
      </w:tr>
      <w:tr w:rsidRPr="00BE2643" w:rsidR="00A3063F" w:rsidTr="0020784C" w14:paraId="384EF265"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18ABFEF7" w14:textId="77777777">
            <w:pPr>
              <w:ind w:firstLine="220" w:firstLineChars="100"/>
              <w:rPr>
                <w:rFonts w:ascii="Arial" w:hAnsi="Arial" w:eastAsia="Times New Roman" w:cs="Arial"/>
                <w:sz w:val="20"/>
                <w:szCs w:val="20"/>
              </w:rPr>
            </w:pPr>
            <w:r w:rsidRPr="00BE2643">
              <w:t>j. 11. jagu. 3. taseme varade näitaja</w:t>
            </w:r>
          </w:p>
        </w:tc>
        <w:tc>
          <w:tcPr>
            <w:tcW w:w="2745" w:type="dxa"/>
            <w:tcBorders>
              <w:left w:val="nil"/>
              <w:right w:val="nil"/>
            </w:tcBorders>
            <w:noWrap/>
          </w:tcPr>
          <w:p w:rsidRPr="00BE2643" w:rsidR="00A3063F" w:rsidP="0020784C" w:rsidRDefault="00A3063F" w14:paraId="1960F976" w14:textId="77777777">
            <w:pPr>
              <w:jc w:val="right"/>
              <w:rPr>
                <w:rFonts w:ascii="Arial" w:hAnsi="Arial" w:eastAsia="Times New Roman" w:cs="Arial"/>
                <w:sz w:val="20"/>
                <w:szCs w:val="20"/>
                <w:lang w:eastAsia="en-GB"/>
              </w:rPr>
            </w:pPr>
          </w:p>
        </w:tc>
      </w:tr>
      <w:tr w:rsidRPr="00BE2643" w:rsidR="00A3063F" w:rsidTr="0020784C" w14:paraId="4C194984"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47B5CDF4" w14:textId="77777777">
            <w:pPr>
              <w:ind w:firstLine="220" w:firstLineChars="100"/>
              <w:rPr>
                <w:rFonts w:ascii="Arial" w:hAnsi="Arial" w:eastAsia="Times New Roman" w:cs="Arial"/>
                <w:sz w:val="20"/>
                <w:szCs w:val="20"/>
              </w:rPr>
            </w:pPr>
            <w:r w:rsidRPr="00BE2643">
              <w:t>k. 13. jagu. Jurisdiktsiooniüleste kohustuste näitaja</w:t>
            </w:r>
          </w:p>
        </w:tc>
        <w:tc>
          <w:tcPr>
            <w:tcW w:w="2745" w:type="dxa"/>
            <w:tcBorders>
              <w:left w:val="nil"/>
              <w:right w:val="nil"/>
            </w:tcBorders>
            <w:noWrap/>
          </w:tcPr>
          <w:p w:rsidRPr="00BE2643" w:rsidR="00A3063F" w:rsidP="0020784C" w:rsidRDefault="00A3063F" w14:paraId="24AAEB80" w14:textId="77777777">
            <w:pPr>
              <w:jc w:val="right"/>
              <w:rPr>
                <w:rFonts w:ascii="Arial" w:hAnsi="Arial" w:eastAsia="Times New Roman" w:cs="Arial"/>
                <w:sz w:val="20"/>
                <w:szCs w:val="20"/>
                <w:lang w:eastAsia="en-GB"/>
              </w:rPr>
            </w:pPr>
          </w:p>
        </w:tc>
      </w:tr>
      <w:tr w:rsidRPr="00BE2643" w:rsidR="00A3063F" w:rsidTr="0020784C" w14:paraId="4B788799" w14:textId="77777777">
        <w:trPr>
          <w:trHeight w:val="300"/>
        </w:trPr>
        <w:tc>
          <w:tcPr>
            <w:tcW w:w="6804" w:type="dxa"/>
            <w:gridSpan w:val="2"/>
            <w:tcBorders>
              <w:left w:val="nil"/>
              <w:bottom w:val="single" w:color="auto" w:sz="4" w:space="0"/>
              <w:right w:val="nil"/>
            </w:tcBorders>
            <w:noWrap/>
          </w:tcPr>
          <w:p w:rsidRPr="00BE2643" w:rsidR="00A3063F" w:rsidP="0020784C" w:rsidRDefault="00A3063F" w14:paraId="012639C1" w14:textId="77777777">
            <w:pPr>
              <w:ind w:firstLine="220" w:firstLineChars="100"/>
              <w:rPr>
                <w:rFonts w:ascii="Arial" w:hAnsi="Arial" w:eastAsia="Times New Roman" w:cs="Arial"/>
                <w:sz w:val="20"/>
                <w:szCs w:val="20"/>
              </w:rPr>
            </w:pPr>
            <w:r w:rsidRPr="00BE2643">
              <w:t>l. 21. jagu. Jurisdiktsiooniüleste kohustuste näitaja</w:t>
            </w:r>
          </w:p>
        </w:tc>
        <w:tc>
          <w:tcPr>
            <w:tcW w:w="2745" w:type="dxa"/>
            <w:tcBorders>
              <w:left w:val="nil"/>
              <w:right w:val="nil"/>
            </w:tcBorders>
            <w:noWrap/>
          </w:tcPr>
          <w:p w:rsidRPr="00BE2643" w:rsidR="00A3063F" w:rsidP="0020784C" w:rsidRDefault="00A3063F" w14:paraId="32824AB3" w14:textId="77777777">
            <w:pPr>
              <w:jc w:val="right"/>
              <w:rPr>
                <w:rFonts w:ascii="Arial" w:hAnsi="Arial" w:eastAsia="Times New Roman" w:cs="Arial"/>
                <w:sz w:val="20"/>
                <w:szCs w:val="20"/>
                <w:lang w:eastAsia="en-GB"/>
              </w:rPr>
            </w:pPr>
          </w:p>
        </w:tc>
      </w:tr>
    </w:tbl>
    <w:p w:rsidRPr="00463211" w:rsidR="00B43E07" w:rsidP="00A3063F" w:rsidRDefault="00B43E07" w14:paraId="609D9107" w14:textId="34CF2015">
      <w:pPr>
        <w:widowControl w:val="0"/>
        <w:tabs>
          <w:tab w:val="left" w:pos="525"/>
        </w:tabs>
        <w:autoSpaceDE w:val="0"/>
        <w:autoSpaceDN w:val="0"/>
        <w:spacing w:before="240" w:after="120" w:line="276" w:lineRule="auto"/>
        <w:jc w:val="both"/>
      </w:pPr>
    </w:p>
    <w:sectPr w:rsidRPr="00463211"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5780" w14:textId="77777777" w:rsidR="00F34F8A" w:rsidRDefault="00F34F8A" w:rsidP="00A00E34">
      <w:r>
        <w:separator/>
      </w:r>
    </w:p>
    <w:p w14:paraId="3009BA58" w14:textId="77777777" w:rsidR="00F34F8A" w:rsidRDefault="00F34F8A"/>
  </w:endnote>
  <w:endnote w:type="continuationSeparator" w:id="0">
    <w:p w14:paraId="7A57039D" w14:textId="77777777" w:rsidR="00F34F8A" w:rsidRDefault="00F34F8A" w:rsidP="00A00E34">
      <w:r>
        <w:continuationSeparator/>
      </w:r>
    </w:p>
    <w:p w14:paraId="7732928C" w14:textId="77777777" w:rsidR="00F34F8A" w:rsidRDefault="00F34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766" w:rsidP="0017667F" w:rsidRDefault="00F30766"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F30766" w:rsidP="00610305" w:rsidRDefault="00F30766"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02F" w:rsidP="00B8502F" w:rsidRDefault="00B8502F" w14:paraId="3F2DF115" w14:textId="77777777">
    <w:pPr>
      <w:pStyle w:val="Footer"/>
      <w:jc w:val="right"/>
      <w:rPr>
        <w:rStyle w:val="PageNumber"/>
      </w:rPr>
    </w:pPr>
  </w:p>
  <w:p w:rsidRPr="00463211" w:rsidR="00F30766" w:rsidP="00B8502F" w:rsidRDefault="00F30766" w14:paraId="7C3A9832" w14:textId="75A95D5C">
    <w:pPr>
      <w:pStyle w:val="Footer"/>
      <w:jc w:val="right"/>
      <w:rPr>
        <w:rStyle w:val="PageNumber"/>
        <w:noProof/>
      </w:rPr>
    </w:pPr>
    <w:r w:rsidRPr="00463211">
      <w:rPr>
        <w:rStyle w:val="PageNumber"/>
      </w:rPr>
      <w:fldChar w:fldCharType="begin"/>
    </w:r>
    <w:r w:rsidRPr="00463211">
      <w:rPr>
        <w:rStyle w:val="PageNumber"/>
      </w:rPr>
      <w:instrText xml:space="preserve">PAGE  </w:instrText>
    </w:r>
    <w:r w:rsidRPr="00463211">
      <w:rPr>
        <w:rStyle w:val="PageNumber"/>
      </w:rPr>
      <w:fldChar w:fldCharType="separate"/>
    </w:r>
    <w:r w:rsidR="000C6424">
      <w:rPr>
        <w:rStyle w:val="PageNumber"/>
        <w:noProof/>
      </w:rPr>
      <w:t>1</w:t>
    </w:r>
    <w:r w:rsidRPr="00463211">
      <w:rPr>
        <w:rStyle w:val="PageNumber"/>
      </w:rPr>
      <w:fldChar w:fldCharType="end"/>
    </w:r>
  </w:p>
  <w:p w:rsidRPr="00463211" w:rsidR="00F30766" w:rsidP="00B8502F" w:rsidRDefault="00F30766" w14:paraId="6EEDA3DB" w14:textId="77777777">
    <w:pPr>
      <w:pStyle w:val="Footer"/>
      <w:spacing w:before="120"/>
      <w:ind w:right="360"/>
      <w:rPr>
        <w:noProof/>
      </w:rPr>
    </w:pPr>
    <w:r w:rsidRPr="00463211">
      <w:rPr>
        <w:noProof/>
        <w:lang w:val="en-GB" w:eastAsia="en-GB"/>
      </w:rPr>
      <mc:AlternateContent>
        <mc:Choice Requires="wps">
          <w:drawing>
            <wp:anchor distT="4294967295" distB="4294967295" distL="114300" distR="114300" simplePos="0" relativeHeight="251657728" behindDoc="1" locked="1" layoutInCell="1" allowOverlap="1" wp14:editId="2204BEA5" wp14:anchorId="127A96D1">
              <wp:simplePos x="0" y="0"/>
              <wp:positionH relativeFrom="column">
                <wp:posOffset>-71120</wp:posOffset>
              </wp:positionH>
              <wp:positionV relativeFrom="page">
                <wp:posOffset>9667875</wp:posOffset>
              </wp:positionV>
              <wp:extent cx="57238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" from="-5.6pt,761.25pt" to="445.1pt,761.25pt" w14:anchorId="7F1FF67C">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34DD" w14:textId="77777777" w:rsidR="00F34F8A" w:rsidRPr="00DB5E8F" w:rsidRDefault="00F34F8A">
      <w:pPr>
        <w:rPr>
          <w:sz w:val="12"/>
          <w:szCs w:val="12"/>
        </w:rPr>
      </w:pPr>
      <w:r w:rsidRPr="00DB5E8F">
        <w:rPr>
          <w:sz w:val="12"/>
          <w:szCs w:val="12"/>
        </w:rPr>
        <w:separator/>
      </w:r>
    </w:p>
  </w:footnote>
  <w:footnote w:type="continuationSeparator" w:id="0">
    <w:p w14:paraId="00625FCE" w14:textId="77777777" w:rsidR="00F34F8A" w:rsidRDefault="00F34F8A" w:rsidP="00A00E34">
      <w:r>
        <w:continuationSeparator/>
      </w:r>
    </w:p>
    <w:p w14:paraId="59020906" w14:textId="77777777" w:rsidR="00F34F8A" w:rsidRDefault="00F34F8A"/>
  </w:footnote>
  <w:footnote w:type="continuationNotice" w:id="1">
    <w:p w14:paraId="13C79102" w14:textId="77777777" w:rsidR="00F34F8A" w:rsidRDefault="00F34F8A"/>
  </w:footnote>
  <w:footnote w:id="2">
    <w:p w14:paraId="2B9C6101" w14:textId="2B4968B2" w:rsidR="00F30766" w:rsidRPr="00463211" w:rsidRDefault="00F30766" w:rsidP="00C92B4B">
      <w:pPr>
        <w:pStyle w:val="FootnoteText"/>
        <w:rPr>
          <w:rFonts w:ascii="Calibri" w:hAnsi="Calibri" w:cs="Calibri"/>
        </w:rPr>
      </w:pPr>
      <w:r w:rsidRPr="00463211">
        <w:rPr>
          <w:rStyle w:val="FootnoteReference"/>
          <w:rFonts w:ascii="Calibri" w:hAnsi="Calibri" w:cs="Calibri"/>
          <w:sz w:val="18"/>
        </w:rPr>
        <w:footnoteRef/>
      </w:r>
      <w:r w:rsidRPr="00463211">
        <w:rPr>
          <w:rFonts w:ascii="Calibri" w:hAnsi="Calibri"/>
        </w:rPr>
        <w:t xml:space="preserve"> Euroopa Parlamendi ja nõukogu 24. novembri 2010. aasta määrus (EL) nr 1093/2010, millega asutatakse Euroopa Järelevalveasutus (Euroopa Pangandusjärelevalve), muudetakse otsust nr 716/2009/EÜ ning tunnistatakse kehtetuks komisjoni otsus 2009/78/EÜ (ELT L 331, 15.12.2010, lk 12).</w:t>
      </w:r>
    </w:p>
  </w:footnote>
  <w:footnote w:id="3">
    <w:p w14:paraId="5D68EDCE" w14:textId="77777777" w:rsidR="008609BB" w:rsidRPr="008609BB" w:rsidRDefault="008609BB" w:rsidP="008609BB">
      <w:pPr>
        <w:pStyle w:val="FootnoteText"/>
        <w:rPr>
          <w:rFonts w:asciiTheme="minorHAnsi" w:hAnsiTheme="minorHAnsi" w:cstheme="minorHAnsi"/>
          <w:sz w:val="20"/>
          <w:szCs w:val="20"/>
        </w:rPr>
      </w:pPr>
      <w:r w:rsidRPr="008609BB">
        <w:rPr>
          <w:rStyle w:val="FootnoteReference"/>
          <w:rFonts w:cstheme="minorHAnsi"/>
          <w:sz w:val="20"/>
          <w:szCs w:val="20"/>
          <w:lang w:val="en-GB"/>
        </w:rPr>
        <w:footnoteRef/>
      </w:r>
      <w:r w:rsidRPr="008609BB">
        <w:rPr>
          <w:rFonts w:asciiTheme="minorHAnsi" w:hAnsiTheme="minorHAnsi" w:cstheme="minorHAnsi"/>
          <w:sz w:val="20"/>
          <w:szCs w:val="20"/>
        </w:rPr>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766" w:rsidRDefault="00F30766" w14:paraId="41B1516F" w14:textId="12C57839">
    <w:pPr>
      <w:rPr>
        <w:noProof/>
      </w:rPr>
    </w:pPr>
    <w:r>
      <w:ptab w:alignment="center" w:relativeTo="margin" w:leader="none"/>
    </w:r>
    <w:r>
      <w:ptab w:alignment="right" w:relativeTo="margin" w:leader="none"/>
    </w:r>
  </w:p>
  <w:p w:rsidR="00F30766" w:rsidRDefault="00F30766"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766" w:rsidP="002215B5" w:rsidRDefault="00F30766" w14:paraId="09B79A5D" w14:textId="77777777">
    <w:pPr>
      <w:pStyle w:val="Runningtitle"/>
    </w:pPr>
    <w:r w:rsidRPr="00463211">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463211">
      <w:t xml:space="preserve">LÕPPARUANNE Euroopa Pangandusjärelevalve suuniste kohta, mis käsitlevad </w:t>
    </w:r>
  </w:p>
  <w:p w:rsidRPr="00463211" w:rsidR="00F30766" w:rsidP="00463211" w:rsidRDefault="00F30766" w14:paraId="122C2463" w14:textId="7A37CF5F">
    <w:pPr>
      <w:pStyle w:val="Runningtitle"/>
      <w:rPr>
        <w:noProof/>
      </w:rPr>
    </w:pPr>
    <w:r w:rsidRPr="00463211">
      <w:t>süsteemse tähtsuse näitajate</w:t>
    </w:r>
    <w:r>
      <w:rPr>
        <w:noProof/>
      </w:rPr>
      <w:t xml:space="preserve"> </w:t>
    </w:r>
    <w:r w:rsidRPr="00463211">
      <w:t>täpsustamist ja avalikustamist</w:t>
    </w:r>
  </w:p>
  <w:p w:rsidRPr="00463211" w:rsidR="00F30766" w:rsidP="002215B5" w:rsidRDefault="00F30766"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766" w:rsidP="00E677EF" w:rsidRDefault="00F30766" w14:paraId="6E4DF7C2" w14:textId="77777777">
    <w:pPr>
      <w:pStyle w:val="Runningtitle"/>
      <w:rPr>
        <w:noProof/>
      </w:rPr>
    </w:pPr>
    <w:r>
      <w:t>Siia lisatakse päis asjakohases vormingus</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70F"/>
    <w:multiLevelType w:val="hybridMultilevel"/>
    <w:tmpl w:val="5B16EA34"/>
    <w:lvl w:ilvl="0" w:tplc="D50E1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5453EDA"/>
    <w:multiLevelType w:val="hybridMultilevel"/>
    <w:tmpl w:val="315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A9A15F4"/>
    <w:multiLevelType w:val="hybridMultilevel"/>
    <w:tmpl w:val="44B2CE44"/>
    <w:lvl w:ilvl="0" w:tplc="67FA7E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4CD"/>
    <w:multiLevelType w:val="hybridMultilevel"/>
    <w:tmpl w:val="7842D9F2"/>
    <w:lvl w:ilvl="0" w:tplc="14AC8834">
      <w:start w:val="1"/>
      <w:numFmt w:val="decimal"/>
      <w:lvlText w:val="%1."/>
      <w:lvlJc w:val="left"/>
      <w:pPr>
        <w:ind w:left="720" w:hanging="360"/>
      </w:pPr>
      <w:rPr>
        <w:rFonts w:hint="default"/>
      </w:rPr>
    </w:lvl>
    <w:lvl w:ilvl="1" w:tplc="CE0E9A6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22"/>
  </w:num>
  <w:num w:numId="6">
    <w:abstractNumId w:val="1"/>
  </w:num>
  <w:num w:numId="7">
    <w:abstractNumId w:val="21"/>
  </w:num>
  <w:num w:numId="8">
    <w:abstractNumId w:val="19"/>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4"/>
  </w:num>
  <w:num w:numId="17">
    <w:abstractNumId w:val="11"/>
  </w:num>
  <w:num w:numId="18">
    <w:abstractNumId w:val="23"/>
  </w:num>
  <w:num w:numId="19">
    <w:abstractNumId w:val="6"/>
  </w:num>
  <w:num w:numId="20">
    <w:abstractNumId w:val="8"/>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4"/>
  </w:num>
  <w:num w:numId="29">
    <w:abstractNumId w:val="13"/>
  </w:num>
  <w:num w:numId="30">
    <w:abstractNumId w:val="7"/>
  </w:num>
  <w:num w:numId="31">
    <w:abstractNumId w:val="9"/>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5"/>
  </w:num>
  <w:num w:numId="38">
    <w:abstractNumId w:val="17"/>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
  </w:num>
  <w:num w:numId="47">
    <w:abstractNumId w:val="12"/>
  </w:num>
  <w:num w:numId="48">
    <w:abstractNumId w:val="20"/>
  </w:num>
  <w:num w:numId="49">
    <w:abstractNumId w:val="21"/>
  </w:num>
  <w:num w:numId="5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016F"/>
    <w:rsid w:val="000206A6"/>
    <w:rsid w:val="00021E10"/>
    <w:rsid w:val="000231B7"/>
    <w:rsid w:val="00027CA0"/>
    <w:rsid w:val="00030D65"/>
    <w:rsid w:val="00040129"/>
    <w:rsid w:val="00051823"/>
    <w:rsid w:val="00060F40"/>
    <w:rsid w:val="00062830"/>
    <w:rsid w:val="000643E7"/>
    <w:rsid w:val="0007574B"/>
    <w:rsid w:val="000774B3"/>
    <w:rsid w:val="000843CD"/>
    <w:rsid w:val="00087EEC"/>
    <w:rsid w:val="000A1C81"/>
    <w:rsid w:val="000A3851"/>
    <w:rsid w:val="000A5345"/>
    <w:rsid w:val="000B1645"/>
    <w:rsid w:val="000B2614"/>
    <w:rsid w:val="000C2B79"/>
    <w:rsid w:val="000C5A8A"/>
    <w:rsid w:val="000C6424"/>
    <w:rsid w:val="000C7FD8"/>
    <w:rsid w:val="000D7A44"/>
    <w:rsid w:val="000D7E1F"/>
    <w:rsid w:val="000E0C27"/>
    <w:rsid w:val="000E6D15"/>
    <w:rsid w:val="000F33D3"/>
    <w:rsid w:val="000F3C24"/>
    <w:rsid w:val="000F607B"/>
    <w:rsid w:val="000F6495"/>
    <w:rsid w:val="000F6FD8"/>
    <w:rsid w:val="001061FA"/>
    <w:rsid w:val="00112BF2"/>
    <w:rsid w:val="0011517F"/>
    <w:rsid w:val="00117062"/>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D2B48"/>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90DA3"/>
    <w:rsid w:val="002A3A19"/>
    <w:rsid w:val="002A6F7C"/>
    <w:rsid w:val="002B19D7"/>
    <w:rsid w:val="002C06C1"/>
    <w:rsid w:val="002C0DCF"/>
    <w:rsid w:val="002C1673"/>
    <w:rsid w:val="002C2703"/>
    <w:rsid w:val="002D1867"/>
    <w:rsid w:val="002D5F5E"/>
    <w:rsid w:val="002F2009"/>
    <w:rsid w:val="002F2269"/>
    <w:rsid w:val="00300924"/>
    <w:rsid w:val="003025A8"/>
    <w:rsid w:val="003129B6"/>
    <w:rsid w:val="00314D6E"/>
    <w:rsid w:val="00315AB3"/>
    <w:rsid w:val="00320E57"/>
    <w:rsid w:val="003221EF"/>
    <w:rsid w:val="00322C23"/>
    <w:rsid w:val="003248A2"/>
    <w:rsid w:val="00333A56"/>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7A72"/>
    <w:rsid w:val="003E318D"/>
    <w:rsid w:val="003F3AA3"/>
    <w:rsid w:val="00412567"/>
    <w:rsid w:val="004172D1"/>
    <w:rsid w:val="00424530"/>
    <w:rsid w:val="0043577F"/>
    <w:rsid w:val="0043675A"/>
    <w:rsid w:val="00441F85"/>
    <w:rsid w:val="00446D76"/>
    <w:rsid w:val="00452CF3"/>
    <w:rsid w:val="0045301B"/>
    <w:rsid w:val="00454B24"/>
    <w:rsid w:val="00455E0E"/>
    <w:rsid w:val="00463211"/>
    <w:rsid w:val="004637D3"/>
    <w:rsid w:val="004719B4"/>
    <w:rsid w:val="00471CA1"/>
    <w:rsid w:val="00471CCE"/>
    <w:rsid w:val="00481AC4"/>
    <w:rsid w:val="00482FB6"/>
    <w:rsid w:val="00490251"/>
    <w:rsid w:val="004955E7"/>
    <w:rsid w:val="004A5D8B"/>
    <w:rsid w:val="004A76C6"/>
    <w:rsid w:val="004B2FC0"/>
    <w:rsid w:val="004B30C6"/>
    <w:rsid w:val="004B7784"/>
    <w:rsid w:val="004C1B19"/>
    <w:rsid w:val="004C6392"/>
    <w:rsid w:val="004D3523"/>
    <w:rsid w:val="004D7668"/>
    <w:rsid w:val="004E405B"/>
    <w:rsid w:val="004F0AB6"/>
    <w:rsid w:val="004F63DB"/>
    <w:rsid w:val="005037F2"/>
    <w:rsid w:val="00505C64"/>
    <w:rsid w:val="005105EF"/>
    <w:rsid w:val="0051571A"/>
    <w:rsid w:val="00522627"/>
    <w:rsid w:val="00523895"/>
    <w:rsid w:val="00526B39"/>
    <w:rsid w:val="00532EBE"/>
    <w:rsid w:val="005410AB"/>
    <w:rsid w:val="00543A44"/>
    <w:rsid w:val="005574DA"/>
    <w:rsid w:val="00563F75"/>
    <w:rsid w:val="005653A2"/>
    <w:rsid w:val="00565691"/>
    <w:rsid w:val="005706A6"/>
    <w:rsid w:val="00571BB6"/>
    <w:rsid w:val="00574B26"/>
    <w:rsid w:val="00575BA7"/>
    <w:rsid w:val="00582AA7"/>
    <w:rsid w:val="0058477C"/>
    <w:rsid w:val="0058568F"/>
    <w:rsid w:val="005A11A7"/>
    <w:rsid w:val="005A6911"/>
    <w:rsid w:val="005B3658"/>
    <w:rsid w:val="005B5C09"/>
    <w:rsid w:val="005C3DFF"/>
    <w:rsid w:val="005C498B"/>
    <w:rsid w:val="005D033E"/>
    <w:rsid w:val="005D4005"/>
    <w:rsid w:val="005D40D1"/>
    <w:rsid w:val="005D6612"/>
    <w:rsid w:val="005E167D"/>
    <w:rsid w:val="005F093F"/>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0103"/>
    <w:rsid w:val="00655112"/>
    <w:rsid w:val="00663B0A"/>
    <w:rsid w:val="006641F8"/>
    <w:rsid w:val="0066422C"/>
    <w:rsid w:val="00670254"/>
    <w:rsid w:val="00675E42"/>
    <w:rsid w:val="00683BFB"/>
    <w:rsid w:val="006915A4"/>
    <w:rsid w:val="00692AB7"/>
    <w:rsid w:val="00692AD8"/>
    <w:rsid w:val="006973AC"/>
    <w:rsid w:val="006A62DE"/>
    <w:rsid w:val="006C186D"/>
    <w:rsid w:val="006C6D8E"/>
    <w:rsid w:val="006D4C7C"/>
    <w:rsid w:val="006D7393"/>
    <w:rsid w:val="006E0D7A"/>
    <w:rsid w:val="006E3CE5"/>
    <w:rsid w:val="006E55E1"/>
    <w:rsid w:val="006F2E13"/>
    <w:rsid w:val="006F445D"/>
    <w:rsid w:val="006F72C6"/>
    <w:rsid w:val="006F7529"/>
    <w:rsid w:val="00703E4E"/>
    <w:rsid w:val="007071C6"/>
    <w:rsid w:val="00711E1C"/>
    <w:rsid w:val="00715AED"/>
    <w:rsid w:val="00721D07"/>
    <w:rsid w:val="00721FBA"/>
    <w:rsid w:val="00723921"/>
    <w:rsid w:val="00730352"/>
    <w:rsid w:val="00731463"/>
    <w:rsid w:val="0073336B"/>
    <w:rsid w:val="00734CF5"/>
    <w:rsid w:val="007373D2"/>
    <w:rsid w:val="00740F65"/>
    <w:rsid w:val="00742839"/>
    <w:rsid w:val="00754B44"/>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3E32"/>
    <w:rsid w:val="007C55D0"/>
    <w:rsid w:val="007D2626"/>
    <w:rsid w:val="007D43AB"/>
    <w:rsid w:val="007F5092"/>
    <w:rsid w:val="007F6B00"/>
    <w:rsid w:val="007F7895"/>
    <w:rsid w:val="00804A88"/>
    <w:rsid w:val="00813BAC"/>
    <w:rsid w:val="00813CD4"/>
    <w:rsid w:val="00817C42"/>
    <w:rsid w:val="00821B9D"/>
    <w:rsid w:val="0084468C"/>
    <w:rsid w:val="008552A0"/>
    <w:rsid w:val="008609BB"/>
    <w:rsid w:val="008651AA"/>
    <w:rsid w:val="00865492"/>
    <w:rsid w:val="00865A3C"/>
    <w:rsid w:val="00867CB4"/>
    <w:rsid w:val="008708AB"/>
    <w:rsid w:val="00870A33"/>
    <w:rsid w:val="00871962"/>
    <w:rsid w:val="008725EC"/>
    <w:rsid w:val="00874ED5"/>
    <w:rsid w:val="008A4100"/>
    <w:rsid w:val="008A7288"/>
    <w:rsid w:val="008B6155"/>
    <w:rsid w:val="008C1A94"/>
    <w:rsid w:val="008C567C"/>
    <w:rsid w:val="008C5B82"/>
    <w:rsid w:val="008E297F"/>
    <w:rsid w:val="008F0831"/>
    <w:rsid w:val="008F3908"/>
    <w:rsid w:val="009014B6"/>
    <w:rsid w:val="009041D9"/>
    <w:rsid w:val="00907439"/>
    <w:rsid w:val="00907D57"/>
    <w:rsid w:val="00911860"/>
    <w:rsid w:val="0091231C"/>
    <w:rsid w:val="00912882"/>
    <w:rsid w:val="00912895"/>
    <w:rsid w:val="00913422"/>
    <w:rsid w:val="009210DE"/>
    <w:rsid w:val="009257BE"/>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955A2"/>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06D70"/>
    <w:rsid w:val="00A10257"/>
    <w:rsid w:val="00A13558"/>
    <w:rsid w:val="00A14332"/>
    <w:rsid w:val="00A2290D"/>
    <w:rsid w:val="00A23608"/>
    <w:rsid w:val="00A23D22"/>
    <w:rsid w:val="00A25403"/>
    <w:rsid w:val="00A27B9D"/>
    <w:rsid w:val="00A27D88"/>
    <w:rsid w:val="00A304D0"/>
    <w:rsid w:val="00A3063F"/>
    <w:rsid w:val="00A41338"/>
    <w:rsid w:val="00A4361D"/>
    <w:rsid w:val="00A44695"/>
    <w:rsid w:val="00A4607D"/>
    <w:rsid w:val="00A477D6"/>
    <w:rsid w:val="00A53EC9"/>
    <w:rsid w:val="00A7051D"/>
    <w:rsid w:val="00A725D6"/>
    <w:rsid w:val="00A72C7D"/>
    <w:rsid w:val="00A81586"/>
    <w:rsid w:val="00A8469D"/>
    <w:rsid w:val="00A92440"/>
    <w:rsid w:val="00AA435E"/>
    <w:rsid w:val="00AA74C8"/>
    <w:rsid w:val="00AA796D"/>
    <w:rsid w:val="00AB104D"/>
    <w:rsid w:val="00AB21B0"/>
    <w:rsid w:val="00AB2476"/>
    <w:rsid w:val="00AB4B80"/>
    <w:rsid w:val="00AC2312"/>
    <w:rsid w:val="00AD0C73"/>
    <w:rsid w:val="00AD3179"/>
    <w:rsid w:val="00AE1A2D"/>
    <w:rsid w:val="00AE5347"/>
    <w:rsid w:val="00AE55F6"/>
    <w:rsid w:val="00AE56DB"/>
    <w:rsid w:val="00AF0781"/>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8502F"/>
    <w:rsid w:val="00B954E5"/>
    <w:rsid w:val="00B96F7F"/>
    <w:rsid w:val="00BB2111"/>
    <w:rsid w:val="00BB487F"/>
    <w:rsid w:val="00BC1D4B"/>
    <w:rsid w:val="00BC3450"/>
    <w:rsid w:val="00BC7FD2"/>
    <w:rsid w:val="00BD1538"/>
    <w:rsid w:val="00BD1DD9"/>
    <w:rsid w:val="00BE2989"/>
    <w:rsid w:val="00BF4906"/>
    <w:rsid w:val="00BF4EC0"/>
    <w:rsid w:val="00BF78EE"/>
    <w:rsid w:val="00C03AE7"/>
    <w:rsid w:val="00C05D9D"/>
    <w:rsid w:val="00C12FA8"/>
    <w:rsid w:val="00C13AE0"/>
    <w:rsid w:val="00C22DBB"/>
    <w:rsid w:val="00C35592"/>
    <w:rsid w:val="00C356AF"/>
    <w:rsid w:val="00C41927"/>
    <w:rsid w:val="00C439D6"/>
    <w:rsid w:val="00C43FD9"/>
    <w:rsid w:val="00C44EB2"/>
    <w:rsid w:val="00C47E8F"/>
    <w:rsid w:val="00C55C03"/>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05B7"/>
    <w:rsid w:val="00CF15C6"/>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A6122"/>
    <w:rsid w:val="00DB4809"/>
    <w:rsid w:val="00DB5E8F"/>
    <w:rsid w:val="00DC3E99"/>
    <w:rsid w:val="00DC5214"/>
    <w:rsid w:val="00DC7C3E"/>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399B"/>
    <w:rsid w:val="00EA4947"/>
    <w:rsid w:val="00EA59CE"/>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050C"/>
    <w:rsid w:val="00F30766"/>
    <w:rsid w:val="00F311CD"/>
    <w:rsid w:val="00F34F8A"/>
    <w:rsid w:val="00F3669D"/>
    <w:rsid w:val="00F42F3F"/>
    <w:rsid w:val="00F4748D"/>
    <w:rsid w:val="00F56DC4"/>
    <w:rsid w:val="00F612B3"/>
    <w:rsid w:val="00F647A3"/>
    <w:rsid w:val="00F653FF"/>
    <w:rsid w:val="00F7064A"/>
    <w:rsid w:val="00F720FF"/>
    <w:rsid w:val="00F747AD"/>
    <w:rsid w:val="00F764A1"/>
    <w:rsid w:val="00F86AD4"/>
    <w:rsid w:val="00F87FF5"/>
    <w:rsid w:val="00F9329F"/>
    <w:rsid w:val="00F942CA"/>
    <w:rsid w:val="00F9452C"/>
    <w:rsid w:val="00F9717A"/>
    <w:rsid w:val="00FA459D"/>
    <w:rsid w:val="00FB28E1"/>
    <w:rsid w:val="00FB43F9"/>
    <w:rsid w:val="00FB7206"/>
    <w:rsid w:val="00FC1255"/>
    <w:rsid w:val="00FC1D72"/>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t-EE"/>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et-EE"/>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et-EE"/>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table" w:customStyle="1" w:styleId="TableGrid1">
    <w:name w:val="Table Grid1"/>
    <w:basedOn w:val="TableNormal"/>
    <w:next w:val="TableGrid"/>
    <w:uiPriority w:val="39"/>
    <w:rsid w:val="00A3063F"/>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8469D"/>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A8469D"/>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40905202">
      <w:bodyDiv w:val="1"/>
      <w:marLeft w:val="0"/>
      <w:marRight w:val="0"/>
      <w:marTop w:val="0"/>
      <w:marBottom w:val="0"/>
      <w:divBdr>
        <w:top w:val="none" w:sz="0" w:space="0" w:color="auto"/>
        <w:left w:val="none" w:sz="0" w:space="0" w:color="auto"/>
        <w:bottom w:val="none" w:sz="0" w:space="0" w:color="auto"/>
        <w:right w:val="none" w:sz="0" w:space="0" w:color="auto"/>
      </w:divBdr>
    </w:div>
    <w:div w:id="1849757708">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6FDC-43D7-4C38-80BC-88DE73D5C4F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14</ap:TotalTime>
  <ap:Pages>16</ap:Pages>
  <ap:Words>2739</ap:Words>
  <ap:Characters>22478</ap:Characters>
  <ap:Application>Microsoft Office Word</ap:Application>
  <ap:DocSecurity>0</ap:DocSecurity>
  <ap:Lines>187</ap:Lines>
  <ap:Paragraphs>50</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25167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10</revision>
  <lastPrinted>2020-11-04T10:23:00.0000000Z</lastPrinted>
  <dcterms:created xsi:type="dcterms:W3CDTF">2020-12-07T13:13:00.0000000Z</dcterms:created>
  <dcterms:modified xsi:type="dcterms:W3CDTF">2024-04-22T07:39:00.0000000Z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2dbe69b4-f42e-40f0-91cf-ac6900effe05</vt:lpwstr>
  </property>
</Properties>
</file>