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E5" w:rsidRPr="007B693F" w:rsidRDefault="00AB65E5" w:rsidP="00AB65E5">
      <w:pPr>
        <w:jc w:val="center"/>
        <w:rPr>
          <w:rFonts w:ascii="Times New Roman" w:hAnsi="Times New Roman"/>
          <w:sz w:val="28"/>
          <w:szCs w:val="28"/>
        </w:rPr>
      </w:pPr>
      <w:bookmarkStart w:id="0" w:name="_Toc310414964"/>
      <w:r w:rsidRPr="007B693F">
        <w:rPr>
          <w:rFonts w:ascii="Times New Roman" w:hAnsi="Times New Roman"/>
          <w:sz w:val="28"/>
          <w:szCs w:val="28"/>
        </w:rPr>
        <w:t xml:space="preserve">ANNEX </w:t>
      </w:r>
      <w:r>
        <w:rPr>
          <w:rFonts w:ascii="Times New Roman" w:hAnsi="Times New Roman"/>
          <w:sz w:val="28"/>
          <w:szCs w:val="28"/>
        </w:rPr>
        <w:t>XII</w:t>
      </w:r>
      <w:r w:rsidRPr="007B693F">
        <w:rPr>
          <w:rFonts w:ascii="Times New Roman" w:hAnsi="Times New Roman"/>
          <w:sz w:val="28"/>
          <w:szCs w:val="28"/>
        </w:rPr>
        <w:t>I</w:t>
      </w:r>
    </w:p>
    <w:p w:rsidR="00AB65E5" w:rsidRDefault="00AB65E5" w:rsidP="00AB65E5">
      <w:pPr>
        <w:jc w:val="center"/>
        <w:rPr>
          <w:rFonts w:ascii="Times New Roman" w:hAnsi="Times New Roman"/>
          <w:b/>
          <w:sz w:val="24"/>
          <w:lang w:eastAsia="de-DE"/>
        </w:rPr>
      </w:pPr>
      <w:r w:rsidRPr="007B693F">
        <w:rPr>
          <w:rFonts w:ascii="Times New Roman" w:hAnsi="Times New Roman"/>
          <w:b/>
          <w:sz w:val="24"/>
          <w:lang w:eastAsia="de-DE"/>
        </w:rPr>
        <w:t xml:space="preserve">REPORTING ON </w:t>
      </w:r>
      <w:r>
        <w:rPr>
          <w:rFonts w:ascii="Times New Roman" w:hAnsi="Times New Roman"/>
          <w:b/>
          <w:sz w:val="24"/>
          <w:lang w:eastAsia="de-DE"/>
        </w:rPr>
        <w:t>LIQUIDITY (PART 2</w:t>
      </w:r>
      <w:r w:rsidR="00584CFE">
        <w:rPr>
          <w:rFonts w:ascii="Times New Roman" w:hAnsi="Times New Roman"/>
          <w:b/>
          <w:sz w:val="24"/>
          <w:lang w:eastAsia="de-DE"/>
        </w:rPr>
        <w:t>:</w:t>
      </w:r>
      <w:r>
        <w:rPr>
          <w:rFonts w:ascii="Times New Roman" w:hAnsi="Times New Roman"/>
          <w:b/>
          <w:sz w:val="24"/>
          <w:lang w:eastAsia="de-DE"/>
        </w:rPr>
        <w:t xml:space="preserve"> OUTFLOWS)</w:t>
      </w:r>
    </w:p>
    <w:bookmarkEnd w:id="0"/>
    <w:p w:rsidR="00D02FE4" w:rsidRPr="008E3A85" w:rsidRDefault="00756F36" w:rsidP="008E3A85">
      <w:pPr>
        <w:pStyle w:val="Instructionsberschrift2"/>
        <w:numPr>
          <w:ilvl w:val="0"/>
          <w:numId w:val="3"/>
        </w:numPr>
        <w:rPr>
          <w:rFonts w:ascii="Times New Roman" w:hAnsi="Times New Roman" w:cs="Times New Roman"/>
        </w:rPr>
      </w:pPr>
      <w:r w:rsidRPr="008E3A85">
        <w:rPr>
          <w:rFonts w:ascii="Times New Roman" w:hAnsi="Times New Roman" w:cs="Times New Roman"/>
        </w:rPr>
        <w:t>Outflows</w:t>
      </w:r>
    </w:p>
    <w:p w:rsidR="00D02FE4" w:rsidRPr="008E3A85" w:rsidRDefault="00D02FE4" w:rsidP="008E3A85">
      <w:pPr>
        <w:pStyle w:val="Instructionsberschrift2"/>
        <w:numPr>
          <w:ilvl w:val="1"/>
          <w:numId w:val="3"/>
        </w:numPr>
        <w:rPr>
          <w:rFonts w:ascii="Times New Roman" w:hAnsi="Times New Roman" w:cs="Times New Roman"/>
        </w:rPr>
      </w:pPr>
      <w:bookmarkStart w:id="1" w:name="_Toc308175819"/>
      <w:bookmarkStart w:id="2" w:name="_Toc310414966"/>
      <w:r w:rsidRPr="008E3A85">
        <w:rPr>
          <w:rFonts w:ascii="Times New Roman" w:hAnsi="Times New Roman" w:cs="Times New Roman"/>
        </w:rPr>
        <w:t>General remarks</w:t>
      </w:r>
      <w:bookmarkEnd w:id="1"/>
      <w:bookmarkEnd w:id="2"/>
    </w:p>
    <w:p w:rsidR="005A44F2" w:rsidRPr="008E3A85" w:rsidRDefault="00D02FE4" w:rsidP="008E3A85">
      <w:pPr>
        <w:pStyle w:val="InstructionsText2"/>
      </w:pPr>
      <w:r w:rsidRPr="008E3A85">
        <w:t>This is a summary template which contains information about</w:t>
      </w:r>
      <w:r w:rsidR="005A44F2" w:rsidRPr="008E3A85">
        <w:t xml:space="preserve"> liquidity</w:t>
      </w:r>
      <w:r w:rsidRPr="008E3A85">
        <w:t xml:space="preserve"> </w:t>
      </w:r>
      <w:r w:rsidR="00756F36" w:rsidRPr="008E3A85">
        <w:t>outflows</w:t>
      </w:r>
      <w:r w:rsidR="005A44F2" w:rsidRPr="008E3A85">
        <w:t xml:space="preserve"> measured over the next 30 days, for the purpose of </w:t>
      </w:r>
      <w:r w:rsidR="001213ED" w:rsidRPr="008E3A85">
        <w:t>monitoring</w:t>
      </w:r>
      <w:r w:rsidR="005A44F2" w:rsidRPr="008E3A85">
        <w:t xml:space="preserve"> the liquidity coverage requirement as specified in Article 41</w:t>
      </w:r>
      <w:r w:rsidR="00E71FF4">
        <w:t>2</w:t>
      </w:r>
      <w:r w:rsidR="005A44F2" w:rsidRPr="008E3A85">
        <w:t xml:space="preserve"> of the </w:t>
      </w:r>
      <w:r w:rsidR="00AA6BC0">
        <w:t>REGULATION (EU) NO 575/2013</w:t>
      </w:r>
      <w:r w:rsidRPr="008E3A85">
        <w:t xml:space="preserve">. </w:t>
      </w:r>
      <w:r w:rsidR="003700F3">
        <w:t>Items which do not need to be completed by institutions are coloured grey.</w:t>
      </w:r>
    </w:p>
    <w:p w:rsidR="00724316" w:rsidRPr="008E3A85" w:rsidRDefault="00756F36" w:rsidP="008E3A85">
      <w:pPr>
        <w:pStyle w:val="InstructionsText2"/>
      </w:pPr>
      <w:r w:rsidRPr="008E3A85">
        <w:t xml:space="preserve">In accordance with </w:t>
      </w:r>
      <w:r w:rsidR="00B93F0B">
        <w:t>A</w:t>
      </w:r>
      <w:r w:rsidR="003409E1">
        <w:t xml:space="preserve">rticle 420 </w:t>
      </w:r>
      <w:r w:rsidR="00AA6BC0">
        <w:t>REGULATION (EU) NO 575/2013</w:t>
      </w:r>
      <w:r w:rsidR="006F268C" w:rsidRPr="008E3A85">
        <w:t xml:space="preserve">, </w:t>
      </w:r>
      <w:r w:rsidRPr="008E3A85">
        <w:t xml:space="preserve">this section covers reporting </w:t>
      </w:r>
      <w:r w:rsidR="00BC79FD">
        <w:t>requirements on</w:t>
      </w:r>
      <w:r w:rsidR="00BC79FD" w:rsidRPr="008E3A85">
        <w:t xml:space="preserve"> </w:t>
      </w:r>
      <w:r w:rsidR="001213ED" w:rsidRPr="008E3A85">
        <w:t>retail deposit</w:t>
      </w:r>
      <w:r w:rsidR="00487481" w:rsidRPr="008E3A85">
        <w:t xml:space="preserve">s </w:t>
      </w:r>
      <w:r w:rsidR="001213ED" w:rsidRPr="008E3A85">
        <w:t>(Article 4</w:t>
      </w:r>
      <w:r w:rsidR="00E71FF4">
        <w:t>21</w:t>
      </w:r>
      <w:r w:rsidR="001213ED" w:rsidRPr="008E3A85">
        <w:t>), other deposit</w:t>
      </w:r>
      <w:r w:rsidR="004D1B2A" w:rsidRPr="008E3A85">
        <w:t>s</w:t>
      </w:r>
      <w:r w:rsidRPr="008E3A85">
        <w:t xml:space="preserve"> </w:t>
      </w:r>
      <w:r w:rsidR="00E31157" w:rsidRPr="008E3A85">
        <w:t xml:space="preserve">and liabilities </w:t>
      </w:r>
      <w:r w:rsidRPr="008E3A85">
        <w:t>(Article 4</w:t>
      </w:r>
      <w:r w:rsidR="00E71FF4">
        <w:t>22</w:t>
      </w:r>
      <w:r w:rsidRPr="008E3A85">
        <w:t>), additional outflows (Article 4</w:t>
      </w:r>
      <w:r w:rsidR="00E71FF4">
        <w:t>23</w:t>
      </w:r>
      <w:r w:rsidRPr="008E3A85">
        <w:t>) and outflows from credit and liquidity facilities (Article 4</w:t>
      </w:r>
      <w:r w:rsidR="00E71FF4">
        <w:t>24</w:t>
      </w:r>
      <w:r w:rsidRPr="008E3A85">
        <w:t>).</w:t>
      </w:r>
    </w:p>
    <w:p w:rsidR="001213ED" w:rsidRDefault="006A7BD5" w:rsidP="008E3A85">
      <w:pPr>
        <w:pStyle w:val="InstructionsText2"/>
      </w:pPr>
      <w:r w:rsidRPr="008E3A85">
        <w:t>In accordance with Article</w:t>
      </w:r>
      <w:r w:rsidR="00756F36" w:rsidRPr="008E3A85">
        <w:t xml:space="preserve"> 4</w:t>
      </w:r>
      <w:r w:rsidR="00E71FF4">
        <w:t>21</w:t>
      </w:r>
      <w:r w:rsidR="005B42F6">
        <w:t>(5)</w:t>
      </w:r>
      <w:r w:rsidR="00756F36" w:rsidRPr="008E3A85">
        <w:t xml:space="preserve"> of the </w:t>
      </w:r>
      <w:r w:rsidR="00AA6BC0">
        <w:t>REGULATION (EU) NO 575/2013</w:t>
      </w:r>
      <w:r w:rsidR="00756F36" w:rsidRPr="008E3A85">
        <w:t xml:space="preserve">, institutions may exclude from the calculation of outflows certain clearly circumscribed categories of retail </w:t>
      </w:r>
      <w:r w:rsidR="00C652C1" w:rsidRPr="008E3A85">
        <w:t>deposits</w:t>
      </w:r>
      <w:r w:rsidR="00C652C1">
        <w:t>. For</w:t>
      </w:r>
      <w:r w:rsidR="003409E1">
        <w:t xml:space="preserve"> completeness, t</w:t>
      </w:r>
      <w:r w:rsidR="001213ED" w:rsidRPr="008E3A85">
        <w:t>he reporting of these deposits is requested in item 1.1.6 of the template.</w:t>
      </w:r>
    </w:p>
    <w:p w:rsidR="00B93F0B" w:rsidRDefault="00B93F0B" w:rsidP="00B93F0B">
      <w:pPr>
        <w:pStyle w:val="InstructionsText2"/>
        <w:numPr>
          <w:ilvl w:val="0"/>
          <w:numId w:val="0"/>
        </w:numPr>
        <w:ind w:left="720"/>
      </w:pPr>
    </w:p>
    <w:p w:rsidR="00D02FE4" w:rsidRPr="008E3A85" w:rsidRDefault="00724316" w:rsidP="008E3A85">
      <w:pPr>
        <w:pStyle w:val="Instructionsberschrift2"/>
        <w:numPr>
          <w:ilvl w:val="1"/>
          <w:numId w:val="3"/>
        </w:numPr>
        <w:rPr>
          <w:rFonts w:ascii="Times New Roman" w:hAnsi="Times New Roman" w:cs="Times New Roman"/>
        </w:rPr>
      </w:pPr>
      <w:r w:rsidRPr="008E3A85">
        <w:rPr>
          <w:rFonts w:ascii="Times New Roman" w:hAnsi="Times New Roman" w:cs="Times New Roman"/>
        </w:rPr>
        <w:t>Outflows</w:t>
      </w:r>
      <w:r w:rsidR="00D02FE4" w:rsidRPr="008E3A85">
        <w:rPr>
          <w:rFonts w:ascii="Times New Roman" w:hAnsi="Times New Roman" w:cs="Times New Roman"/>
        </w:rPr>
        <w:t xml:space="preserve"> su</w:t>
      </w:r>
      <w:r w:rsidR="00017710" w:rsidRPr="008E3A85">
        <w:rPr>
          <w:rFonts w:ascii="Times New Roman" w:hAnsi="Times New Roman" w:cs="Times New Roman"/>
        </w:rPr>
        <w:t>b template</w:t>
      </w:r>
    </w:p>
    <w:p w:rsidR="00D02FE4" w:rsidRPr="008E3A85" w:rsidRDefault="00D02FE4" w:rsidP="008E3A85">
      <w:pPr>
        <w:pStyle w:val="Instructionsberschrift2"/>
        <w:numPr>
          <w:ilvl w:val="2"/>
          <w:numId w:val="3"/>
        </w:numPr>
        <w:rPr>
          <w:rFonts w:ascii="Times New Roman" w:hAnsi="Times New Roman" w:cs="Times New Roman"/>
        </w:rPr>
      </w:pPr>
      <w:bookmarkStart w:id="3" w:name="_Toc308175821"/>
      <w:bookmarkStart w:id="4" w:name="_Toc310414968"/>
      <w:r w:rsidRPr="008E3A85">
        <w:rPr>
          <w:rFonts w:ascii="Times New Roman" w:hAnsi="Times New Roman" w:cs="Times New Roman"/>
        </w:rPr>
        <w:t>Instructions concerning specific rows</w:t>
      </w:r>
      <w:bookmarkEnd w:id="3"/>
      <w:bookmarkEnd w:id="4"/>
    </w:p>
    <w:p w:rsidR="00D02FE4" w:rsidRPr="008E3A85" w:rsidRDefault="00D02FE4" w:rsidP="008E3A85">
      <w:pPr>
        <w:pStyle w:val="InstructionsText"/>
      </w:pPr>
    </w:p>
    <w:tbl>
      <w:tblPr>
        <w:tblW w:w="878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43"/>
        <w:gridCol w:w="142"/>
        <w:gridCol w:w="7195"/>
        <w:gridCol w:w="34"/>
      </w:tblGrid>
      <w:tr w:rsidR="00D02FE4" w:rsidRPr="008E3A85" w:rsidTr="00BC43F3">
        <w:trPr>
          <w:gridAfter w:val="1"/>
          <w:wAfter w:w="34" w:type="dxa"/>
        </w:trPr>
        <w:tc>
          <w:tcPr>
            <w:tcW w:w="1369" w:type="dxa"/>
            <w:shd w:val="clear" w:color="auto" w:fill="E6E6E6"/>
          </w:tcPr>
          <w:p w:rsidR="00D02FE4" w:rsidRPr="008E3A85" w:rsidRDefault="00D02FE4" w:rsidP="008E3A85">
            <w:pPr>
              <w:pStyle w:val="InstructionsText"/>
              <w:rPr>
                <w:rStyle w:val="InstructionsTabelleText"/>
              </w:rPr>
            </w:pPr>
            <w:r w:rsidRPr="008E3A85">
              <w:rPr>
                <w:rStyle w:val="InstructionsTabelleText"/>
              </w:rPr>
              <w:t>Row</w:t>
            </w:r>
          </w:p>
        </w:tc>
        <w:tc>
          <w:tcPr>
            <w:tcW w:w="7380" w:type="dxa"/>
            <w:gridSpan w:val="3"/>
            <w:shd w:val="clear" w:color="auto" w:fill="E6E6E6"/>
          </w:tcPr>
          <w:p w:rsidR="00D02FE4" w:rsidRPr="008E3A85" w:rsidRDefault="00D02FE4" w:rsidP="008E3A85">
            <w:pPr>
              <w:pStyle w:val="InstructionsText"/>
              <w:rPr>
                <w:rStyle w:val="InstructionsTabelleText"/>
                <w:bCs/>
                <w:szCs w:val="24"/>
                <w:lang w:eastAsia="en-US"/>
              </w:rPr>
            </w:pPr>
            <w:r w:rsidRPr="008E3A85">
              <w:rPr>
                <w:rStyle w:val="InstructionsTabelleText"/>
              </w:rPr>
              <w:t>Legal references and instructions</w:t>
            </w:r>
          </w:p>
        </w:tc>
      </w:tr>
      <w:tr w:rsidR="00451B5F" w:rsidRPr="008E3A85" w:rsidTr="00BC43F3">
        <w:trPr>
          <w:gridAfter w:val="1"/>
          <w:wAfter w:w="34" w:type="dxa"/>
        </w:trPr>
        <w:tc>
          <w:tcPr>
            <w:tcW w:w="1369" w:type="dxa"/>
            <w:shd w:val="clear" w:color="auto" w:fill="E6E6E6"/>
            <w:vAlign w:val="center"/>
          </w:tcPr>
          <w:p w:rsidR="00451B5F" w:rsidRPr="00D07900" w:rsidRDefault="00DB3927" w:rsidP="00EF393C">
            <w:pPr>
              <w:jc w:val="left"/>
              <w:rPr>
                <w:rFonts w:cs="Arial"/>
                <w:szCs w:val="20"/>
              </w:rPr>
            </w:pPr>
            <w:r>
              <w:rPr>
                <w:rFonts w:cs="Arial"/>
                <w:szCs w:val="20"/>
              </w:rPr>
              <w:t>020-137</w:t>
            </w:r>
          </w:p>
        </w:tc>
        <w:tc>
          <w:tcPr>
            <w:tcW w:w="7380" w:type="dxa"/>
            <w:gridSpan w:val="3"/>
            <w:shd w:val="clear" w:color="auto" w:fill="E6E6E6"/>
            <w:vAlign w:val="center"/>
          </w:tcPr>
          <w:p w:rsidR="00DB3927" w:rsidRPr="008E3A85" w:rsidRDefault="00DB3927" w:rsidP="00DB3927">
            <w:pPr>
              <w:spacing w:before="0" w:after="0"/>
              <w:rPr>
                <w:rStyle w:val="InstructionsTabelleberschrift"/>
                <w:bCs w:val="0"/>
                <w:szCs w:val="17"/>
                <w:lang w:eastAsia="de-DE"/>
              </w:rPr>
            </w:pPr>
            <w:r w:rsidRPr="008E3A85">
              <w:rPr>
                <w:rStyle w:val="InstructionsTabelleberschrift"/>
                <w:bCs w:val="0"/>
                <w:szCs w:val="17"/>
                <w:lang w:eastAsia="de-DE"/>
              </w:rPr>
              <w:t>1. OUTFLOWS</w:t>
            </w:r>
          </w:p>
          <w:p w:rsidR="00DB3927" w:rsidRPr="008E3A85" w:rsidRDefault="00DB3927" w:rsidP="00DB3927">
            <w:pPr>
              <w:spacing w:before="0" w:after="0"/>
              <w:rPr>
                <w:rStyle w:val="InstructionsTabelleberschrift"/>
                <w:bCs w:val="0"/>
                <w:szCs w:val="17"/>
                <w:lang w:eastAsia="de-DE"/>
              </w:rPr>
            </w:pPr>
          </w:p>
          <w:p w:rsidR="00DB3927" w:rsidRPr="008E3A85" w:rsidRDefault="00DB3927" w:rsidP="00DB3927">
            <w:pPr>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Article</w:t>
            </w:r>
            <w:r>
              <w:rPr>
                <w:rStyle w:val="InstructionsTabelleberschrift"/>
                <w:b w:val="0"/>
                <w:bCs w:val="0"/>
                <w:szCs w:val="17"/>
                <w:u w:val="none"/>
                <w:lang w:eastAsia="de-DE"/>
              </w:rPr>
              <w:t>s</w:t>
            </w:r>
            <w:r w:rsidRPr="008E3A85">
              <w:rPr>
                <w:rStyle w:val="InstructionsTabelleberschrift"/>
                <w:b w:val="0"/>
                <w:bCs w:val="0"/>
                <w:szCs w:val="17"/>
                <w:u w:val="none"/>
                <w:lang w:eastAsia="de-DE"/>
              </w:rPr>
              <w:t xml:space="preserve"> 4</w:t>
            </w:r>
            <w:r>
              <w:rPr>
                <w:rStyle w:val="InstructionsTabelleberschrift"/>
                <w:b w:val="0"/>
                <w:bCs w:val="0"/>
                <w:szCs w:val="17"/>
                <w:u w:val="none"/>
                <w:lang w:eastAsia="de-DE"/>
              </w:rPr>
              <w:t>21</w:t>
            </w:r>
            <w:r w:rsidRPr="008E3A85">
              <w:rPr>
                <w:rStyle w:val="InstructionsTabelleberschrift"/>
                <w:b w:val="0"/>
                <w:bCs w:val="0"/>
                <w:szCs w:val="17"/>
                <w:u w:val="none"/>
                <w:lang w:eastAsia="de-DE"/>
              </w:rPr>
              <w:t xml:space="preserve"> to 4</w:t>
            </w:r>
            <w:r>
              <w:rPr>
                <w:rStyle w:val="InstructionsTabelleberschrift"/>
                <w:b w:val="0"/>
                <w:bCs w:val="0"/>
                <w:szCs w:val="17"/>
                <w:u w:val="none"/>
                <w:lang w:eastAsia="de-DE"/>
              </w:rPr>
              <w:t>24</w:t>
            </w:r>
            <w:r w:rsidRPr="008E3A85">
              <w:rPr>
                <w:rStyle w:val="InstructionsTabelleberschrift"/>
                <w:b w:val="0"/>
                <w:bCs w:val="0"/>
                <w:szCs w:val="17"/>
                <w:u w:val="none"/>
                <w:lang w:eastAsia="de-DE"/>
              </w:rPr>
              <w:t xml:space="preserve"> of </w:t>
            </w:r>
            <w:r w:rsidR="00AA6BC0">
              <w:rPr>
                <w:rStyle w:val="InstructionsTabelleberschrift"/>
                <w:b w:val="0"/>
                <w:bCs w:val="0"/>
                <w:szCs w:val="17"/>
                <w:u w:val="none"/>
                <w:lang w:eastAsia="de-DE"/>
              </w:rPr>
              <w:t>REGULATION (EU) NO 575/2013</w:t>
            </w:r>
            <w:r w:rsidRPr="008E3A85">
              <w:rPr>
                <w:rStyle w:val="InstructionsTabelleberschrift"/>
                <w:b w:val="0"/>
                <w:bCs w:val="0"/>
                <w:szCs w:val="17"/>
                <w:u w:val="none"/>
                <w:lang w:eastAsia="de-DE"/>
              </w:rPr>
              <w:t>.</w:t>
            </w:r>
          </w:p>
          <w:p w:rsidR="00DB3927" w:rsidRPr="008E3A85" w:rsidRDefault="00DB3927" w:rsidP="00DB3927">
            <w:pPr>
              <w:spacing w:before="0" w:after="0"/>
              <w:rPr>
                <w:rStyle w:val="InstructionsTabelleberschrift"/>
                <w:bCs w:val="0"/>
                <w:szCs w:val="17"/>
                <w:lang w:eastAsia="de-DE"/>
              </w:rPr>
            </w:pPr>
          </w:p>
          <w:p w:rsidR="00DB3927" w:rsidRPr="008E3A85" w:rsidRDefault="00DB3927" w:rsidP="00DB3927">
            <w:pPr>
              <w:pStyle w:val="InstructionsText"/>
              <w:rPr>
                <w:rStyle w:val="FormatvorlageInstructionsTabelleText"/>
              </w:rPr>
            </w:pPr>
            <w:r w:rsidRPr="008E3A85">
              <w:rPr>
                <w:rStyle w:val="FormatvorlageInstructionsTabelleText"/>
              </w:rPr>
              <w:t>Liabilities reported in this section have been explicitly identified as a potential source of liquidity outflows, over the next 30 days,</w:t>
            </w:r>
            <w:r>
              <w:rPr>
                <w:rStyle w:val="FormatvorlageInstructionsTabelleText"/>
              </w:rPr>
              <w:t xml:space="preserve"> for reporting purposes.</w:t>
            </w:r>
          </w:p>
          <w:p w:rsidR="00451B5F" w:rsidRPr="008E3A85" w:rsidRDefault="00451B5F" w:rsidP="008E3A85">
            <w:pPr>
              <w:spacing w:before="0" w:after="0"/>
              <w:rPr>
                <w:rStyle w:val="InstructionsTabelleberschrift"/>
                <w:bCs w:val="0"/>
                <w:szCs w:val="17"/>
                <w:lang w:eastAsia="de-DE"/>
              </w:rPr>
            </w:pPr>
          </w:p>
        </w:tc>
      </w:tr>
      <w:tr w:rsidR="00AC376C" w:rsidRPr="008E3A85" w:rsidTr="00BC43F3">
        <w:trPr>
          <w:gridAfter w:val="1"/>
          <w:wAfter w:w="34" w:type="dxa"/>
        </w:trPr>
        <w:tc>
          <w:tcPr>
            <w:tcW w:w="1369" w:type="dxa"/>
            <w:shd w:val="clear" w:color="auto" w:fill="E6E6E6"/>
            <w:vAlign w:val="center"/>
          </w:tcPr>
          <w:p w:rsidR="00AC376C" w:rsidRPr="00D07900" w:rsidRDefault="00EF393C" w:rsidP="00EF393C">
            <w:pPr>
              <w:jc w:val="left"/>
              <w:rPr>
                <w:rFonts w:cs="Arial"/>
                <w:szCs w:val="20"/>
              </w:rPr>
            </w:pPr>
            <w:r>
              <w:rPr>
                <w:rFonts w:cs="Arial"/>
                <w:szCs w:val="20"/>
              </w:rPr>
              <w:t>020-100</w:t>
            </w:r>
          </w:p>
        </w:tc>
        <w:tc>
          <w:tcPr>
            <w:tcW w:w="7380" w:type="dxa"/>
            <w:gridSpan w:val="3"/>
            <w:shd w:val="clear" w:color="auto" w:fill="E6E6E6"/>
            <w:vAlign w:val="center"/>
          </w:tcPr>
          <w:p w:rsidR="00AC376C" w:rsidRPr="008E3A85" w:rsidRDefault="00AC376C" w:rsidP="008E3A85">
            <w:pPr>
              <w:spacing w:before="0" w:after="0"/>
              <w:rPr>
                <w:rStyle w:val="InstructionsTabelleberschrift"/>
                <w:bCs w:val="0"/>
                <w:szCs w:val="17"/>
                <w:lang w:eastAsia="de-DE"/>
              </w:rPr>
            </w:pPr>
            <w:r w:rsidRPr="008E3A85">
              <w:rPr>
                <w:rStyle w:val="InstructionsTabelleberschrift"/>
                <w:bCs w:val="0"/>
                <w:szCs w:val="17"/>
                <w:lang w:eastAsia="de-DE"/>
              </w:rPr>
              <w:t xml:space="preserve">1.1 </w:t>
            </w:r>
            <w:r w:rsidR="000E07CC">
              <w:rPr>
                <w:rStyle w:val="InstructionsTabelleberschrift"/>
                <w:bCs w:val="0"/>
                <w:szCs w:val="17"/>
                <w:lang w:eastAsia="de-DE"/>
              </w:rPr>
              <w:t>R</w:t>
            </w:r>
            <w:r w:rsidR="000E07CC" w:rsidRPr="008E3A85">
              <w:rPr>
                <w:rStyle w:val="InstructionsTabelleberschrift"/>
                <w:bCs w:val="0"/>
                <w:szCs w:val="17"/>
                <w:lang w:eastAsia="de-DE"/>
              </w:rPr>
              <w:t xml:space="preserve">etail </w:t>
            </w:r>
            <w:r w:rsidRPr="008E3A85">
              <w:rPr>
                <w:rStyle w:val="InstructionsTabelleberschrift"/>
                <w:bCs w:val="0"/>
                <w:szCs w:val="17"/>
                <w:lang w:eastAsia="de-DE"/>
              </w:rPr>
              <w:t>deposits</w:t>
            </w:r>
          </w:p>
          <w:p w:rsidR="00AC376C" w:rsidRPr="008E3A85" w:rsidRDefault="00AC376C" w:rsidP="008E3A85">
            <w:pPr>
              <w:spacing w:before="0" w:after="0"/>
              <w:rPr>
                <w:rStyle w:val="InstructionsTabelleberschrift"/>
                <w:bCs w:val="0"/>
                <w:szCs w:val="17"/>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 xml:space="preserve">Article </w:t>
            </w:r>
            <w:r w:rsidR="00850D47" w:rsidRPr="008E3A85">
              <w:rPr>
                <w:rFonts w:cs="Arial"/>
                <w:szCs w:val="20"/>
                <w:lang w:eastAsia="en-GB"/>
              </w:rPr>
              <w:t>4</w:t>
            </w:r>
            <w:r w:rsidR="00850D47">
              <w:rPr>
                <w:rFonts w:cs="Arial"/>
                <w:szCs w:val="20"/>
                <w:lang w:eastAsia="en-GB"/>
              </w:rPr>
              <w:t>21</w:t>
            </w:r>
            <w:r w:rsidR="00850D47" w:rsidRPr="008E3A85">
              <w:rPr>
                <w:rFonts w:cs="Arial"/>
                <w:szCs w:val="20"/>
                <w:lang w:eastAsia="en-GB"/>
              </w:rPr>
              <w:t xml:space="preserve"> </w:t>
            </w:r>
            <w:r w:rsidRPr="008E3A85">
              <w:rPr>
                <w:rFonts w:cs="Arial"/>
                <w:szCs w:val="20"/>
                <w:lang w:eastAsia="en-GB"/>
              </w:rPr>
              <w:t xml:space="preserve">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AC376C" w:rsidRPr="008E3A85" w:rsidRDefault="00AC376C" w:rsidP="008E3A85">
            <w:pPr>
              <w:spacing w:before="0" w:after="0"/>
              <w:rPr>
                <w:rStyle w:val="InstructionsTabelleberschrift"/>
                <w:b w:val="0"/>
                <w:u w:val="none"/>
              </w:rPr>
            </w:pPr>
            <w:r w:rsidRPr="008E3A85">
              <w:rPr>
                <w:rFonts w:cs="Arial"/>
                <w:szCs w:val="20"/>
                <w:lang w:eastAsia="en-GB"/>
              </w:rPr>
              <w:t xml:space="preserve">Total </w:t>
            </w:r>
            <w:r w:rsidR="00B93F0B">
              <w:rPr>
                <w:rFonts w:cs="Arial"/>
                <w:szCs w:val="20"/>
                <w:lang w:eastAsia="en-GB"/>
              </w:rPr>
              <w:t xml:space="preserve">liability </w:t>
            </w:r>
            <w:r w:rsidRPr="008E3A85">
              <w:rPr>
                <w:rFonts w:cs="Arial"/>
                <w:szCs w:val="20"/>
                <w:lang w:eastAsia="en-GB"/>
              </w:rPr>
              <w:t>of retail deposits as defined in Article 4</w:t>
            </w:r>
            <w:r w:rsidR="00850D47">
              <w:rPr>
                <w:rFonts w:cs="Arial"/>
                <w:szCs w:val="20"/>
                <w:lang w:eastAsia="en-GB"/>
              </w:rPr>
              <w:t>11(</w:t>
            </w:r>
            <w:r w:rsidRPr="008E3A85">
              <w:rPr>
                <w:rFonts w:cs="Arial"/>
                <w:szCs w:val="20"/>
                <w:lang w:eastAsia="en-GB"/>
              </w:rPr>
              <w:t>2</w:t>
            </w:r>
            <w:r w:rsidR="00850D47">
              <w:rPr>
                <w:rFonts w:cs="Arial"/>
                <w:szCs w:val="20"/>
                <w:lang w:eastAsia="en-GB"/>
              </w:rPr>
              <w:t>)</w:t>
            </w:r>
            <w:r w:rsidRPr="008E3A85">
              <w:rPr>
                <w:rFonts w:cs="Arial"/>
                <w:szCs w:val="20"/>
                <w:lang w:eastAsia="en-GB"/>
              </w:rPr>
              <w:t>, including</w:t>
            </w:r>
            <w:r w:rsidRPr="008E3A85">
              <w:rPr>
                <w:rFonts w:cs="Arial"/>
              </w:rPr>
              <w:t xml:space="preserve"> sight deposits and fixed term deposits,</w:t>
            </w:r>
            <w:r w:rsidRPr="008E3A85">
              <w:rPr>
                <w:rFonts w:cs="Arial"/>
                <w:szCs w:val="20"/>
                <w:lang w:eastAsia="en-GB"/>
              </w:rPr>
              <w:t xml:space="preserve"> of </w:t>
            </w:r>
            <w:r w:rsidR="00AA6BC0">
              <w:rPr>
                <w:rFonts w:cs="Arial"/>
                <w:szCs w:val="20"/>
                <w:lang w:eastAsia="en-GB"/>
              </w:rPr>
              <w:t>REGULATION (EU) NO 575/2013</w:t>
            </w:r>
            <w:r w:rsidRPr="008E3A85">
              <w:rPr>
                <w:rFonts w:cs="Arial"/>
                <w:szCs w:val="20"/>
                <w:lang w:eastAsia="en-GB"/>
              </w:rPr>
              <w:t xml:space="preserve"> </w:t>
            </w:r>
            <w:r w:rsidRPr="008E3A85">
              <w:rPr>
                <w:rStyle w:val="InstructionsTabelleberschrift"/>
                <w:b w:val="0"/>
                <w:u w:val="none"/>
              </w:rPr>
              <w:t>sh</w:t>
            </w:r>
            <w:r w:rsidR="00271389">
              <w:rPr>
                <w:rStyle w:val="InstructionsTabelleberschrift"/>
                <w:b w:val="0"/>
                <w:u w:val="none"/>
              </w:rPr>
              <w:t xml:space="preserve">all </w:t>
            </w:r>
            <w:r w:rsidRPr="008E3A85">
              <w:rPr>
                <w:rStyle w:val="InstructionsTabelleberschrift"/>
                <w:b w:val="0"/>
                <w:u w:val="none"/>
              </w:rPr>
              <w:t xml:space="preserve">be reported in </w:t>
            </w:r>
            <w:r w:rsidR="00B93F0B">
              <w:rPr>
                <w:rStyle w:val="InstructionsTabelleberschrift"/>
                <w:b w:val="0"/>
                <w:u w:val="none"/>
              </w:rPr>
              <w:t xml:space="preserve">column </w:t>
            </w:r>
            <w:r w:rsidR="00091BF2">
              <w:rPr>
                <w:rStyle w:val="InstructionsTabelleberschrift"/>
                <w:b w:val="0"/>
                <w:u w:val="none"/>
              </w:rPr>
              <w:t>020</w:t>
            </w:r>
            <w:r w:rsidR="00B93F0B">
              <w:rPr>
                <w:rStyle w:val="InstructionsTabelleberschrift"/>
                <w:b w:val="0"/>
                <w:u w:val="none"/>
              </w:rPr>
              <w:t xml:space="preserve">. </w:t>
            </w:r>
            <w:r w:rsidR="00271389">
              <w:rPr>
                <w:rStyle w:val="InstructionsTabelleberschrift"/>
                <w:b w:val="0"/>
                <w:u w:val="none"/>
              </w:rPr>
              <w:t xml:space="preserve">The resulting outflow after having applied the relevant outflow rate shall be reported in column </w:t>
            </w:r>
            <w:r w:rsidR="00091BF2">
              <w:rPr>
                <w:rStyle w:val="InstructionsTabelleberschrift"/>
                <w:b w:val="0"/>
                <w:u w:val="none"/>
              </w:rPr>
              <w:t>030</w:t>
            </w:r>
            <w:r w:rsidR="00271389">
              <w:rPr>
                <w:rStyle w:val="InstructionsTabelleberschrift"/>
                <w:b w:val="0"/>
                <w:u w:val="none"/>
              </w:rPr>
              <w:t xml:space="preserve">. </w:t>
            </w:r>
          </w:p>
          <w:p w:rsidR="00AC376C" w:rsidRDefault="00AC376C" w:rsidP="008E3A85">
            <w:pPr>
              <w:spacing w:before="0" w:after="0"/>
              <w:rPr>
                <w:rStyle w:val="InstructionsTabelleberschrift"/>
                <w:b w:val="0"/>
                <w:u w:val="none"/>
              </w:rPr>
            </w:pPr>
          </w:p>
          <w:p w:rsidR="00271389" w:rsidRPr="008E3A85" w:rsidRDefault="00271389" w:rsidP="008E3A85">
            <w:pPr>
              <w:spacing w:before="0" w:after="0"/>
              <w:rPr>
                <w:rStyle w:val="InstructionsTabelleberschrift"/>
                <w:b w:val="0"/>
                <w:u w:val="none"/>
              </w:rPr>
            </w:pPr>
            <w:r>
              <w:rPr>
                <w:rStyle w:val="InstructionsTabelleberschrift"/>
                <w:b w:val="0"/>
                <w:u w:val="none"/>
              </w:rPr>
              <w:t xml:space="preserve">The following subcategories shall be reported: </w:t>
            </w:r>
          </w:p>
          <w:p w:rsidR="00AC376C" w:rsidRPr="008E3A85" w:rsidRDefault="00AC376C" w:rsidP="00271389">
            <w:pPr>
              <w:spacing w:before="0" w:after="0"/>
              <w:rPr>
                <w:rStyle w:val="InstructionsTabelleberschrift"/>
                <w:bCs w:val="0"/>
                <w:szCs w:val="17"/>
                <w:lang w:eastAsia="de-DE"/>
              </w:rPr>
            </w:pPr>
          </w:p>
        </w:tc>
      </w:tr>
      <w:tr w:rsidR="00AC376C" w:rsidRPr="008E3A85" w:rsidTr="00BC43F3">
        <w:trPr>
          <w:gridAfter w:val="1"/>
          <w:wAfter w:w="34" w:type="dxa"/>
        </w:trPr>
        <w:tc>
          <w:tcPr>
            <w:tcW w:w="1369" w:type="dxa"/>
            <w:vAlign w:val="center"/>
          </w:tcPr>
          <w:p w:rsidR="00AC376C" w:rsidRPr="00D07900" w:rsidRDefault="00EF393C" w:rsidP="00AC376C">
            <w:pPr>
              <w:jc w:val="left"/>
              <w:rPr>
                <w:rFonts w:cs="Arial"/>
                <w:szCs w:val="20"/>
              </w:rPr>
            </w:pPr>
            <w:r>
              <w:rPr>
                <w:rFonts w:cs="Arial"/>
                <w:szCs w:val="20"/>
              </w:rPr>
              <w:t>020-040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 xml:space="preserve">1.1.1 </w:t>
            </w:r>
            <w:r w:rsidR="002A4A41">
              <w:rPr>
                <w:rStyle w:val="InstructionsTabelleberschrift"/>
                <w:szCs w:val="17"/>
                <w:lang w:eastAsia="de-DE"/>
              </w:rPr>
              <w:t>C</w:t>
            </w:r>
            <w:r w:rsidR="002A4A41" w:rsidRPr="008E3A85">
              <w:rPr>
                <w:rStyle w:val="InstructionsTabelleberschrift"/>
                <w:szCs w:val="17"/>
                <w:lang w:eastAsia="de-DE"/>
              </w:rPr>
              <w:t xml:space="preserve">overed </w:t>
            </w:r>
            <w:r w:rsidRPr="008E3A85">
              <w:rPr>
                <w:rStyle w:val="InstructionsTabelleberschrift"/>
                <w:szCs w:val="17"/>
                <w:lang w:eastAsia="de-DE"/>
              </w:rPr>
              <w:t>by a Deposit Guarantee Scheme according to Directive 94/19/EC or an equivalent deposit guarantee scheme in a third country</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 xml:space="preserve">Article </w:t>
            </w:r>
            <w:r w:rsidR="009D59D9" w:rsidRPr="008E3A85">
              <w:rPr>
                <w:rFonts w:cs="Arial"/>
                <w:szCs w:val="20"/>
                <w:lang w:eastAsia="en-GB"/>
              </w:rPr>
              <w:t>4</w:t>
            </w:r>
            <w:r w:rsidR="009D59D9">
              <w:rPr>
                <w:rFonts w:cs="Arial"/>
                <w:szCs w:val="20"/>
                <w:lang w:eastAsia="en-GB"/>
              </w:rPr>
              <w:t>21(</w:t>
            </w:r>
            <w:r w:rsidRPr="008E3A85">
              <w:rPr>
                <w:rFonts w:cs="Arial"/>
                <w:szCs w:val="20"/>
                <w:lang w:eastAsia="en-GB"/>
              </w:rPr>
              <w:t>1</w:t>
            </w:r>
            <w:r w:rsidR="009D59D9">
              <w:rPr>
                <w:rFonts w:cs="Arial"/>
                <w:szCs w:val="20"/>
                <w:lang w:eastAsia="en-GB"/>
              </w:rPr>
              <w:t>)</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AC376C" w:rsidRPr="008E3A85" w:rsidRDefault="00AC376C" w:rsidP="00271389">
            <w:pPr>
              <w:spacing w:before="0" w:after="0"/>
              <w:rPr>
                <w:rStyle w:val="InstructionsTabelleberschrift"/>
                <w:b w:val="0"/>
                <w:szCs w:val="17"/>
                <w:u w:val="none"/>
                <w:lang w:eastAsia="de-DE"/>
              </w:rPr>
            </w:pPr>
          </w:p>
        </w:tc>
      </w:tr>
      <w:tr w:rsidR="00AC376C" w:rsidRPr="008E3A85" w:rsidTr="00BC43F3">
        <w:trPr>
          <w:gridAfter w:val="1"/>
          <w:wAfter w:w="34" w:type="dxa"/>
        </w:trPr>
        <w:tc>
          <w:tcPr>
            <w:tcW w:w="1369" w:type="dxa"/>
            <w:vAlign w:val="center"/>
          </w:tcPr>
          <w:p w:rsidR="00AC376C" w:rsidRPr="00D07900" w:rsidRDefault="00EF393C" w:rsidP="00AC376C">
            <w:pPr>
              <w:jc w:val="left"/>
              <w:rPr>
                <w:rFonts w:cs="Arial"/>
                <w:szCs w:val="20"/>
              </w:rPr>
            </w:pPr>
            <w:r>
              <w:rPr>
                <w:rFonts w:cs="Arial"/>
                <w:szCs w:val="20"/>
              </w:rPr>
              <w:lastRenderedPageBreak/>
              <w:t>020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1.1.1.1 part of an established relationship making withdrawal highly unlikely</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8C540C">
              <w:rPr>
                <w:rFonts w:cs="Arial"/>
                <w:szCs w:val="20"/>
                <w:lang w:eastAsia="en-GB"/>
              </w:rPr>
              <w:t>21(</w:t>
            </w:r>
            <w:r w:rsidRPr="008E3A85">
              <w:rPr>
                <w:rFonts w:cs="Arial"/>
                <w:szCs w:val="20"/>
                <w:lang w:eastAsia="en-GB"/>
              </w:rPr>
              <w:t>1</w:t>
            </w:r>
            <w:r w:rsidR="008C540C">
              <w:rPr>
                <w:rFonts w:cs="Arial"/>
                <w:szCs w:val="20"/>
                <w:lang w:eastAsia="en-GB"/>
              </w:rPr>
              <w:t>)</w:t>
            </w:r>
            <w:r w:rsidRPr="008E3A85">
              <w:rPr>
                <w:rFonts w:cs="Arial"/>
                <w:szCs w:val="20"/>
                <w:lang w:eastAsia="en-GB"/>
              </w:rPr>
              <w:t xml:space="preserve">(a)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r w:rsidRPr="008E3A85">
              <w:rPr>
                <w:rFonts w:cs="Arial"/>
                <w:szCs w:val="20"/>
                <w:lang w:eastAsia="en-GB"/>
              </w:rPr>
              <w:br/>
              <w:t xml:space="preserve">Of the </w:t>
            </w:r>
            <w:r w:rsidR="00EA0036">
              <w:rPr>
                <w:rFonts w:cs="Arial"/>
                <w:szCs w:val="20"/>
                <w:lang w:eastAsia="en-GB"/>
              </w:rPr>
              <w:t>r</w:t>
            </w:r>
            <w:r w:rsidRPr="008E3A85">
              <w:rPr>
                <w:rFonts w:cs="Arial"/>
                <w:szCs w:val="20"/>
                <w:lang w:eastAsia="en-GB"/>
              </w:rPr>
              <w:t xml:space="preserve">etail deposits covered by a Deposit Guarantee Scheme according to Directive 94/19/EC or an equivalent deposit guarantee scheme in a third country reported in item 1.1.1, </w:t>
            </w:r>
            <w:r w:rsidR="00EA0036">
              <w:rPr>
                <w:rFonts w:cs="Arial"/>
                <w:szCs w:val="20"/>
                <w:lang w:eastAsia="en-GB"/>
              </w:rPr>
              <w:t xml:space="preserve">that </w:t>
            </w:r>
            <w:r w:rsidRPr="008E3A85">
              <w:rPr>
                <w:rFonts w:cs="Arial"/>
                <w:szCs w:val="20"/>
                <w:lang w:eastAsia="en-GB"/>
              </w:rPr>
              <w:t>which is part of an established relationship making withdrawal highly unlikely.</w:t>
            </w:r>
          </w:p>
          <w:p w:rsidR="00AC376C" w:rsidRPr="008E3A85" w:rsidRDefault="00AC376C" w:rsidP="008E3A85">
            <w:pPr>
              <w:spacing w:before="0" w:after="0"/>
              <w:rPr>
                <w:rFonts w:cs="Arial"/>
                <w:szCs w:val="20"/>
                <w:lang w:eastAsia="en-GB"/>
              </w:rPr>
            </w:pPr>
          </w:p>
          <w:p w:rsidR="00AC376C" w:rsidRDefault="00AC376C" w:rsidP="008E3A85">
            <w:pPr>
              <w:spacing w:before="0" w:after="0"/>
              <w:rPr>
                <w:rStyle w:val="InstructionsTabelleberschrift"/>
                <w:b w:val="0"/>
                <w:szCs w:val="17"/>
                <w:u w:val="none"/>
                <w:lang w:eastAsia="de-DE"/>
              </w:rPr>
            </w:pPr>
            <w:r w:rsidRPr="008E3A85">
              <w:rPr>
                <w:rFonts w:cs="Arial"/>
                <w:szCs w:val="20"/>
                <w:lang w:eastAsia="en-GB"/>
              </w:rPr>
              <w:t xml:space="preserve">Retail deposits which are both part of an established relationship making withdrawal highly unlikely and </w:t>
            </w:r>
            <w:r w:rsidRPr="008E3A85">
              <w:rPr>
                <w:rStyle w:val="InstructionsTabelleberschrift"/>
                <w:b w:val="0"/>
                <w:szCs w:val="17"/>
                <w:u w:val="none"/>
                <w:lang w:eastAsia="de-DE"/>
              </w:rPr>
              <w:t>held in transactional accounts, including accounts to which salaries are regularly credited</w:t>
            </w:r>
            <w:r w:rsidR="00EB127B">
              <w:rPr>
                <w:rStyle w:val="InstructionsTabelleberschrift"/>
                <w:b w:val="0"/>
                <w:szCs w:val="17"/>
                <w:u w:val="none"/>
                <w:lang w:eastAsia="de-DE"/>
              </w:rPr>
              <w:t>,</w:t>
            </w:r>
            <w:r w:rsidRPr="008E3A85">
              <w:rPr>
                <w:rStyle w:val="InstructionsTabelleberschrift"/>
                <w:b w:val="0"/>
                <w:szCs w:val="17"/>
                <w:u w:val="none"/>
                <w:lang w:eastAsia="de-DE"/>
              </w:rPr>
              <w:t xml:space="preserve"> </w:t>
            </w:r>
            <w:r w:rsidR="001B5E82">
              <w:rPr>
                <w:rStyle w:val="InstructionsTabelleberschrift"/>
                <w:b w:val="0"/>
                <w:szCs w:val="17"/>
                <w:u w:val="none"/>
                <w:lang w:eastAsia="de-DE"/>
              </w:rPr>
              <w:t>shall</w:t>
            </w:r>
            <w:r w:rsidRPr="008E3A85">
              <w:rPr>
                <w:rStyle w:val="InstructionsTabelleberschrift"/>
                <w:b w:val="0"/>
                <w:szCs w:val="17"/>
                <w:u w:val="none"/>
                <w:lang w:eastAsia="de-DE"/>
              </w:rPr>
              <w:t xml:space="preserve"> instead be reported in item 1.1.1.2.</w:t>
            </w:r>
          </w:p>
          <w:p w:rsidR="008C3530" w:rsidRDefault="008C3530" w:rsidP="008C3530">
            <w:pPr>
              <w:spacing w:before="0" w:after="0"/>
              <w:rPr>
                <w:rStyle w:val="InstructionsTabelleberschrift"/>
                <w:b w:val="0"/>
                <w:szCs w:val="17"/>
                <w:u w:val="none"/>
                <w:lang w:eastAsia="de-DE"/>
              </w:rPr>
            </w:pPr>
          </w:p>
          <w:p w:rsidR="008C3530" w:rsidRPr="008E3A85" w:rsidRDefault="008C3530" w:rsidP="008E3A85">
            <w:pPr>
              <w:spacing w:before="0" w:after="0"/>
              <w:rPr>
                <w:rFonts w:cs="Arial"/>
                <w:szCs w:val="20"/>
                <w:lang w:eastAsia="en-GB"/>
              </w:rPr>
            </w:pPr>
          </w:p>
          <w:p w:rsidR="00AC376C" w:rsidRPr="008E3A85" w:rsidRDefault="00AC376C" w:rsidP="008E3A85">
            <w:pPr>
              <w:spacing w:before="0" w:after="0"/>
              <w:rPr>
                <w:rStyle w:val="InstructionsTabelleberschrift"/>
                <w:b w:val="0"/>
                <w:szCs w:val="17"/>
                <w:u w:val="none"/>
                <w:lang w:eastAsia="de-DE"/>
              </w:rPr>
            </w:pPr>
          </w:p>
        </w:tc>
      </w:tr>
      <w:tr w:rsidR="00AC376C" w:rsidRPr="008E3A85" w:rsidTr="00BC43F3">
        <w:trPr>
          <w:gridAfter w:val="1"/>
          <w:wAfter w:w="34" w:type="dxa"/>
        </w:trPr>
        <w:tc>
          <w:tcPr>
            <w:tcW w:w="1369" w:type="dxa"/>
            <w:vAlign w:val="center"/>
          </w:tcPr>
          <w:p w:rsidR="00AC376C" w:rsidRPr="00D07900" w:rsidRDefault="00EF393C" w:rsidP="00AC376C">
            <w:pPr>
              <w:jc w:val="left"/>
              <w:rPr>
                <w:rFonts w:cs="Arial"/>
                <w:szCs w:val="20"/>
              </w:rPr>
            </w:pPr>
            <w:r>
              <w:rPr>
                <w:rFonts w:cs="Arial"/>
                <w:szCs w:val="20"/>
              </w:rPr>
              <w:t>030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1.1.1.2 held in transactional accounts, including accounts to which salaries are regularly credited</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846247">
              <w:rPr>
                <w:rFonts w:cs="Arial"/>
                <w:szCs w:val="20"/>
                <w:lang w:eastAsia="en-GB"/>
              </w:rPr>
              <w:t>21(</w:t>
            </w:r>
            <w:r w:rsidRPr="008E3A85">
              <w:rPr>
                <w:rFonts w:cs="Arial"/>
                <w:szCs w:val="20"/>
                <w:lang w:eastAsia="en-GB"/>
              </w:rPr>
              <w:t>1</w:t>
            </w:r>
            <w:r w:rsidR="00846247">
              <w:rPr>
                <w:rFonts w:cs="Arial"/>
                <w:szCs w:val="20"/>
                <w:lang w:eastAsia="en-GB"/>
              </w:rPr>
              <w:t>)</w:t>
            </w:r>
            <w:r w:rsidRPr="008E3A85">
              <w:rPr>
                <w:rFonts w:cs="Arial"/>
                <w:szCs w:val="20"/>
                <w:lang w:eastAsia="en-GB"/>
              </w:rPr>
              <w:t xml:space="preserve">(b) of </w:t>
            </w:r>
            <w:r w:rsidR="00AA6BC0">
              <w:rPr>
                <w:rFonts w:cs="Arial"/>
                <w:szCs w:val="20"/>
                <w:lang w:eastAsia="en-GB"/>
              </w:rPr>
              <w:t>REGULATION (EU) NO 575/2013</w:t>
            </w:r>
          </w:p>
          <w:p w:rsidR="00AC376C" w:rsidRPr="008E3A85" w:rsidRDefault="00AC376C" w:rsidP="008E3A85">
            <w:pPr>
              <w:spacing w:before="0" w:after="0"/>
              <w:rPr>
                <w:rStyle w:val="InstructionsTabelleberschrift"/>
                <w:b w:val="0"/>
                <w:szCs w:val="17"/>
                <w:u w:val="none"/>
                <w:lang w:eastAsia="de-DE"/>
              </w:rPr>
            </w:pPr>
          </w:p>
          <w:p w:rsidR="00EA0036" w:rsidRPr="008E3A85" w:rsidRDefault="00EA0036" w:rsidP="00EA0036">
            <w:pPr>
              <w:spacing w:before="0" w:after="0"/>
              <w:rPr>
                <w:rFonts w:cs="Arial"/>
                <w:szCs w:val="20"/>
                <w:lang w:eastAsia="en-GB"/>
              </w:rPr>
            </w:pPr>
            <w:r w:rsidRPr="008E3A85">
              <w:rPr>
                <w:rFonts w:cs="Arial"/>
                <w:szCs w:val="20"/>
                <w:lang w:eastAsia="en-GB"/>
              </w:rPr>
              <w:t xml:space="preserve">Of the </w:t>
            </w:r>
            <w:r>
              <w:rPr>
                <w:rFonts w:cs="Arial"/>
                <w:szCs w:val="20"/>
                <w:lang w:eastAsia="en-GB"/>
              </w:rPr>
              <w:t>r</w:t>
            </w:r>
            <w:r w:rsidRPr="008E3A85">
              <w:rPr>
                <w:rFonts w:cs="Arial"/>
                <w:szCs w:val="20"/>
                <w:lang w:eastAsia="en-GB"/>
              </w:rPr>
              <w:t xml:space="preserve">etail deposits covered by a Deposit Guarantee Scheme according to Directive 94/19/EC or an equivalent deposit guarantee scheme in a third country reported in item 1.1.1, </w:t>
            </w:r>
            <w:r>
              <w:rPr>
                <w:rFonts w:cs="Arial"/>
                <w:szCs w:val="20"/>
                <w:lang w:eastAsia="en-GB"/>
              </w:rPr>
              <w:t xml:space="preserve">that </w:t>
            </w:r>
            <w:r w:rsidRPr="008E3A85">
              <w:rPr>
                <w:rFonts w:cs="Arial"/>
                <w:szCs w:val="20"/>
                <w:lang w:eastAsia="en-GB"/>
              </w:rPr>
              <w:t xml:space="preserve">which is </w:t>
            </w:r>
            <w:r>
              <w:rPr>
                <w:rFonts w:cs="Arial"/>
                <w:szCs w:val="20"/>
                <w:lang w:eastAsia="en-GB"/>
              </w:rPr>
              <w:t xml:space="preserve">held in transactional accounts, including accounts to which salaries are regularly </w:t>
            </w:r>
            <w:r w:rsidRPr="008E3A85">
              <w:rPr>
                <w:rFonts w:cs="Arial"/>
                <w:szCs w:val="20"/>
                <w:lang w:eastAsia="en-GB"/>
              </w:rPr>
              <w:t xml:space="preserve"> </w:t>
            </w:r>
            <w:r>
              <w:rPr>
                <w:rFonts w:cs="Arial"/>
                <w:szCs w:val="20"/>
                <w:lang w:eastAsia="en-GB"/>
              </w:rPr>
              <w:t xml:space="preserve">credited, </w:t>
            </w:r>
            <w:r w:rsidRPr="008E3A85">
              <w:rPr>
                <w:rFonts w:cs="Arial"/>
                <w:szCs w:val="20"/>
                <w:lang w:eastAsia="en-GB"/>
              </w:rPr>
              <w:t>making withdrawal highly unlikely.</w:t>
            </w:r>
          </w:p>
          <w:p w:rsidR="00EA0036" w:rsidRDefault="00EA0036" w:rsidP="008E3A85">
            <w:pPr>
              <w:spacing w:before="0" w:after="0"/>
              <w:rPr>
                <w:rFonts w:cs="Arial"/>
                <w:szCs w:val="20"/>
                <w:lang w:eastAsia="en-GB"/>
              </w:rPr>
            </w:pPr>
          </w:p>
          <w:p w:rsidR="00AC376C" w:rsidRPr="008E3A85" w:rsidRDefault="00AC376C" w:rsidP="00F41F82">
            <w:pPr>
              <w:spacing w:before="0" w:after="0"/>
              <w:rPr>
                <w:rStyle w:val="InstructionsTabelleberschrift"/>
                <w:b w:val="0"/>
                <w:szCs w:val="17"/>
                <w:u w:val="none"/>
                <w:lang w:eastAsia="de-DE"/>
              </w:rPr>
            </w:pPr>
          </w:p>
        </w:tc>
      </w:tr>
      <w:tr w:rsidR="00AC376C" w:rsidRPr="008E3A85" w:rsidTr="00BC43F3">
        <w:trPr>
          <w:gridAfter w:val="1"/>
          <w:wAfter w:w="34" w:type="dxa"/>
          <w:trHeight w:val="381"/>
        </w:trPr>
        <w:tc>
          <w:tcPr>
            <w:tcW w:w="1369" w:type="dxa"/>
            <w:vAlign w:val="center"/>
          </w:tcPr>
          <w:p w:rsidR="00AC376C" w:rsidRPr="00D07900" w:rsidRDefault="00EF393C" w:rsidP="00EF393C">
            <w:pPr>
              <w:jc w:val="left"/>
              <w:rPr>
                <w:rFonts w:cs="Arial"/>
                <w:szCs w:val="20"/>
              </w:rPr>
            </w:pPr>
            <w:r>
              <w:rPr>
                <w:rFonts w:cs="Arial"/>
                <w:szCs w:val="20"/>
              </w:rPr>
              <w:t>040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1.1.2 covered by a Deposit Guarantee Scheme according to Directive 94/19/EC or an equivalent deposit guarantee scheme in a third country which do not qualify to be reported in items 1.1.1.1 or 1.1.1.2</w:t>
            </w:r>
          </w:p>
          <w:p w:rsidR="00AC376C" w:rsidRPr="008E3A85" w:rsidRDefault="00AC376C" w:rsidP="008E3A85">
            <w:pPr>
              <w:spacing w:before="0" w:after="0"/>
              <w:rPr>
                <w:rFonts w:cs="Arial"/>
                <w:szCs w:val="20"/>
                <w:lang w:eastAsia="en-GB"/>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EC3820">
              <w:rPr>
                <w:rFonts w:cs="Arial"/>
                <w:szCs w:val="20"/>
                <w:lang w:eastAsia="en-GB"/>
              </w:rPr>
              <w:t>21(2)</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AC376C" w:rsidRPr="008E3A85" w:rsidRDefault="000D01DB" w:rsidP="008E3A85">
            <w:pPr>
              <w:spacing w:before="0" w:after="0"/>
              <w:rPr>
                <w:rFonts w:cs="Arial"/>
                <w:bCs/>
                <w:szCs w:val="20"/>
                <w:lang w:eastAsia="en-GB"/>
              </w:rPr>
            </w:pPr>
            <w:r>
              <w:rPr>
                <w:rFonts w:cs="Arial"/>
                <w:szCs w:val="20"/>
                <w:lang w:eastAsia="en-GB"/>
              </w:rPr>
              <w:t xml:space="preserve">Of the </w:t>
            </w:r>
            <w:r w:rsidR="00AC376C" w:rsidRPr="008E3A85">
              <w:rPr>
                <w:rFonts w:cs="Arial"/>
                <w:szCs w:val="20"/>
                <w:lang w:eastAsia="en-GB"/>
              </w:rPr>
              <w:t xml:space="preserve">retail deposits </w:t>
            </w:r>
            <w:r w:rsidR="00AC376C" w:rsidRPr="008E3A85">
              <w:rPr>
                <w:rStyle w:val="InstructionsTabelleberschrift"/>
                <w:b w:val="0"/>
                <w:szCs w:val="17"/>
                <w:u w:val="none"/>
                <w:lang w:eastAsia="de-DE"/>
              </w:rPr>
              <w:t>covered by a Deposit Guarantee Scheme according to Directive 94/19/EC or an equivalent deposit guarantee scheme in a third country</w:t>
            </w:r>
            <w:r>
              <w:rPr>
                <w:rStyle w:val="InstructionsTabelleberschrift"/>
                <w:b w:val="0"/>
                <w:szCs w:val="17"/>
                <w:u w:val="none"/>
                <w:lang w:eastAsia="de-DE"/>
              </w:rPr>
              <w:t>,</w:t>
            </w:r>
            <w:r w:rsidR="00AC376C" w:rsidRPr="008E3A85">
              <w:rPr>
                <w:rStyle w:val="InstructionsTabelleberschrift"/>
                <w:b w:val="0"/>
                <w:szCs w:val="17"/>
                <w:u w:val="none"/>
                <w:lang w:eastAsia="de-DE"/>
              </w:rPr>
              <w:t xml:space="preserve"> </w:t>
            </w:r>
            <w:r>
              <w:rPr>
                <w:rStyle w:val="InstructionsTabelleberschrift"/>
                <w:b w:val="0"/>
                <w:szCs w:val="17"/>
                <w:u w:val="none"/>
                <w:lang w:eastAsia="de-DE"/>
              </w:rPr>
              <w:t xml:space="preserve">those other deposits </w:t>
            </w:r>
            <w:r w:rsidR="00AC376C" w:rsidRPr="008E3A85">
              <w:rPr>
                <w:rStyle w:val="InstructionsTabelleberschrift"/>
                <w:b w:val="0"/>
                <w:szCs w:val="17"/>
                <w:u w:val="none"/>
                <w:lang w:eastAsia="de-DE"/>
              </w:rPr>
              <w:t>which do not qualify to be reported in items 1.1.1.1 or 1.1.1.2</w:t>
            </w:r>
            <w:r w:rsidR="00AC376C" w:rsidRPr="008E3A85">
              <w:rPr>
                <w:rFonts w:cs="Arial"/>
                <w:szCs w:val="20"/>
                <w:lang w:eastAsia="en-GB"/>
              </w:rPr>
              <w:t>.</w:t>
            </w:r>
          </w:p>
          <w:p w:rsidR="00AC376C" w:rsidRDefault="00AC376C" w:rsidP="008E3A85">
            <w:pPr>
              <w:spacing w:before="0" w:after="0"/>
              <w:rPr>
                <w:rStyle w:val="InstructionsTabelleberschrift"/>
                <w:b w:val="0"/>
                <w:szCs w:val="17"/>
                <w:u w:val="none"/>
                <w:lang w:eastAsia="de-DE"/>
              </w:rPr>
            </w:pPr>
          </w:p>
          <w:p w:rsidR="008C3530" w:rsidRDefault="008C3530" w:rsidP="008E3A85">
            <w:pPr>
              <w:spacing w:before="0" w:after="0"/>
              <w:rPr>
                <w:rStyle w:val="InstructionsTabelleberschrift"/>
                <w:b w:val="0"/>
                <w:szCs w:val="17"/>
                <w:u w:val="none"/>
                <w:lang w:eastAsia="de-DE"/>
              </w:rPr>
            </w:pPr>
          </w:p>
          <w:p w:rsidR="008C3530" w:rsidRPr="008E3A85" w:rsidRDefault="008C3530" w:rsidP="008E3A85">
            <w:pPr>
              <w:spacing w:before="0" w:after="0"/>
              <w:rPr>
                <w:rStyle w:val="InstructionsTabelleberschrift"/>
                <w:b w:val="0"/>
                <w:szCs w:val="17"/>
                <w:u w:val="none"/>
                <w:lang w:eastAsia="de-DE"/>
              </w:rPr>
            </w:pPr>
          </w:p>
        </w:tc>
      </w:tr>
      <w:tr w:rsidR="00AC376C" w:rsidRPr="008E3A85" w:rsidTr="00BC43F3">
        <w:trPr>
          <w:gridAfter w:val="1"/>
          <w:wAfter w:w="34" w:type="dxa"/>
          <w:trHeight w:val="381"/>
        </w:trPr>
        <w:tc>
          <w:tcPr>
            <w:tcW w:w="1369" w:type="dxa"/>
            <w:vAlign w:val="center"/>
          </w:tcPr>
          <w:p w:rsidR="00AC376C" w:rsidRPr="00D07900" w:rsidRDefault="00EF393C" w:rsidP="00EF393C">
            <w:pPr>
              <w:jc w:val="left"/>
              <w:rPr>
                <w:rFonts w:cs="Arial"/>
                <w:szCs w:val="20"/>
              </w:rPr>
            </w:pPr>
            <w:r>
              <w:rPr>
                <w:rFonts w:cs="Arial"/>
                <w:szCs w:val="20"/>
              </w:rPr>
              <w:t>050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1.1.3 uninsured retail deposits</w:t>
            </w:r>
          </w:p>
          <w:p w:rsidR="00AC376C" w:rsidRPr="008E3A85" w:rsidRDefault="00AC376C" w:rsidP="008E3A85">
            <w:pPr>
              <w:spacing w:before="0" w:after="0"/>
              <w:rPr>
                <w:rStyle w:val="InstructionsTabelleberschrift"/>
                <w:szCs w:val="17"/>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817068">
              <w:rPr>
                <w:rFonts w:cs="Arial"/>
                <w:szCs w:val="20"/>
                <w:lang w:eastAsia="en-GB"/>
              </w:rPr>
              <w:t>21(2)</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AC376C" w:rsidRDefault="000D01DB" w:rsidP="008E3A85">
            <w:pPr>
              <w:spacing w:before="0" w:after="0"/>
              <w:rPr>
                <w:rFonts w:cs="Arial"/>
                <w:szCs w:val="20"/>
                <w:lang w:eastAsia="en-GB"/>
              </w:rPr>
            </w:pPr>
            <w:r>
              <w:rPr>
                <w:rFonts w:cs="Arial"/>
                <w:szCs w:val="20"/>
                <w:lang w:eastAsia="en-GB"/>
              </w:rPr>
              <w:t>R</w:t>
            </w:r>
            <w:r w:rsidR="00AC376C" w:rsidRPr="008E3A85">
              <w:rPr>
                <w:rFonts w:cs="Arial"/>
                <w:szCs w:val="20"/>
                <w:lang w:eastAsia="en-GB"/>
              </w:rPr>
              <w:t xml:space="preserve">etail deposits not </w:t>
            </w:r>
            <w:r w:rsidR="00AC376C" w:rsidRPr="008E3A85">
              <w:rPr>
                <w:rStyle w:val="InstructionsTabelleberschrift"/>
                <w:b w:val="0"/>
                <w:szCs w:val="17"/>
                <w:u w:val="none"/>
                <w:lang w:eastAsia="de-DE"/>
              </w:rPr>
              <w:t>covered by a Deposit Guarantee Scheme according to Directive 94/19/EC or an equivalent deposit guarantee scheme in a third country</w:t>
            </w:r>
            <w:r w:rsidR="00AC376C" w:rsidRPr="008E3A85">
              <w:rPr>
                <w:rFonts w:cs="Arial"/>
                <w:szCs w:val="20"/>
                <w:lang w:eastAsia="en-GB"/>
              </w:rPr>
              <w:t>.</w:t>
            </w:r>
          </w:p>
          <w:p w:rsidR="008B5057" w:rsidRDefault="008B5057" w:rsidP="008C3530">
            <w:pPr>
              <w:spacing w:before="0" w:after="0"/>
              <w:rPr>
                <w:rStyle w:val="InstructionsTabelleberschrift"/>
                <w:b w:val="0"/>
                <w:szCs w:val="17"/>
                <w:u w:val="none"/>
                <w:lang w:eastAsia="de-DE"/>
              </w:rPr>
            </w:pPr>
          </w:p>
          <w:p w:rsidR="008C3530" w:rsidRPr="008E3A85" w:rsidRDefault="008C3530" w:rsidP="008E3A85">
            <w:pPr>
              <w:spacing w:before="0" w:after="0"/>
              <w:rPr>
                <w:rFonts w:cs="Arial"/>
                <w:bCs/>
                <w:szCs w:val="20"/>
                <w:lang w:eastAsia="en-GB"/>
              </w:rPr>
            </w:pPr>
          </w:p>
          <w:p w:rsidR="00AC376C" w:rsidRPr="008E3A85" w:rsidRDefault="00AC376C" w:rsidP="008E3A85">
            <w:pPr>
              <w:spacing w:before="0" w:after="0"/>
              <w:rPr>
                <w:rStyle w:val="InstructionsTabelleberschrift"/>
                <w:szCs w:val="17"/>
                <w:lang w:eastAsia="de-DE"/>
              </w:rPr>
            </w:pPr>
          </w:p>
        </w:tc>
      </w:tr>
      <w:tr w:rsidR="00AC376C" w:rsidRPr="008E3A85" w:rsidTr="00BC43F3">
        <w:trPr>
          <w:gridAfter w:val="1"/>
          <w:wAfter w:w="34" w:type="dxa"/>
          <w:trHeight w:val="381"/>
        </w:trPr>
        <w:tc>
          <w:tcPr>
            <w:tcW w:w="1369" w:type="dxa"/>
            <w:vAlign w:val="center"/>
          </w:tcPr>
          <w:p w:rsidR="00AC376C" w:rsidRPr="00D07900" w:rsidRDefault="00EF393C" w:rsidP="00EF393C">
            <w:pPr>
              <w:jc w:val="left"/>
              <w:rPr>
                <w:rFonts w:cs="Arial"/>
                <w:szCs w:val="20"/>
              </w:rPr>
            </w:pPr>
            <w:r>
              <w:rPr>
                <w:rFonts w:cs="Arial"/>
                <w:szCs w:val="20"/>
              </w:rPr>
              <w:t>060-080</w:t>
            </w:r>
          </w:p>
        </w:tc>
        <w:tc>
          <w:tcPr>
            <w:tcW w:w="7380" w:type="dxa"/>
            <w:gridSpan w:val="3"/>
            <w:shd w:val="clear" w:color="auto" w:fill="E6E6E6"/>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1.1.4 deposits subject to higher outflows than specified in Article 4</w:t>
            </w:r>
            <w:r w:rsidR="00817068">
              <w:rPr>
                <w:rStyle w:val="InstructionsTabelleberschrift"/>
                <w:szCs w:val="17"/>
                <w:lang w:eastAsia="de-DE"/>
              </w:rPr>
              <w:t>21(1)</w:t>
            </w:r>
            <w:r w:rsidRPr="008E3A85">
              <w:rPr>
                <w:rStyle w:val="InstructionsTabelleberschrift"/>
                <w:szCs w:val="17"/>
                <w:lang w:eastAsia="de-DE"/>
              </w:rPr>
              <w:t xml:space="preserve"> or 4</w:t>
            </w:r>
            <w:r w:rsidR="00817068">
              <w:rPr>
                <w:rStyle w:val="InstructionsTabelleberschrift"/>
                <w:szCs w:val="17"/>
                <w:lang w:eastAsia="de-DE"/>
              </w:rPr>
              <w:t>21(2)</w:t>
            </w:r>
          </w:p>
          <w:p w:rsidR="00AC376C" w:rsidRPr="008E3A85" w:rsidRDefault="00AC376C" w:rsidP="008E3A85">
            <w:pPr>
              <w:spacing w:before="0" w:after="0"/>
              <w:rPr>
                <w:rStyle w:val="InstructionsTabelleberschrift"/>
                <w:szCs w:val="17"/>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lastRenderedPageBreak/>
              <w:t xml:space="preserve">Article </w:t>
            </w:r>
            <w:r w:rsidR="00A75C0C" w:rsidRPr="008E3A85">
              <w:rPr>
                <w:rFonts w:cs="Arial"/>
                <w:szCs w:val="20"/>
                <w:lang w:eastAsia="en-GB"/>
              </w:rPr>
              <w:t>4</w:t>
            </w:r>
            <w:r w:rsidR="00A75C0C">
              <w:rPr>
                <w:rFonts w:cs="Arial"/>
                <w:szCs w:val="20"/>
                <w:lang w:eastAsia="en-GB"/>
              </w:rPr>
              <w:t>21</w:t>
            </w:r>
            <w:r w:rsidR="00525715">
              <w:rPr>
                <w:rFonts w:cs="Arial"/>
                <w:szCs w:val="20"/>
                <w:lang w:eastAsia="en-GB"/>
              </w:rPr>
              <w:t>(</w:t>
            </w:r>
            <w:r w:rsidRPr="008E3A85">
              <w:rPr>
                <w:rFonts w:cs="Arial"/>
                <w:szCs w:val="20"/>
                <w:lang w:eastAsia="en-GB"/>
              </w:rPr>
              <w:t>3</w:t>
            </w:r>
            <w:r w:rsidR="00525715">
              <w:rPr>
                <w:rFonts w:cs="Arial"/>
                <w:szCs w:val="20"/>
                <w:lang w:eastAsia="en-GB"/>
              </w:rPr>
              <w:t>)</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AC376C" w:rsidRPr="008E3A85" w:rsidRDefault="003B118A" w:rsidP="008E3A85">
            <w:pPr>
              <w:spacing w:before="0" w:after="0"/>
              <w:rPr>
                <w:rStyle w:val="InstructionsTabelleberschrift"/>
                <w:b w:val="0"/>
                <w:u w:val="none"/>
              </w:rPr>
            </w:pPr>
            <w:r>
              <w:rPr>
                <w:lang w:eastAsia="en-GB"/>
              </w:rPr>
              <w:t>R</w:t>
            </w:r>
            <w:r w:rsidR="00AC376C" w:rsidRPr="008E3A85">
              <w:rPr>
                <w:lang w:eastAsia="en-GB"/>
              </w:rPr>
              <w:t xml:space="preserve">etail deposits subject to </w:t>
            </w:r>
            <w:r>
              <w:rPr>
                <w:lang w:eastAsia="en-GB"/>
              </w:rPr>
              <w:t>higher outflows</w:t>
            </w:r>
            <w:r w:rsidR="00AC376C" w:rsidRPr="008E3A85">
              <w:rPr>
                <w:lang w:eastAsia="en-GB"/>
              </w:rPr>
              <w:t xml:space="preserve"> than those specified in Article 4</w:t>
            </w:r>
            <w:r>
              <w:rPr>
                <w:lang w:eastAsia="en-GB"/>
              </w:rPr>
              <w:t>21</w:t>
            </w:r>
            <w:r w:rsidR="00817068">
              <w:rPr>
                <w:lang w:eastAsia="en-GB"/>
              </w:rPr>
              <w:t>(1)</w:t>
            </w:r>
            <w:r w:rsidR="00AC376C" w:rsidRPr="008E3A85">
              <w:rPr>
                <w:lang w:eastAsia="en-GB"/>
              </w:rPr>
              <w:t xml:space="preserve"> or 4</w:t>
            </w:r>
            <w:r w:rsidR="00817068">
              <w:rPr>
                <w:lang w:eastAsia="en-GB"/>
              </w:rPr>
              <w:t>21(2)</w:t>
            </w:r>
            <w:r w:rsidR="00AC376C" w:rsidRPr="008E3A85">
              <w:rPr>
                <w:lang w:eastAsia="en-GB"/>
              </w:rPr>
              <w:t xml:space="preserve"> of </w:t>
            </w:r>
            <w:r w:rsidR="00AA6BC0">
              <w:rPr>
                <w:lang w:eastAsia="en-GB"/>
              </w:rPr>
              <w:t>REGULATION (EU) NO 575/2013REGULATION (EU) NO 575/2013</w:t>
            </w:r>
            <w:r w:rsidR="00AC376C" w:rsidRPr="008E3A85">
              <w:rPr>
                <w:rStyle w:val="InstructionsTabelleberschrift"/>
                <w:b w:val="0"/>
                <w:u w:val="none"/>
              </w:rPr>
              <w:t xml:space="preserve"> sh</w:t>
            </w:r>
            <w:r w:rsidR="007A671E">
              <w:rPr>
                <w:rStyle w:val="InstructionsTabelleberschrift"/>
                <w:b w:val="0"/>
                <w:u w:val="none"/>
              </w:rPr>
              <w:t xml:space="preserve">all </w:t>
            </w:r>
            <w:r w:rsidR="00AC376C" w:rsidRPr="008E3A85">
              <w:rPr>
                <w:rStyle w:val="InstructionsTabelleberschrift"/>
                <w:b w:val="0"/>
                <w:u w:val="none"/>
              </w:rPr>
              <w:t>be reported in the following subcategories:</w:t>
            </w:r>
          </w:p>
          <w:p w:rsidR="00AC376C" w:rsidRPr="008E3A85" w:rsidRDefault="00AC376C" w:rsidP="008E3A85">
            <w:pPr>
              <w:spacing w:before="0" w:after="0"/>
              <w:rPr>
                <w:rStyle w:val="InstructionsTabelleberschrift"/>
                <w:rFonts w:cs="Arial"/>
                <w:b w:val="0"/>
                <w:bCs w:val="0"/>
                <w:szCs w:val="20"/>
                <w:u w:val="none"/>
                <w:lang w:eastAsia="en-GB"/>
              </w:rPr>
            </w:pPr>
          </w:p>
        </w:tc>
      </w:tr>
      <w:tr w:rsidR="00AC376C" w:rsidRPr="008E3A85" w:rsidTr="00BC43F3">
        <w:trPr>
          <w:gridAfter w:val="1"/>
          <w:wAfter w:w="34" w:type="dxa"/>
          <w:trHeight w:val="381"/>
        </w:trPr>
        <w:tc>
          <w:tcPr>
            <w:tcW w:w="1369" w:type="dxa"/>
            <w:vAlign w:val="center"/>
          </w:tcPr>
          <w:p w:rsidR="00AC376C" w:rsidRPr="00D07900" w:rsidRDefault="00EF393C" w:rsidP="00EF393C">
            <w:pPr>
              <w:jc w:val="left"/>
              <w:rPr>
                <w:rFonts w:cs="Arial"/>
                <w:szCs w:val="20"/>
              </w:rPr>
            </w:pPr>
            <w:r>
              <w:rPr>
                <w:rFonts w:cs="Arial"/>
                <w:szCs w:val="20"/>
              </w:rPr>
              <w:lastRenderedPageBreak/>
              <w:t>060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 xml:space="preserve">1.1.4.1 deposits subject to higher outflow rate - </w:t>
            </w:r>
            <w:r w:rsidR="00E62C99">
              <w:rPr>
                <w:rStyle w:val="InstructionsTabelleberschrift"/>
                <w:szCs w:val="17"/>
                <w:lang w:eastAsia="de-DE"/>
              </w:rPr>
              <w:t>Category</w:t>
            </w:r>
            <w:r w:rsidRPr="008E3A85">
              <w:rPr>
                <w:rStyle w:val="InstructionsTabelleberschrift"/>
                <w:szCs w:val="17"/>
                <w:lang w:eastAsia="de-DE"/>
              </w:rPr>
              <w:t xml:space="preserve"> 1 – medium</w:t>
            </w:r>
            <w:r w:rsidR="00A70AEA">
              <w:rPr>
                <w:rStyle w:val="InstructionsTabelleberschrift"/>
                <w:szCs w:val="17"/>
                <w:lang w:eastAsia="de-DE"/>
              </w:rPr>
              <w:t xml:space="preserve"> risk of outflow</w:t>
            </w:r>
          </w:p>
          <w:p w:rsidR="00AC376C" w:rsidRPr="008E3A85" w:rsidRDefault="00AC376C" w:rsidP="008E3A85">
            <w:pPr>
              <w:spacing w:before="0" w:after="0"/>
              <w:rPr>
                <w:rStyle w:val="InstructionsTabelleberschrift"/>
                <w:szCs w:val="17"/>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E62C99">
              <w:rPr>
                <w:rFonts w:cs="Arial"/>
                <w:szCs w:val="20"/>
                <w:lang w:eastAsia="en-GB"/>
              </w:rPr>
              <w:t>21(3)</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AC376C" w:rsidRDefault="007A671E" w:rsidP="008E3A85">
            <w:pPr>
              <w:pStyle w:val="Default"/>
              <w:jc w:val="both"/>
              <w:rPr>
                <w:rFonts w:eastAsia="Times New Roman" w:cs="Arial"/>
                <w:color w:val="auto"/>
                <w:sz w:val="20"/>
                <w:szCs w:val="20"/>
                <w:lang w:val="en-GB" w:eastAsia="en-GB"/>
              </w:rPr>
            </w:pPr>
            <w:r>
              <w:rPr>
                <w:rFonts w:eastAsia="Times New Roman" w:cs="Arial"/>
                <w:color w:val="auto"/>
                <w:sz w:val="20"/>
                <w:szCs w:val="20"/>
                <w:lang w:val="en-GB" w:eastAsia="en-GB"/>
              </w:rPr>
              <w:t>R</w:t>
            </w:r>
            <w:r w:rsidR="00AC376C" w:rsidRPr="008E3A85">
              <w:rPr>
                <w:rFonts w:eastAsia="Times New Roman" w:cs="Arial"/>
                <w:color w:val="auto"/>
                <w:sz w:val="20"/>
                <w:szCs w:val="20"/>
                <w:lang w:val="en-GB" w:eastAsia="en-GB"/>
              </w:rPr>
              <w:t xml:space="preserve">etail deposits </w:t>
            </w:r>
            <w:r>
              <w:rPr>
                <w:rFonts w:eastAsia="Times New Roman" w:cs="Arial"/>
                <w:color w:val="auto"/>
                <w:sz w:val="20"/>
                <w:szCs w:val="20"/>
                <w:lang w:val="en-GB" w:eastAsia="en-GB"/>
              </w:rPr>
              <w:t>identified by institutions to be allocated to category 1</w:t>
            </w:r>
            <w:r w:rsidR="00AC376C" w:rsidRPr="008E3A85">
              <w:rPr>
                <w:rFonts w:eastAsia="Times New Roman" w:cs="Arial"/>
                <w:color w:val="auto"/>
                <w:sz w:val="20"/>
                <w:szCs w:val="20"/>
                <w:lang w:val="en-GB" w:eastAsia="en-GB"/>
              </w:rPr>
              <w:t>.</w:t>
            </w:r>
          </w:p>
          <w:p w:rsidR="008B5057" w:rsidRDefault="008B5057" w:rsidP="008E3A85">
            <w:pPr>
              <w:pStyle w:val="Default"/>
              <w:jc w:val="both"/>
              <w:rPr>
                <w:rFonts w:eastAsia="Times New Roman" w:cs="Arial"/>
                <w:color w:val="auto"/>
                <w:sz w:val="20"/>
                <w:szCs w:val="20"/>
                <w:lang w:val="en-GB" w:eastAsia="en-GB"/>
              </w:rPr>
            </w:pPr>
          </w:p>
          <w:p w:rsidR="008B5057" w:rsidRPr="008E3A85" w:rsidRDefault="008B5057" w:rsidP="008E3A85">
            <w:pPr>
              <w:pStyle w:val="Default"/>
              <w:jc w:val="both"/>
              <w:rPr>
                <w:rFonts w:eastAsia="Times New Roman" w:cs="Arial"/>
                <w:color w:val="auto"/>
                <w:sz w:val="20"/>
                <w:szCs w:val="20"/>
                <w:lang w:val="en-GB" w:eastAsia="en-GB"/>
              </w:rPr>
            </w:pPr>
          </w:p>
          <w:p w:rsidR="00AC376C" w:rsidRPr="008E3A85" w:rsidRDefault="00AC376C" w:rsidP="008E3A85">
            <w:pPr>
              <w:spacing w:before="0" w:after="0"/>
              <w:rPr>
                <w:rStyle w:val="InstructionsTabelleberschrift"/>
                <w:szCs w:val="17"/>
                <w:lang w:eastAsia="de-DE"/>
              </w:rPr>
            </w:pPr>
          </w:p>
        </w:tc>
      </w:tr>
      <w:tr w:rsidR="00AC376C" w:rsidRPr="008E3A85" w:rsidTr="00BC43F3">
        <w:trPr>
          <w:gridAfter w:val="1"/>
          <w:wAfter w:w="34" w:type="dxa"/>
          <w:trHeight w:val="381"/>
        </w:trPr>
        <w:tc>
          <w:tcPr>
            <w:tcW w:w="1369" w:type="dxa"/>
            <w:vAlign w:val="center"/>
          </w:tcPr>
          <w:p w:rsidR="00AC376C" w:rsidRPr="00D07900" w:rsidRDefault="00EF393C" w:rsidP="00EF393C">
            <w:pPr>
              <w:jc w:val="left"/>
              <w:rPr>
                <w:rFonts w:cs="Arial"/>
                <w:szCs w:val="20"/>
              </w:rPr>
            </w:pPr>
            <w:r>
              <w:rPr>
                <w:rFonts w:cs="Arial"/>
                <w:szCs w:val="20"/>
              </w:rPr>
              <w:t>070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 xml:space="preserve">1.1.4.2 deposits subject to higher outflow rate - </w:t>
            </w:r>
            <w:r w:rsidR="00E62C99">
              <w:rPr>
                <w:rStyle w:val="InstructionsTabelleberschrift"/>
                <w:szCs w:val="17"/>
                <w:lang w:eastAsia="de-DE"/>
              </w:rPr>
              <w:t>Category</w:t>
            </w:r>
            <w:r w:rsidRPr="008E3A85">
              <w:rPr>
                <w:rStyle w:val="InstructionsTabelleberschrift"/>
                <w:szCs w:val="17"/>
                <w:lang w:eastAsia="de-DE"/>
              </w:rPr>
              <w:t xml:space="preserve"> 2 – high</w:t>
            </w:r>
            <w:r w:rsidR="00A70AEA">
              <w:rPr>
                <w:rStyle w:val="InstructionsTabelleberschrift"/>
                <w:szCs w:val="17"/>
                <w:lang w:eastAsia="de-DE"/>
              </w:rPr>
              <w:t xml:space="preserve"> risk of outflow</w:t>
            </w:r>
          </w:p>
          <w:p w:rsidR="00AC376C" w:rsidRPr="008E3A85" w:rsidRDefault="00AC376C" w:rsidP="008E3A85">
            <w:pPr>
              <w:spacing w:before="0" w:after="0"/>
              <w:rPr>
                <w:rFonts w:cs="Arial"/>
                <w:szCs w:val="20"/>
                <w:lang w:eastAsia="en-GB"/>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E62C99">
              <w:rPr>
                <w:rFonts w:cs="Arial"/>
                <w:szCs w:val="20"/>
                <w:lang w:eastAsia="en-GB"/>
              </w:rPr>
              <w:t>21(3)</w:t>
            </w:r>
            <w:r w:rsidRPr="008E3A85">
              <w:rPr>
                <w:rFonts w:cs="Arial"/>
                <w:szCs w:val="20"/>
                <w:lang w:eastAsia="en-GB"/>
              </w:rPr>
              <w:t xml:space="preserve"> of </w:t>
            </w:r>
            <w:r w:rsidR="00AA6BC0">
              <w:rPr>
                <w:rFonts w:cs="Arial"/>
                <w:szCs w:val="20"/>
                <w:lang w:eastAsia="en-GB"/>
              </w:rPr>
              <w:t>REGULATION (EU) NO 575/2013</w:t>
            </w:r>
          </w:p>
          <w:p w:rsidR="00AC376C" w:rsidRDefault="00AC376C" w:rsidP="008E3A85">
            <w:pPr>
              <w:spacing w:before="0" w:after="0"/>
              <w:rPr>
                <w:rFonts w:cs="Arial"/>
                <w:szCs w:val="20"/>
                <w:lang w:eastAsia="en-GB"/>
              </w:rPr>
            </w:pPr>
          </w:p>
          <w:p w:rsidR="007A671E" w:rsidRDefault="007A671E" w:rsidP="007A671E">
            <w:pPr>
              <w:pStyle w:val="Default"/>
              <w:jc w:val="both"/>
              <w:rPr>
                <w:rFonts w:eastAsia="Times New Roman" w:cs="Arial"/>
                <w:color w:val="auto"/>
                <w:sz w:val="20"/>
                <w:szCs w:val="20"/>
                <w:lang w:val="en-GB" w:eastAsia="en-GB"/>
              </w:rPr>
            </w:pPr>
            <w:r>
              <w:rPr>
                <w:rFonts w:eastAsia="Times New Roman" w:cs="Arial"/>
                <w:color w:val="auto"/>
                <w:sz w:val="20"/>
                <w:szCs w:val="20"/>
                <w:lang w:val="en-GB" w:eastAsia="en-GB"/>
              </w:rPr>
              <w:t>R</w:t>
            </w:r>
            <w:r w:rsidRPr="008E3A85">
              <w:rPr>
                <w:rFonts w:eastAsia="Times New Roman" w:cs="Arial"/>
                <w:color w:val="auto"/>
                <w:sz w:val="20"/>
                <w:szCs w:val="20"/>
                <w:lang w:val="en-GB" w:eastAsia="en-GB"/>
              </w:rPr>
              <w:t xml:space="preserve">etail deposits </w:t>
            </w:r>
            <w:r>
              <w:rPr>
                <w:rFonts w:eastAsia="Times New Roman" w:cs="Arial"/>
                <w:color w:val="auto"/>
                <w:sz w:val="20"/>
                <w:szCs w:val="20"/>
                <w:lang w:val="en-GB" w:eastAsia="en-GB"/>
              </w:rPr>
              <w:t>identified by institutions to be allocated to category 2</w:t>
            </w:r>
            <w:r w:rsidRPr="008E3A85">
              <w:rPr>
                <w:rFonts w:eastAsia="Times New Roman" w:cs="Arial"/>
                <w:color w:val="auto"/>
                <w:sz w:val="20"/>
                <w:szCs w:val="20"/>
                <w:lang w:val="en-GB" w:eastAsia="en-GB"/>
              </w:rPr>
              <w:t>.</w:t>
            </w:r>
          </w:p>
          <w:p w:rsidR="007A671E" w:rsidRPr="008E3A85" w:rsidRDefault="007A671E" w:rsidP="008E3A85">
            <w:pPr>
              <w:spacing w:before="0" w:after="0"/>
              <w:rPr>
                <w:rFonts w:cs="Arial"/>
                <w:szCs w:val="20"/>
                <w:lang w:eastAsia="en-GB"/>
              </w:rPr>
            </w:pPr>
          </w:p>
          <w:p w:rsidR="008B5057" w:rsidRDefault="008B5057" w:rsidP="008E3A85">
            <w:pPr>
              <w:spacing w:before="0" w:after="0"/>
              <w:rPr>
                <w:rStyle w:val="InstructionsTabelleberschrift"/>
                <w:szCs w:val="17"/>
                <w:lang w:eastAsia="de-DE"/>
              </w:rPr>
            </w:pPr>
          </w:p>
          <w:p w:rsidR="008B5057" w:rsidRPr="008E3A85" w:rsidRDefault="008B5057" w:rsidP="008E3A85">
            <w:pPr>
              <w:spacing w:before="0" w:after="0"/>
              <w:rPr>
                <w:rStyle w:val="InstructionsTabelleberschrift"/>
                <w:szCs w:val="17"/>
                <w:lang w:eastAsia="de-DE"/>
              </w:rPr>
            </w:pPr>
          </w:p>
        </w:tc>
      </w:tr>
      <w:tr w:rsidR="00AC376C" w:rsidRPr="008E3A85" w:rsidTr="00BC43F3">
        <w:trPr>
          <w:gridAfter w:val="1"/>
          <w:wAfter w:w="34" w:type="dxa"/>
          <w:trHeight w:val="381"/>
        </w:trPr>
        <w:tc>
          <w:tcPr>
            <w:tcW w:w="1369" w:type="dxa"/>
            <w:vAlign w:val="center"/>
          </w:tcPr>
          <w:p w:rsidR="00AC376C" w:rsidRPr="00D07900" w:rsidRDefault="00EF393C" w:rsidP="00EF393C">
            <w:pPr>
              <w:jc w:val="left"/>
              <w:rPr>
                <w:rFonts w:cs="Arial"/>
                <w:szCs w:val="20"/>
              </w:rPr>
            </w:pPr>
            <w:r>
              <w:rPr>
                <w:rFonts w:cs="Arial"/>
                <w:szCs w:val="20"/>
              </w:rPr>
              <w:t>080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 xml:space="preserve">1.1.4.3 deposits subject to higher outflow rate </w:t>
            </w:r>
            <w:r w:rsidR="00E62C99">
              <w:rPr>
                <w:rStyle w:val="InstructionsTabelleberschrift"/>
                <w:szCs w:val="17"/>
                <w:lang w:eastAsia="de-DE"/>
              </w:rPr>
              <w:t>–</w:t>
            </w:r>
            <w:r w:rsidRPr="008E3A85">
              <w:rPr>
                <w:rStyle w:val="InstructionsTabelleberschrift"/>
                <w:szCs w:val="17"/>
                <w:lang w:eastAsia="de-DE"/>
              </w:rPr>
              <w:t xml:space="preserve"> </w:t>
            </w:r>
            <w:r w:rsidR="00E62C99">
              <w:rPr>
                <w:rStyle w:val="InstructionsTabelleberschrift"/>
                <w:szCs w:val="17"/>
                <w:lang w:eastAsia="de-DE"/>
              </w:rPr>
              <w:t xml:space="preserve">Category </w:t>
            </w:r>
            <w:r w:rsidRPr="008E3A85">
              <w:rPr>
                <w:rStyle w:val="InstructionsTabelleberschrift"/>
                <w:szCs w:val="17"/>
                <w:lang w:eastAsia="de-DE"/>
              </w:rPr>
              <w:t xml:space="preserve"> 3 - very high</w:t>
            </w:r>
            <w:r w:rsidR="00A70AEA">
              <w:rPr>
                <w:rStyle w:val="InstructionsTabelleberschrift"/>
                <w:szCs w:val="17"/>
                <w:lang w:eastAsia="de-DE"/>
              </w:rPr>
              <w:t xml:space="preserve"> risk of outflow</w:t>
            </w:r>
          </w:p>
          <w:p w:rsidR="00AC376C" w:rsidRPr="008E3A85" w:rsidRDefault="00AC376C" w:rsidP="008E3A85">
            <w:pPr>
              <w:spacing w:before="0" w:after="0"/>
              <w:rPr>
                <w:rFonts w:cs="Arial"/>
                <w:szCs w:val="20"/>
                <w:lang w:eastAsia="en-GB"/>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E62C99">
              <w:rPr>
                <w:rFonts w:cs="Arial"/>
                <w:szCs w:val="20"/>
                <w:lang w:eastAsia="en-GB"/>
              </w:rPr>
              <w:t>21(3)</w:t>
            </w:r>
            <w:r w:rsidRPr="008E3A85">
              <w:rPr>
                <w:rFonts w:cs="Arial"/>
                <w:szCs w:val="20"/>
                <w:lang w:eastAsia="en-GB"/>
              </w:rPr>
              <w:t xml:space="preserve"> of </w:t>
            </w:r>
            <w:r w:rsidR="00AA6BC0">
              <w:rPr>
                <w:rFonts w:cs="Arial"/>
                <w:szCs w:val="20"/>
                <w:lang w:eastAsia="en-GB"/>
              </w:rPr>
              <w:t>REGULATION (EU) NO 575/2013</w:t>
            </w:r>
          </w:p>
          <w:p w:rsidR="00AC376C" w:rsidRDefault="00AC376C" w:rsidP="008E3A85">
            <w:pPr>
              <w:spacing w:before="0" w:after="0"/>
              <w:rPr>
                <w:rFonts w:cs="Arial"/>
                <w:szCs w:val="20"/>
                <w:lang w:eastAsia="en-GB"/>
              </w:rPr>
            </w:pPr>
          </w:p>
          <w:p w:rsidR="007A671E" w:rsidRDefault="007A671E" w:rsidP="007A671E">
            <w:pPr>
              <w:pStyle w:val="Default"/>
              <w:jc w:val="both"/>
              <w:rPr>
                <w:rFonts w:eastAsia="Times New Roman" w:cs="Arial"/>
                <w:color w:val="auto"/>
                <w:sz w:val="20"/>
                <w:szCs w:val="20"/>
                <w:lang w:val="en-GB" w:eastAsia="en-GB"/>
              </w:rPr>
            </w:pPr>
            <w:r>
              <w:rPr>
                <w:rFonts w:eastAsia="Times New Roman" w:cs="Arial"/>
                <w:color w:val="auto"/>
                <w:sz w:val="20"/>
                <w:szCs w:val="20"/>
                <w:lang w:val="en-GB" w:eastAsia="en-GB"/>
              </w:rPr>
              <w:t>R</w:t>
            </w:r>
            <w:r w:rsidRPr="008E3A85">
              <w:rPr>
                <w:rFonts w:eastAsia="Times New Roman" w:cs="Arial"/>
                <w:color w:val="auto"/>
                <w:sz w:val="20"/>
                <w:szCs w:val="20"/>
                <w:lang w:val="en-GB" w:eastAsia="en-GB"/>
              </w:rPr>
              <w:t xml:space="preserve">etail deposits </w:t>
            </w:r>
            <w:r>
              <w:rPr>
                <w:rFonts w:eastAsia="Times New Roman" w:cs="Arial"/>
                <w:color w:val="auto"/>
                <w:sz w:val="20"/>
                <w:szCs w:val="20"/>
                <w:lang w:val="en-GB" w:eastAsia="en-GB"/>
              </w:rPr>
              <w:t>identified by institutions to be allocated to category 3</w:t>
            </w:r>
            <w:r w:rsidRPr="008E3A85">
              <w:rPr>
                <w:rFonts w:eastAsia="Times New Roman" w:cs="Arial"/>
                <w:color w:val="auto"/>
                <w:sz w:val="20"/>
                <w:szCs w:val="20"/>
                <w:lang w:val="en-GB" w:eastAsia="en-GB"/>
              </w:rPr>
              <w:t>.</w:t>
            </w:r>
          </w:p>
          <w:p w:rsidR="007A671E" w:rsidRPr="008E3A85" w:rsidRDefault="007A671E" w:rsidP="008E3A85">
            <w:pPr>
              <w:spacing w:before="0" w:after="0"/>
              <w:rPr>
                <w:rFonts w:cs="Arial"/>
                <w:szCs w:val="20"/>
                <w:lang w:eastAsia="en-GB"/>
              </w:rPr>
            </w:pPr>
          </w:p>
          <w:p w:rsidR="008B5057" w:rsidRPr="008E3A85" w:rsidRDefault="008B5057" w:rsidP="008E3A85">
            <w:pPr>
              <w:spacing w:before="0" w:after="0"/>
              <w:rPr>
                <w:rStyle w:val="InstructionsTabelleberschrift"/>
                <w:szCs w:val="17"/>
                <w:lang w:eastAsia="de-DE"/>
              </w:rPr>
            </w:pPr>
          </w:p>
          <w:p w:rsidR="00AC376C" w:rsidRPr="008E3A85" w:rsidRDefault="00AC376C" w:rsidP="008E3A85">
            <w:pPr>
              <w:spacing w:before="0" w:after="0"/>
              <w:rPr>
                <w:rStyle w:val="InstructionsTabelleberschrift"/>
                <w:szCs w:val="17"/>
                <w:lang w:eastAsia="de-DE"/>
              </w:rPr>
            </w:pPr>
          </w:p>
        </w:tc>
      </w:tr>
      <w:tr w:rsidR="00AC376C" w:rsidRPr="008E3A85" w:rsidTr="00BC43F3">
        <w:trPr>
          <w:gridAfter w:val="1"/>
          <w:wAfter w:w="34" w:type="dxa"/>
        </w:trPr>
        <w:tc>
          <w:tcPr>
            <w:tcW w:w="1369" w:type="dxa"/>
            <w:vAlign w:val="center"/>
          </w:tcPr>
          <w:p w:rsidR="00AC376C" w:rsidRPr="00D07900" w:rsidRDefault="00EF393C" w:rsidP="00EF393C">
            <w:pPr>
              <w:jc w:val="left"/>
              <w:rPr>
                <w:rFonts w:cs="Arial"/>
                <w:szCs w:val="20"/>
              </w:rPr>
            </w:pPr>
            <w:r>
              <w:rPr>
                <w:rFonts w:cs="Arial"/>
                <w:szCs w:val="20"/>
              </w:rPr>
              <w:t>090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 xml:space="preserve">1.1.5 deposits in third countries where a higher outflow is applied </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975573">
              <w:rPr>
                <w:rFonts w:cs="Arial"/>
                <w:szCs w:val="20"/>
                <w:lang w:eastAsia="en-GB"/>
              </w:rPr>
              <w:t>21(4)</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AC376C" w:rsidRPr="008E3A85" w:rsidRDefault="007A671E" w:rsidP="008E3A85">
            <w:pPr>
              <w:spacing w:before="0" w:after="0"/>
              <w:rPr>
                <w:rStyle w:val="InstructionsTabelleberschrift"/>
                <w:b w:val="0"/>
                <w:szCs w:val="17"/>
                <w:u w:val="none"/>
                <w:lang w:eastAsia="de-DE"/>
              </w:rPr>
            </w:pPr>
            <w:r>
              <w:rPr>
                <w:rStyle w:val="InstructionsTabelleberschrift"/>
                <w:b w:val="0"/>
                <w:szCs w:val="17"/>
                <w:u w:val="none"/>
                <w:lang w:eastAsia="de-DE"/>
              </w:rPr>
              <w:t>R</w:t>
            </w:r>
            <w:r w:rsidR="00AC376C" w:rsidRPr="008E3A85">
              <w:rPr>
                <w:rStyle w:val="InstructionsTabelleberschrift"/>
                <w:b w:val="0"/>
                <w:szCs w:val="17"/>
                <w:u w:val="none"/>
                <w:lang w:eastAsia="de-DE"/>
              </w:rPr>
              <w:t>etail deposits taken in third countries subject to outflows in that third country which are higher than those specified in Article 4</w:t>
            </w:r>
            <w:r w:rsidR="00975573">
              <w:rPr>
                <w:rStyle w:val="InstructionsTabelleberschrift"/>
                <w:b w:val="0"/>
                <w:szCs w:val="17"/>
                <w:u w:val="none"/>
                <w:lang w:eastAsia="de-DE"/>
              </w:rPr>
              <w:t>21(1)</w:t>
            </w:r>
            <w:r w:rsidR="00AC376C" w:rsidRPr="008E3A85">
              <w:rPr>
                <w:rStyle w:val="InstructionsTabelleberschrift"/>
                <w:b w:val="0"/>
                <w:szCs w:val="17"/>
                <w:u w:val="none"/>
                <w:lang w:eastAsia="de-DE"/>
              </w:rPr>
              <w:t xml:space="preserve"> or </w:t>
            </w:r>
            <w:r w:rsidR="00975573">
              <w:rPr>
                <w:rStyle w:val="InstructionsTabelleberschrift"/>
                <w:b w:val="0"/>
                <w:szCs w:val="17"/>
                <w:u w:val="none"/>
                <w:lang w:eastAsia="de-DE"/>
              </w:rPr>
              <w:t>(</w:t>
            </w:r>
            <w:r w:rsidR="00AC376C" w:rsidRPr="008E3A85">
              <w:rPr>
                <w:rStyle w:val="InstructionsTabelleberschrift"/>
                <w:b w:val="0"/>
                <w:szCs w:val="17"/>
                <w:u w:val="none"/>
                <w:lang w:eastAsia="de-DE"/>
              </w:rPr>
              <w:t>2</w:t>
            </w:r>
            <w:r w:rsidR="00975573">
              <w:rPr>
                <w:rStyle w:val="InstructionsTabelleberschrift"/>
                <w:b w:val="0"/>
                <w:szCs w:val="17"/>
                <w:u w:val="none"/>
                <w:lang w:eastAsia="de-DE"/>
              </w:rPr>
              <w:t>)</w:t>
            </w:r>
            <w:r w:rsidR="00AC376C"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r w:rsidR="00AC376C" w:rsidRPr="008E3A85">
              <w:rPr>
                <w:rStyle w:val="InstructionsTabelleberschrift"/>
                <w:b w:val="0"/>
                <w:szCs w:val="17"/>
                <w:u w:val="none"/>
                <w:lang w:eastAsia="de-DE"/>
              </w:rPr>
              <w:t>.</w:t>
            </w:r>
          </w:p>
          <w:p w:rsidR="00AC376C" w:rsidRDefault="00AC376C" w:rsidP="008E3A85">
            <w:pPr>
              <w:spacing w:before="0" w:after="0"/>
              <w:rPr>
                <w:rStyle w:val="InstructionsTabelleberschrift"/>
                <w:b w:val="0"/>
                <w:szCs w:val="17"/>
                <w:u w:val="none"/>
                <w:lang w:eastAsia="de-DE"/>
              </w:rPr>
            </w:pPr>
          </w:p>
          <w:p w:rsidR="008B5057" w:rsidRPr="008E3A85" w:rsidRDefault="008B5057" w:rsidP="00080EE2">
            <w:pPr>
              <w:spacing w:before="0" w:after="0"/>
              <w:rPr>
                <w:rStyle w:val="InstructionsTabelleberschrift"/>
                <w:b w:val="0"/>
                <w:szCs w:val="17"/>
                <w:u w:val="none"/>
                <w:lang w:eastAsia="de-DE"/>
              </w:rPr>
            </w:pPr>
          </w:p>
        </w:tc>
      </w:tr>
      <w:tr w:rsidR="00AC376C" w:rsidRPr="008E3A85" w:rsidTr="00BC43F3">
        <w:trPr>
          <w:gridAfter w:val="1"/>
          <w:wAfter w:w="34" w:type="dxa"/>
        </w:trPr>
        <w:tc>
          <w:tcPr>
            <w:tcW w:w="1369" w:type="dxa"/>
            <w:vAlign w:val="center"/>
          </w:tcPr>
          <w:p w:rsidR="00AC376C" w:rsidRPr="00D07900" w:rsidRDefault="000815B6" w:rsidP="000815B6">
            <w:pPr>
              <w:jc w:val="left"/>
              <w:rPr>
                <w:rFonts w:cs="Arial"/>
                <w:szCs w:val="20"/>
              </w:rPr>
            </w:pPr>
            <w:r>
              <w:rPr>
                <w:rFonts w:cs="Arial"/>
                <w:szCs w:val="20"/>
              </w:rPr>
              <w:t>100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 xml:space="preserve">1.1.6 </w:t>
            </w:r>
            <w:proofErr w:type="gramStart"/>
            <w:r w:rsidRPr="008E3A85">
              <w:rPr>
                <w:rStyle w:val="InstructionsTabelleberschrift"/>
                <w:szCs w:val="17"/>
                <w:lang w:eastAsia="de-DE"/>
              </w:rPr>
              <w:t>deposits</w:t>
            </w:r>
            <w:proofErr w:type="gramEnd"/>
            <w:r w:rsidRPr="008E3A85">
              <w:rPr>
                <w:rStyle w:val="InstructionsTabelleberschrift"/>
                <w:szCs w:val="17"/>
                <w:lang w:eastAsia="de-DE"/>
              </w:rPr>
              <w:t xml:space="preserve"> exempted from the calculation of outflows where the conditions of Art. 4</w:t>
            </w:r>
            <w:r w:rsidR="003F5AA6">
              <w:rPr>
                <w:rStyle w:val="InstructionsTabelleberschrift"/>
                <w:szCs w:val="17"/>
                <w:lang w:eastAsia="de-DE"/>
              </w:rPr>
              <w:t>21(</w:t>
            </w:r>
            <w:r w:rsidRPr="008E3A85">
              <w:rPr>
                <w:rStyle w:val="InstructionsTabelleberschrift"/>
                <w:szCs w:val="17"/>
                <w:lang w:eastAsia="de-DE"/>
              </w:rPr>
              <w:t>5</w:t>
            </w:r>
            <w:r w:rsidR="003F5AA6">
              <w:rPr>
                <w:rStyle w:val="InstructionsTabelleberschrift"/>
                <w:szCs w:val="17"/>
                <w:lang w:eastAsia="de-DE"/>
              </w:rPr>
              <w:t>)</w:t>
            </w:r>
            <w:r w:rsidRPr="008E3A85">
              <w:rPr>
                <w:rStyle w:val="InstructionsTabelleberschrift"/>
                <w:szCs w:val="17"/>
                <w:lang w:eastAsia="de-DE"/>
              </w:rPr>
              <w:t xml:space="preserve"> (a) and (b) have been met</w:t>
            </w:r>
          </w:p>
          <w:p w:rsidR="00AC376C" w:rsidRPr="008E3A85" w:rsidRDefault="00AC376C" w:rsidP="008E3A85">
            <w:pPr>
              <w:spacing w:before="0" w:after="0"/>
              <w:rPr>
                <w:rFonts w:cs="Arial"/>
                <w:szCs w:val="20"/>
                <w:lang w:eastAsia="en-GB"/>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975573">
              <w:rPr>
                <w:rFonts w:cs="Arial"/>
                <w:szCs w:val="20"/>
                <w:lang w:eastAsia="en-GB"/>
              </w:rPr>
              <w:t>21 (</w:t>
            </w:r>
            <w:r w:rsidRPr="008E3A85">
              <w:rPr>
                <w:rFonts w:cs="Arial"/>
                <w:szCs w:val="20"/>
                <w:lang w:eastAsia="en-GB"/>
              </w:rPr>
              <w:t>5</w:t>
            </w:r>
            <w:r w:rsidR="00975573">
              <w:rPr>
                <w:rFonts w:cs="Arial"/>
                <w:szCs w:val="20"/>
                <w:lang w:eastAsia="en-GB"/>
              </w:rPr>
              <w:t>)</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Fonts w:cs="Arial"/>
                <w:szCs w:val="20"/>
                <w:lang w:eastAsia="en-GB"/>
              </w:rPr>
            </w:pPr>
          </w:p>
          <w:p w:rsidR="002D5ED4" w:rsidRDefault="00080EE2" w:rsidP="002D5ED4">
            <w:pPr>
              <w:autoSpaceDE w:val="0"/>
              <w:autoSpaceDN w:val="0"/>
              <w:adjustRightInd w:val="0"/>
              <w:spacing w:before="0" w:after="0"/>
              <w:rPr>
                <w:rFonts w:cs="Arial"/>
                <w:szCs w:val="20"/>
                <w:lang w:eastAsia="en-GB"/>
              </w:rPr>
            </w:pPr>
            <w:r>
              <w:rPr>
                <w:rStyle w:val="InstructionsTabelleberschrift"/>
                <w:b w:val="0"/>
                <w:szCs w:val="17"/>
                <w:u w:val="none"/>
                <w:lang w:eastAsia="de-DE"/>
              </w:rPr>
              <w:t>R</w:t>
            </w:r>
            <w:r w:rsidR="00AC376C" w:rsidRPr="008E3A85">
              <w:rPr>
                <w:rStyle w:val="InstructionsTabelleberschrift"/>
                <w:b w:val="0"/>
                <w:szCs w:val="17"/>
                <w:u w:val="none"/>
                <w:lang w:eastAsia="de-DE"/>
              </w:rPr>
              <w:t xml:space="preserve">etail deposits </w:t>
            </w:r>
            <w:r w:rsidR="00AC376C" w:rsidRPr="008E3A85">
              <w:rPr>
                <w:rFonts w:cs="Arial"/>
                <w:szCs w:val="20"/>
                <w:lang w:eastAsia="en-GB"/>
              </w:rPr>
              <w:t xml:space="preserve">exempted from the calculation of outflows, as </w:t>
            </w:r>
            <w:r w:rsidR="00805448">
              <w:rPr>
                <w:rFonts w:cs="Arial"/>
                <w:szCs w:val="20"/>
                <w:lang w:eastAsia="en-GB"/>
              </w:rPr>
              <w:t>referred to in Article</w:t>
            </w:r>
            <w:r w:rsidR="004F1B44">
              <w:rPr>
                <w:rFonts w:cs="Arial"/>
                <w:szCs w:val="20"/>
                <w:lang w:eastAsia="en-GB"/>
              </w:rPr>
              <w:t xml:space="preserve"> </w:t>
            </w:r>
            <w:r w:rsidR="00805448" w:rsidRPr="008E3A85">
              <w:rPr>
                <w:rFonts w:cs="Arial"/>
                <w:szCs w:val="20"/>
                <w:lang w:eastAsia="en-GB"/>
              </w:rPr>
              <w:t>4</w:t>
            </w:r>
            <w:r w:rsidR="00805448">
              <w:rPr>
                <w:rFonts w:cs="Arial"/>
                <w:szCs w:val="20"/>
                <w:lang w:eastAsia="en-GB"/>
              </w:rPr>
              <w:t>21 (</w:t>
            </w:r>
            <w:r w:rsidR="00805448" w:rsidRPr="008E3A85">
              <w:rPr>
                <w:rFonts w:cs="Arial"/>
                <w:szCs w:val="20"/>
                <w:lang w:eastAsia="en-GB"/>
              </w:rPr>
              <w:t>5</w:t>
            </w:r>
            <w:r w:rsidR="00805448">
              <w:rPr>
                <w:rFonts w:cs="Arial"/>
                <w:szCs w:val="20"/>
                <w:lang w:eastAsia="en-GB"/>
              </w:rPr>
              <w:t>)</w:t>
            </w:r>
            <w:r w:rsidR="00805448" w:rsidRPr="008E3A85">
              <w:rPr>
                <w:rFonts w:cs="Arial"/>
                <w:szCs w:val="20"/>
                <w:lang w:eastAsia="en-GB"/>
              </w:rPr>
              <w:t xml:space="preserve"> of </w:t>
            </w:r>
            <w:r w:rsidR="00AA6BC0">
              <w:rPr>
                <w:rFonts w:cs="Arial"/>
                <w:szCs w:val="20"/>
                <w:lang w:eastAsia="en-GB"/>
              </w:rPr>
              <w:t>REGULATION (EU) NO 575/2013</w:t>
            </w:r>
            <w:r w:rsidR="00805448">
              <w:rPr>
                <w:rFonts w:cs="Arial"/>
                <w:szCs w:val="20"/>
                <w:lang w:eastAsia="en-GB"/>
              </w:rPr>
              <w:t xml:space="preserve">. </w:t>
            </w:r>
          </w:p>
          <w:p w:rsidR="008B5057" w:rsidRDefault="008B5057" w:rsidP="008E3A85">
            <w:pPr>
              <w:spacing w:before="0" w:after="0"/>
              <w:rPr>
                <w:rFonts w:cs="Arial"/>
                <w:szCs w:val="20"/>
                <w:lang w:eastAsia="en-GB"/>
              </w:rPr>
            </w:pPr>
          </w:p>
          <w:p w:rsidR="00AC376C" w:rsidRPr="008E3A85" w:rsidRDefault="00AC376C" w:rsidP="008E3A85">
            <w:pPr>
              <w:spacing w:before="0" w:after="0"/>
              <w:rPr>
                <w:rStyle w:val="InstructionsTabelleberschrift"/>
                <w:b w:val="0"/>
                <w:szCs w:val="17"/>
                <w:u w:val="none"/>
                <w:lang w:eastAsia="de-DE"/>
              </w:rPr>
            </w:pPr>
          </w:p>
        </w:tc>
      </w:tr>
      <w:tr w:rsidR="00AC376C" w:rsidRPr="008E3A85" w:rsidTr="00BC43F3">
        <w:trPr>
          <w:gridAfter w:val="1"/>
          <w:wAfter w:w="34" w:type="dxa"/>
        </w:trPr>
        <w:tc>
          <w:tcPr>
            <w:tcW w:w="1369" w:type="dxa"/>
            <w:shd w:val="clear" w:color="auto" w:fill="E6E6E6"/>
            <w:vAlign w:val="center"/>
          </w:tcPr>
          <w:p w:rsidR="00AC376C" w:rsidRPr="00D07900" w:rsidRDefault="000815B6" w:rsidP="00AB3E57">
            <w:pPr>
              <w:jc w:val="left"/>
              <w:rPr>
                <w:rFonts w:cs="Arial"/>
                <w:szCs w:val="20"/>
              </w:rPr>
            </w:pPr>
            <w:r>
              <w:rPr>
                <w:rFonts w:cs="Arial"/>
                <w:szCs w:val="20"/>
              </w:rPr>
              <w:t>1</w:t>
            </w:r>
            <w:r w:rsidR="00AB3E57">
              <w:rPr>
                <w:rFonts w:cs="Arial"/>
                <w:szCs w:val="20"/>
              </w:rPr>
              <w:t>1</w:t>
            </w:r>
            <w:r>
              <w:rPr>
                <w:rFonts w:cs="Arial"/>
                <w:szCs w:val="20"/>
              </w:rPr>
              <w:t>0</w:t>
            </w:r>
            <w:r w:rsidR="00AB3E57">
              <w:rPr>
                <w:rFonts w:cs="Arial"/>
                <w:szCs w:val="20"/>
              </w:rPr>
              <w:t>-1130</w:t>
            </w:r>
          </w:p>
        </w:tc>
        <w:tc>
          <w:tcPr>
            <w:tcW w:w="7380" w:type="dxa"/>
            <w:gridSpan w:val="3"/>
            <w:shd w:val="clear" w:color="auto" w:fill="E6E6E6"/>
            <w:vAlign w:val="center"/>
          </w:tcPr>
          <w:p w:rsidR="00AC376C" w:rsidRPr="008E3A85" w:rsidRDefault="00AC376C" w:rsidP="008E3A85">
            <w:pPr>
              <w:spacing w:before="0" w:after="0"/>
              <w:rPr>
                <w:rStyle w:val="InstructionsTabelleberschrift"/>
                <w:bCs w:val="0"/>
                <w:szCs w:val="17"/>
                <w:lang w:eastAsia="de-DE"/>
              </w:rPr>
            </w:pPr>
            <w:r w:rsidRPr="008E3A85">
              <w:rPr>
                <w:rStyle w:val="InstructionsTabelleberschrift"/>
                <w:bCs w:val="0"/>
                <w:szCs w:val="17"/>
                <w:lang w:eastAsia="de-DE"/>
              </w:rPr>
              <w:t>1.2 outflows on other liabilities</w:t>
            </w:r>
          </w:p>
          <w:p w:rsidR="00612B35" w:rsidRDefault="00612B35" w:rsidP="008E3A85">
            <w:pPr>
              <w:spacing w:before="0" w:after="0"/>
              <w:rPr>
                <w:rStyle w:val="InstructionsTabelleberschrift"/>
                <w:b w:val="0"/>
                <w:bCs w:val="0"/>
                <w:szCs w:val="17"/>
                <w:u w:val="none"/>
                <w:lang w:eastAsia="de-DE"/>
              </w:rPr>
            </w:pPr>
          </w:p>
          <w:p w:rsidR="00612B35" w:rsidRDefault="00612B35" w:rsidP="008E3A85">
            <w:pPr>
              <w:spacing w:before="0" w:after="0"/>
              <w:rPr>
                <w:rStyle w:val="InstructionsTabelleberschrift"/>
                <w:b w:val="0"/>
                <w:bCs w:val="0"/>
                <w:szCs w:val="17"/>
                <w:u w:val="none"/>
                <w:lang w:eastAsia="de-DE"/>
              </w:rPr>
            </w:pPr>
            <w:r>
              <w:rPr>
                <w:rStyle w:val="InstructionsTabelleberschrift"/>
                <w:b w:val="0"/>
                <w:bCs w:val="0"/>
                <w:szCs w:val="17"/>
                <w:u w:val="none"/>
                <w:lang w:eastAsia="de-DE"/>
              </w:rPr>
              <w:t xml:space="preserve">Article 422 </w:t>
            </w:r>
            <w:r w:rsidR="00AA6BC0">
              <w:rPr>
                <w:rStyle w:val="InstructionsTabelleberschrift"/>
                <w:b w:val="0"/>
                <w:bCs w:val="0"/>
                <w:szCs w:val="17"/>
                <w:u w:val="none"/>
                <w:lang w:eastAsia="de-DE"/>
              </w:rPr>
              <w:t>REGULATION (EU) NO 575/2013</w:t>
            </w:r>
          </w:p>
          <w:p w:rsidR="00AC376C" w:rsidRPr="008E3A85" w:rsidRDefault="00AC376C" w:rsidP="008E3A85">
            <w:pPr>
              <w:spacing w:before="0" w:after="0"/>
              <w:rPr>
                <w:rStyle w:val="InstructionsTabelleberschrift"/>
                <w:b w:val="0"/>
                <w:u w:val="none"/>
              </w:rPr>
            </w:pPr>
            <w:r w:rsidRPr="008E3A85">
              <w:rPr>
                <w:rStyle w:val="InstructionsTabelleberschrift"/>
                <w:b w:val="0"/>
                <w:bCs w:val="0"/>
                <w:szCs w:val="17"/>
                <w:u w:val="none"/>
                <w:lang w:eastAsia="de-DE"/>
              </w:rPr>
              <w:br/>
            </w:r>
            <w:r w:rsidRPr="008E3A85">
              <w:rPr>
                <w:rStyle w:val="InstructionsTabelleberschrift"/>
                <w:b w:val="0"/>
                <w:bCs w:val="0"/>
                <w:szCs w:val="17"/>
                <w:u w:val="none"/>
                <w:lang w:eastAsia="de-DE"/>
              </w:rPr>
              <w:lastRenderedPageBreak/>
              <w:t xml:space="preserve">Total outflows on other liabilities due over the next 30 days </w:t>
            </w:r>
            <w:r w:rsidR="00234AF5">
              <w:rPr>
                <w:rStyle w:val="InstructionsTabelleberschrift"/>
                <w:b w:val="0"/>
                <w:bCs w:val="0"/>
                <w:szCs w:val="17"/>
                <w:u w:val="none"/>
                <w:lang w:eastAsia="de-DE"/>
              </w:rPr>
              <w:t>shall</w:t>
            </w:r>
            <w:r w:rsidRPr="008E3A85">
              <w:rPr>
                <w:rStyle w:val="InstructionsTabelleberschrift"/>
                <w:b w:val="0"/>
                <w:u w:val="none"/>
              </w:rPr>
              <w:t xml:space="preserve"> be reported in the following subcategories as follows:</w:t>
            </w:r>
          </w:p>
          <w:p w:rsidR="00AC376C" w:rsidRPr="008E3A85" w:rsidRDefault="00AC376C" w:rsidP="008E3A85">
            <w:pPr>
              <w:spacing w:before="0" w:after="0"/>
              <w:rPr>
                <w:rStyle w:val="InstructionsTabelleberschrift"/>
                <w:b w:val="0"/>
                <w:u w:val="none"/>
              </w:rPr>
            </w:pPr>
          </w:p>
          <w:p w:rsidR="00AC376C" w:rsidRPr="008E3A85" w:rsidRDefault="00591BCA" w:rsidP="008E3A85">
            <w:pPr>
              <w:pStyle w:val="TableText"/>
              <w:jc w:val="both"/>
              <w:rPr>
                <w:rFonts w:ascii="Verdana" w:hAnsi="Verdana"/>
              </w:rPr>
            </w:pPr>
            <w:r>
              <w:rPr>
                <w:rFonts w:cs="Arial"/>
                <w:lang w:eastAsia="en-GB"/>
              </w:rPr>
              <w:t>L</w:t>
            </w:r>
            <w:r w:rsidR="00AC376C" w:rsidRPr="008E3A85">
              <w:rPr>
                <w:rFonts w:ascii="Verdana" w:hAnsi="Verdana"/>
              </w:rPr>
              <w:t>iabilities reported in this section sh</w:t>
            </w:r>
            <w:r w:rsidR="00234AF5">
              <w:rPr>
                <w:rFonts w:ascii="Verdana" w:hAnsi="Verdana"/>
              </w:rPr>
              <w:t>all</w:t>
            </w:r>
            <w:r w:rsidR="00AC376C" w:rsidRPr="008E3A85">
              <w:rPr>
                <w:rFonts w:ascii="Verdana" w:hAnsi="Verdana"/>
              </w:rPr>
              <w:t xml:space="preserve"> only consist of general obligations </w:t>
            </w:r>
            <w:r w:rsidR="000815B6">
              <w:rPr>
                <w:rFonts w:ascii="Verdana" w:hAnsi="Verdana"/>
              </w:rPr>
              <w:t>other than retail deposits</w:t>
            </w:r>
            <w:r w:rsidR="00AC376C" w:rsidRPr="008E3A85">
              <w:rPr>
                <w:rFonts w:ascii="Verdana" w:hAnsi="Verdana"/>
              </w:rPr>
              <w:t xml:space="preserve"> defined in Article 4</w:t>
            </w:r>
            <w:r w:rsidR="00613645">
              <w:rPr>
                <w:rFonts w:ascii="Verdana" w:hAnsi="Verdana"/>
              </w:rPr>
              <w:t>11(2)</w:t>
            </w:r>
            <w:r w:rsidR="00AC376C" w:rsidRPr="008E3A85">
              <w:rPr>
                <w:rFonts w:ascii="Verdana" w:hAnsi="Verdana"/>
              </w:rPr>
              <w:t xml:space="preserve"> (which sh</w:t>
            </w:r>
            <w:r w:rsidR="00234AF5">
              <w:rPr>
                <w:rFonts w:ascii="Verdana" w:hAnsi="Verdana"/>
              </w:rPr>
              <w:t>all</w:t>
            </w:r>
            <w:r w:rsidR="00AC376C" w:rsidRPr="008E3A85">
              <w:rPr>
                <w:rFonts w:ascii="Verdana" w:hAnsi="Verdana"/>
              </w:rPr>
              <w:t xml:space="preserve"> instead be reported in item 1.1. above). </w:t>
            </w:r>
          </w:p>
          <w:p w:rsidR="00AC376C" w:rsidRPr="008E3A85" w:rsidRDefault="00AC376C" w:rsidP="008E3A85">
            <w:pPr>
              <w:pStyle w:val="TableText"/>
              <w:jc w:val="both"/>
              <w:rPr>
                <w:rFonts w:ascii="Verdana" w:hAnsi="Verdana"/>
              </w:rPr>
            </w:pPr>
            <w:r w:rsidRPr="008E3A85">
              <w:rPr>
                <w:rFonts w:ascii="Verdana" w:hAnsi="Verdana"/>
              </w:rPr>
              <w:t>Liabilities reported here sh</w:t>
            </w:r>
            <w:r w:rsidR="00234AF5">
              <w:rPr>
                <w:rFonts w:ascii="Verdana" w:hAnsi="Verdana"/>
              </w:rPr>
              <w:t>all</w:t>
            </w:r>
            <w:r w:rsidRPr="008E3A85">
              <w:rPr>
                <w:rFonts w:ascii="Verdana" w:hAnsi="Verdana"/>
              </w:rPr>
              <w:t xml:space="preserve"> fall </w:t>
            </w:r>
            <w:r w:rsidRPr="008E3A85">
              <w:rPr>
                <w:rStyle w:val="InstructionsTabelleberschrift"/>
                <w:b w:val="0"/>
                <w:bCs w:val="0"/>
                <w:szCs w:val="17"/>
                <w:u w:val="none"/>
                <w:lang w:eastAsia="de-DE"/>
              </w:rPr>
              <w:t xml:space="preserve">due over the next 30 days, </w:t>
            </w:r>
            <w:r w:rsidRPr="008E3A85">
              <w:rPr>
                <w:rFonts w:ascii="Verdana" w:hAnsi="Verdana"/>
              </w:rPr>
              <w:t xml:space="preserve">have an earliest possible contractual maturity date within </w:t>
            </w:r>
            <w:r w:rsidRPr="008E3A85">
              <w:rPr>
                <w:rStyle w:val="InstructionsTabelleberschrift"/>
                <w:b w:val="0"/>
                <w:bCs w:val="0"/>
                <w:szCs w:val="17"/>
                <w:u w:val="none"/>
                <w:lang w:eastAsia="de-DE"/>
              </w:rPr>
              <w:t xml:space="preserve">the next 30 days </w:t>
            </w:r>
            <w:r w:rsidRPr="008E3A85">
              <w:rPr>
                <w:rFonts w:ascii="Verdana" w:hAnsi="Verdana"/>
              </w:rPr>
              <w:t>or have an undefined maturity date. This includes both (</w:t>
            </w:r>
            <w:proofErr w:type="spellStart"/>
            <w:r w:rsidRPr="008E3A85">
              <w:rPr>
                <w:rFonts w:ascii="Verdana" w:hAnsi="Verdana"/>
              </w:rPr>
              <w:t>i</w:t>
            </w:r>
            <w:proofErr w:type="spellEnd"/>
            <w:r w:rsidRPr="008E3A85">
              <w:rPr>
                <w:rFonts w:ascii="Verdana" w:hAnsi="Verdana"/>
              </w:rPr>
              <w:t>) liabilities with options that are exercisable at the investor’s discretion and (ii) liabilities with options exercisable at the institution’s discretion where the institution’s ability not to exercise the option is limited for reputational reasons. In particular, where the market expects certain liabilities to be redeemed within the next 30 days, before their legal final maturity date, such liabilities sh</w:t>
            </w:r>
            <w:r w:rsidR="00234AF5">
              <w:rPr>
                <w:rFonts w:ascii="Verdana" w:hAnsi="Verdana"/>
              </w:rPr>
              <w:t>all</w:t>
            </w:r>
            <w:r w:rsidRPr="008E3A85">
              <w:rPr>
                <w:rFonts w:ascii="Verdana" w:hAnsi="Verdana"/>
              </w:rPr>
              <w:t xml:space="preserve"> be included in the appropriate subcategory.</w:t>
            </w:r>
          </w:p>
          <w:p w:rsidR="00AC376C" w:rsidRPr="008E3A85" w:rsidRDefault="00AC376C" w:rsidP="008E3A85">
            <w:pPr>
              <w:spacing w:before="0" w:after="0"/>
              <w:rPr>
                <w:rStyle w:val="InstructionsTabelleberschrift"/>
                <w:b w:val="0"/>
                <w:bCs w:val="0"/>
                <w:szCs w:val="17"/>
                <w:u w:val="none"/>
                <w:lang w:eastAsia="de-DE"/>
              </w:rPr>
            </w:pPr>
          </w:p>
          <w:p w:rsidR="00AC376C" w:rsidRPr="008E3A85" w:rsidRDefault="00AC376C" w:rsidP="008E3A85">
            <w:pPr>
              <w:spacing w:before="0" w:after="0"/>
              <w:rPr>
                <w:rStyle w:val="InstructionsTabelleberschrift"/>
                <w:b w:val="0"/>
                <w:bCs w:val="0"/>
                <w:szCs w:val="17"/>
                <w:u w:val="none"/>
                <w:lang w:eastAsia="de-DE"/>
              </w:rPr>
            </w:pPr>
          </w:p>
        </w:tc>
      </w:tr>
      <w:tr w:rsidR="00AC376C" w:rsidRPr="008E3A85" w:rsidTr="00BC43F3">
        <w:trPr>
          <w:gridAfter w:val="1"/>
          <w:wAfter w:w="34" w:type="dxa"/>
        </w:trPr>
        <w:tc>
          <w:tcPr>
            <w:tcW w:w="1369" w:type="dxa"/>
            <w:vAlign w:val="center"/>
          </w:tcPr>
          <w:p w:rsidR="00AC376C" w:rsidRPr="00D07900" w:rsidRDefault="00173D9C" w:rsidP="00173D9C">
            <w:pPr>
              <w:jc w:val="left"/>
              <w:rPr>
                <w:rFonts w:cs="Arial"/>
                <w:szCs w:val="20"/>
              </w:rPr>
            </w:pPr>
            <w:r>
              <w:rPr>
                <w:rFonts w:cs="Arial"/>
                <w:szCs w:val="20"/>
              </w:rPr>
              <w:lastRenderedPageBreak/>
              <w:t>110</w:t>
            </w:r>
          </w:p>
        </w:tc>
        <w:tc>
          <w:tcPr>
            <w:tcW w:w="7380" w:type="dxa"/>
            <w:gridSpan w:val="3"/>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1.2.1 liabilities resulting from the institution's own operating expenses</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613645">
              <w:rPr>
                <w:rFonts w:cs="Arial"/>
                <w:szCs w:val="20"/>
                <w:lang w:eastAsia="en-GB"/>
              </w:rPr>
              <w:t>2</w:t>
            </w:r>
            <w:r w:rsidR="004440A0">
              <w:rPr>
                <w:rFonts w:cs="Arial"/>
                <w:szCs w:val="20"/>
                <w:lang w:eastAsia="en-GB"/>
              </w:rPr>
              <w:t>2(1)</w:t>
            </w:r>
            <w:r w:rsidRPr="008E3A85">
              <w:rPr>
                <w:rFonts w:cs="Arial"/>
                <w:szCs w:val="20"/>
                <w:lang w:eastAsia="en-GB"/>
              </w:rPr>
              <w:t xml:space="preserve"> of </w:t>
            </w:r>
            <w:r w:rsidR="00AA6BC0">
              <w:rPr>
                <w:rFonts w:cs="Arial"/>
                <w:szCs w:val="20"/>
                <w:lang w:eastAsia="en-GB"/>
              </w:rPr>
              <w:t>REGULATION (EU) NO 575/2013</w:t>
            </w:r>
          </w:p>
          <w:p w:rsidR="00AC376C" w:rsidRDefault="00AC376C" w:rsidP="008E3A85">
            <w:pPr>
              <w:spacing w:before="0" w:after="0"/>
              <w:rPr>
                <w:rFonts w:cs="Arial"/>
                <w:szCs w:val="20"/>
                <w:lang w:eastAsia="en-GB"/>
              </w:rPr>
            </w:pPr>
          </w:p>
          <w:p w:rsidR="00AC376C" w:rsidRPr="008E3A85" w:rsidRDefault="00AC376C" w:rsidP="008E3A85">
            <w:pPr>
              <w:spacing w:before="0" w:after="0"/>
              <w:rPr>
                <w:rFonts w:cs="Arial"/>
                <w:szCs w:val="20"/>
                <w:lang w:eastAsia="en-GB"/>
              </w:rPr>
            </w:pPr>
            <w:r w:rsidRPr="008E3A85">
              <w:rPr>
                <w:rStyle w:val="InstructionsTabelleberschrift"/>
                <w:b w:val="0"/>
                <w:bCs w:val="0"/>
                <w:szCs w:val="17"/>
                <w:u w:val="none"/>
                <w:lang w:eastAsia="de-DE"/>
              </w:rPr>
              <w:t>Total amount of liabilities due over the next 30 days</w:t>
            </w:r>
            <w:r w:rsidRPr="008E3A85">
              <w:rPr>
                <w:rStyle w:val="InstructionsTabelleberschrift"/>
                <w:b w:val="0"/>
                <w:szCs w:val="17"/>
                <w:u w:val="none"/>
                <w:lang w:eastAsia="de-DE"/>
              </w:rPr>
              <w:t xml:space="preserve"> resulting from the institution's own operating expenses. Examples include office and utilities expenses, accounting expenses, salary and wages etc and any other costs incurred </w:t>
            </w:r>
            <w:r w:rsidR="00591BCA">
              <w:rPr>
                <w:rStyle w:val="InstructionsTabelleberschrift"/>
                <w:b w:val="0"/>
                <w:szCs w:val="17"/>
                <w:u w:val="none"/>
                <w:lang w:eastAsia="de-DE"/>
              </w:rPr>
              <w:t xml:space="preserve">by </w:t>
            </w:r>
            <w:r w:rsidRPr="008E3A85">
              <w:rPr>
                <w:rStyle w:val="InstructionsTabelleberschrift"/>
                <w:b w:val="0"/>
                <w:szCs w:val="17"/>
                <w:u w:val="none"/>
                <w:lang w:eastAsia="de-DE"/>
              </w:rPr>
              <w:t>the operation of the institution’s own activities.</w:t>
            </w:r>
          </w:p>
          <w:p w:rsidR="00AC376C" w:rsidRPr="008E3A85" w:rsidRDefault="00AC376C" w:rsidP="008E3A85">
            <w:pPr>
              <w:spacing w:before="0" w:after="0"/>
              <w:rPr>
                <w:rStyle w:val="InstructionsTabelleberschrift"/>
                <w:b w:val="0"/>
                <w:szCs w:val="17"/>
                <w:u w:val="none"/>
                <w:lang w:eastAsia="de-DE"/>
              </w:rPr>
            </w:pPr>
          </w:p>
        </w:tc>
      </w:tr>
      <w:tr w:rsidR="00AC376C" w:rsidRPr="008E3A85" w:rsidTr="00BC43F3">
        <w:trPr>
          <w:gridAfter w:val="1"/>
          <w:wAfter w:w="34" w:type="dxa"/>
        </w:trPr>
        <w:tc>
          <w:tcPr>
            <w:tcW w:w="1369" w:type="dxa"/>
            <w:shd w:val="clear" w:color="auto" w:fill="E6E6E6"/>
            <w:vAlign w:val="center"/>
          </w:tcPr>
          <w:p w:rsidR="00AC376C" w:rsidRPr="00D07900" w:rsidRDefault="00173D9C" w:rsidP="00173D9C">
            <w:pPr>
              <w:jc w:val="left"/>
              <w:rPr>
                <w:rFonts w:cs="Arial"/>
                <w:szCs w:val="20"/>
              </w:rPr>
            </w:pPr>
            <w:r>
              <w:rPr>
                <w:rFonts w:cs="Arial"/>
                <w:szCs w:val="20"/>
              </w:rPr>
              <w:t>120-950</w:t>
            </w:r>
          </w:p>
        </w:tc>
        <w:tc>
          <w:tcPr>
            <w:tcW w:w="7380" w:type="dxa"/>
            <w:gridSpan w:val="3"/>
            <w:shd w:val="clear" w:color="auto" w:fill="E6E6E6"/>
            <w:vAlign w:val="center"/>
          </w:tcPr>
          <w:p w:rsidR="00AC376C" w:rsidRPr="008E3A85" w:rsidRDefault="00AC376C" w:rsidP="008E3A85">
            <w:pPr>
              <w:spacing w:before="0" w:after="0"/>
              <w:rPr>
                <w:rStyle w:val="InstructionsTabelleberschrift"/>
                <w:szCs w:val="17"/>
                <w:lang w:eastAsia="de-DE"/>
              </w:rPr>
            </w:pPr>
            <w:r w:rsidRPr="008E3A85">
              <w:rPr>
                <w:rStyle w:val="InstructionsTabelleberschrift"/>
                <w:szCs w:val="17"/>
                <w:lang w:eastAsia="de-DE"/>
              </w:rPr>
              <w:t xml:space="preserve">1.2.2 liabilities resulting from secured lending and capital market driven transactions as defined in Article </w:t>
            </w:r>
            <w:r w:rsidR="005504CA" w:rsidRPr="008E3A85">
              <w:rPr>
                <w:rStyle w:val="InstructionsTabelleberschrift"/>
                <w:szCs w:val="17"/>
                <w:lang w:eastAsia="de-DE"/>
              </w:rPr>
              <w:t>1</w:t>
            </w:r>
            <w:r w:rsidR="005504CA">
              <w:rPr>
                <w:rStyle w:val="InstructionsTabelleberschrift"/>
                <w:szCs w:val="17"/>
                <w:lang w:eastAsia="de-DE"/>
              </w:rPr>
              <w:t>92</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Fonts w:cs="Arial"/>
                <w:szCs w:val="20"/>
                <w:lang w:eastAsia="en-GB"/>
              </w:rPr>
            </w:pPr>
            <w:r w:rsidRPr="008E3A85">
              <w:rPr>
                <w:rFonts w:cs="Arial"/>
                <w:szCs w:val="20"/>
                <w:lang w:eastAsia="en-GB"/>
              </w:rPr>
              <w:t>Article 4</w:t>
            </w:r>
            <w:r w:rsidR="004440A0">
              <w:rPr>
                <w:rFonts w:cs="Arial"/>
                <w:szCs w:val="20"/>
                <w:lang w:eastAsia="en-GB"/>
              </w:rPr>
              <w:t>22(2)</w:t>
            </w:r>
            <w:r w:rsidRPr="008E3A85">
              <w:rPr>
                <w:rFonts w:cs="Arial"/>
                <w:szCs w:val="20"/>
                <w:lang w:eastAsia="en-GB"/>
              </w:rPr>
              <w:t xml:space="preserve"> of </w:t>
            </w:r>
            <w:r w:rsidR="00AA6BC0">
              <w:rPr>
                <w:rFonts w:cs="Arial"/>
                <w:szCs w:val="20"/>
                <w:lang w:eastAsia="en-GB"/>
              </w:rPr>
              <w:t>REGULATION (EU) NO 575/2013</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Style w:val="InstructionsTabelleberschrift"/>
                <w:b w:val="0"/>
                <w:szCs w:val="17"/>
                <w:u w:val="none"/>
                <w:lang w:eastAsia="de-DE"/>
              </w:rPr>
            </w:pPr>
            <w:r w:rsidRPr="008E3A85">
              <w:rPr>
                <w:rStyle w:val="InstructionsTabelleberschrift"/>
                <w:b w:val="0"/>
                <w:szCs w:val="17"/>
                <w:u w:val="none"/>
                <w:lang w:eastAsia="de-DE"/>
              </w:rPr>
              <w:t>For the following subcategories, institutions sh</w:t>
            </w:r>
            <w:r w:rsidR="003639E2">
              <w:rPr>
                <w:rStyle w:val="InstructionsTabelleberschrift"/>
                <w:b w:val="0"/>
                <w:szCs w:val="17"/>
                <w:u w:val="none"/>
                <w:lang w:eastAsia="de-DE"/>
              </w:rPr>
              <w:t xml:space="preserve">all </w:t>
            </w:r>
            <w:r w:rsidRPr="008E3A85">
              <w:rPr>
                <w:rStyle w:val="InstructionsTabelleberschrift"/>
                <w:b w:val="0"/>
                <w:szCs w:val="17"/>
                <w:u w:val="none"/>
                <w:lang w:eastAsia="de-DE"/>
              </w:rPr>
              <w:t xml:space="preserve">identify the amount of outflows relating to secured lending and capital market driven transactions </w:t>
            </w:r>
            <w:r w:rsidRPr="008E3A85">
              <w:rPr>
                <w:rStyle w:val="InstructionsTabelleberschrift"/>
                <w:b w:val="0"/>
                <w:bCs w:val="0"/>
                <w:szCs w:val="17"/>
                <w:u w:val="none"/>
                <w:lang w:eastAsia="de-DE"/>
              </w:rPr>
              <w:t>over the next 30 days</w:t>
            </w:r>
            <w:r w:rsidR="003639E2">
              <w:rPr>
                <w:rStyle w:val="InstructionsTabelleberschrift"/>
                <w:b w:val="0"/>
                <w:bCs w:val="0"/>
                <w:szCs w:val="17"/>
                <w:u w:val="none"/>
                <w:lang w:eastAsia="de-DE"/>
              </w:rPr>
              <w:t xml:space="preserve">, </w:t>
            </w:r>
            <w:r w:rsidRPr="008E3A85">
              <w:rPr>
                <w:rStyle w:val="InstructionsTabelleberschrift"/>
                <w:b w:val="0"/>
                <w:szCs w:val="17"/>
                <w:u w:val="none"/>
                <w:lang w:eastAsia="de-DE"/>
              </w:rPr>
              <w:t>the market value of the corresponding assets which collateralise the transactions</w:t>
            </w:r>
            <w:r w:rsidR="003639E2">
              <w:rPr>
                <w:rStyle w:val="InstructionsTabelleberschrift"/>
                <w:b w:val="0"/>
                <w:szCs w:val="17"/>
                <w:u w:val="none"/>
                <w:lang w:eastAsia="de-DE"/>
              </w:rPr>
              <w:t xml:space="preserve"> and the value of these assets according to Article 418 </w:t>
            </w:r>
            <w:r w:rsidR="00AA6BC0">
              <w:rPr>
                <w:rStyle w:val="InstructionsTabelleberschrift"/>
                <w:b w:val="0"/>
                <w:szCs w:val="17"/>
                <w:u w:val="none"/>
                <w:lang w:eastAsia="de-DE"/>
              </w:rPr>
              <w:t>REGULATION (EU) NO 575/2013</w:t>
            </w:r>
            <w:r w:rsidRPr="008E3A85">
              <w:rPr>
                <w:rStyle w:val="InstructionsTabelleberschrift"/>
                <w:b w:val="0"/>
                <w:szCs w:val="17"/>
                <w:u w:val="none"/>
                <w:lang w:eastAsia="de-DE"/>
              </w:rPr>
              <w:t>.</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In accordance with Article 1</w:t>
            </w:r>
            <w:r w:rsidR="004440A0">
              <w:rPr>
                <w:rStyle w:val="InstructionsTabelleberschrift"/>
                <w:b w:val="0"/>
                <w:szCs w:val="17"/>
                <w:u w:val="none"/>
                <w:lang w:eastAsia="de-DE"/>
              </w:rPr>
              <w:t>92</w:t>
            </w:r>
            <w:r w:rsidRPr="008E3A85">
              <w:rPr>
                <w:rStyle w:val="InstructionsTabelleberschrift"/>
                <w:b w:val="0"/>
                <w:szCs w:val="17"/>
                <w:u w:val="none"/>
                <w:lang w:eastAsia="de-DE"/>
              </w:rPr>
              <w:t>:</w:t>
            </w:r>
          </w:p>
          <w:p w:rsidR="00AC376C" w:rsidRPr="008E3A85" w:rsidRDefault="00AC376C" w:rsidP="008E3A85">
            <w:pPr>
              <w:autoSpaceDE w:val="0"/>
              <w:autoSpaceDN w:val="0"/>
              <w:adjustRightInd w:val="0"/>
              <w:spacing w:before="0" w:after="0"/>
              <w:rPr>
                <w:rStyle w:val="InstructionsTabelleberschrift"/>
                <w:b w:val="0"/>
                <w:szCs w:val="17"/>
                <w:u w:val="none"/>
                <w:lang w:eastAsia="de-DE"/>
              </w:rPr>
            </w:pPr>
          </w:p>
          <w:p w:rsidR="00AC376C" w:rsidRPr="008E3A85" w:rsidRDefault="00AC376C" w:rsidP="008E3A85">
            <w:pPr>
              <w:numPr>
                <w:ilvl w:val="0"/>
                <w:numId w:val="16"/>
              </w:num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‘secured lending transaction’ means any transaction giving rise to an exposure secured by collateral which does not include a provision conferring upon the institution the right to receive margin at least daily;</w:t>
            </w:r>
          </w:p>
          <w:p w:rsidR="00AC376C" w:rsidRPr="008E3A85" w:rsidRDefault="00AC376C" w:rsidP="008E3A85">
            <w:pPr>
              <w:numPr>
                <w:ilvl w:val="0"/>
                <w:numId w:val="16"/>
              </w:numPr>
              <w:autoSpaceDE w:val="0"/>
              <w:autoSpaceDN w:val="0"/>
              <w:adjustRightInd w:val="0"/>
              <w:spacing w:before="0" w:after="0"/>
              <w:rPr>
                <w:rStyle w:val="InstructionsTabelleberschrift"/>
                <w:rFonts w:cs="Arial"/>
                <w:b w:val="0"/>
                <w:bCs w:val="0"/>
                <w:u w:val="none"/>
              </w:rPr>
            </w:pPr>
            <w:r w:rsidRPr="008E3A85">
              <w:rPr>
                <w:rStyle w:val="InstructionsTabelleberschrift"/>
                <w:b w:val="0"/>
                <w:szCs w:val="17"/>
                <w:u w:val="none"/>
                <w:lang w:eastAsia="de-DE"/>
              </w:rPr>
              <w:t>‘capital market-driven transaction’ means any transaction giving rise to an exposure secured by collateral which includes a provision conferring upon the institution the right to receive margin at least daily.</w:t>
            </w:r>
          </w:p>
          <w:p w:rsidR="00AC376C" w:rsidRPr="008E3A85" w:rsidRDefault="00AC376C" w:rsidP="008E3A85">
            <w:pPr>
              <w:autoSpaceDE w:val="0"/>
              <w:autoSpaceDN w:val="0"/>
              <w:adjustRightInd w:val="0"/>
              <w:spacing w:before="0" w:after="0"/>
              <w:rPr>
                <w:rStyle w:val="InstructionsTabelleberschrift"/>
                <w:szCs w:val="17"/>
                <w:lang w:eastAsia="de-DE"/>
              </w:rPr>
            </w:pPr>
          </w:p>
          <w:p w:rsidR="00AC376C" w:rsidRPr="008E3A85" w:rsidRDefault="00AC376C" w:rsidP="008E3A85">
            <w:pPr>
              <w:autoSpaceDE w:val="0"/>
              <w:autoSpaceDN w:val="0"/>
              <w:adjustRightInd w:val="0"/>
              <w:spacing w:before="0" w:after="0"/>
            </w:pPr>
            <w:r w:rsidRPr="008E3A85">
              <w:t>Therefore, any transaction in which the institution has received a collateralised loan in cash, such as repurchase trans</w:t>
            </w:r>
            <w:r w:rsidR="003639E2">
              <w:t>actions as defined in Article 4 (</w:t>
            </w:r>
            <w:r w:rsidR="00E756EB" w:rsidRPr="008E3A85">
              <w:t>5</w:t>
            </w:r>
            <w:r w:rsidR="00E756EB">
              <w:t>9</w:t>
            </w:r>
            <w:r w:rsidR="003639E2">
              <w:t>)</w:t>
            </w:r>
            <w:r w:rsidRPr="008E3A85">
              <w:t xml:space="preserve"> of </w:t>
            </w:r>
            <w:r w:rsidR="00AA6BC0">
              <w:t>REGULATION (EU) NO 575/2013</w:t>
            </w:r>
            <w:r w:rsidRPr="008E3A85">
              <w:t>, expiring within 30 days sh</w:t>
            </w:r>
            <w:r w:rsidR="003639E2">
              <w:t xml:space="preserve">all </w:t>
            </w:r>
            <w:r w:rsidRPr="008E3A85">
              <w:t xml:space="preserve">be reported in this section. </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Style w:val="InstructionsTabelleberschrift"/>
                <w:b w:val="0"/>
                <w:szCs w:val="17"/>
                <w:u w:val="none"/>
                <w:lang w:eastAsia="de-DE"/>
              </w:rPr>
            </w:pPr>
            <w:r w:rsidRPr="008E3A85">
              <w:rPr>
                <w:rStyle w:val="InstructionsTabelleberschrift"/>
                <w:b w:val="0"/>
                <w:szCs w:val="17"/>
                <w:u w:val="none"/>
                <w:lang w:eastAsia="de-DE"/>
              </w:rPr>
              <w:lastRenderedPageBreak/>
              <w:t>Institutions sh</w:t>
            </w:r>
            <w:r w:rsidR="003639E2">
              <w:rPr>
                <w:rStyle w:val="InstructionsTabelleberschrift"/>
                <w:b w:val="0"/>
                <w:szCs w:val="17"/>
                <w:u w:val="none"/>
                <w:lang w:eastAsia="de-DE"/>
              </w:rPr>
              <w:t xml:space="preserve">all </w:t>
            </w:r>
            <w:r w:rsidRPr="008E3A85">
              <w:rPr>
                <w:rStyle w:val="InstructionsTabelleberschrift"/>
                <w:b w:val="0"/>
                <w:szCs w:val="17"/>
                <w:u w:val="none"/>
                <w:lang w:eastAsia="de-DE"/>
              </w:rPr>
              <w:t xml:space="preserve">report </w:t>
            </w:r>
            <w:r w:rsidR="002B256A">
              <w:rPr>
                <w:rStyle w:val="InstructionsTabelleberschrift"/>
                <w:b w:val="0"/>
                <w:szCs w:val="17"/>
                <w:u w:val="none"/>
                <w:lang w:eastAsia="de-DE"/>
              </w:rPr>
              <w:t xml:space="preserve">the market value of the assets securing the </w:t>
            </w:r>
            <w:r w:rsidRPr="008E3A85">
              <w:rPr>
                <w:rStyle w:val="InstructionsTabelleberschrift"/>
                <w:b w:val="0"/>
                <w:szCs w:val="17"/>
                <w:u w:val="none"/>
                <w:lang w:eastAsia="de-DE"/>
              </w:rPr>
              <w:t xml:space="preserve">secured lending and capital market driven transactions in </w:t>
            </w:r>
            <w:r w:rsidR="002B256A">
              <w:rPr>
                <w:rStyle w:val="InstructionsTabelleberschrift"/>
                <w:b w:val="0"/>
                <w:szCs w:val="17"/>
                <w:u w:val="none"/>
                <w:lang w:eastAsia="de-DE"/>
              </w:rPr>
              <w:t xml:space="preserve">column </w:t>
            </w:r>
            <w:r w:rsidR="00091BF2">
              <w:rPr>
                <w:rStyle w:val="InstructionsTabelleberschrift"/>
                <w:b w:val="0"/>
                <w:szCs w:val="17"/>
                <w:u w:val="none"/>
                <w:lang w:eastAsia="de-DE"/>
              </w:rPr>
              <w:t>010</w:t>
            </w:r>
            <w:r w:rsidR="002B256A">
              <w:rPr>
                <w:rStyle w:val="InstructionsTabelleberschrift"/>
                <w:b w:val="0"/>
                <w:szCs w:val="17"/>
                <w:u w:val="none"/>
                <w:lang w:eastAsia="de-DE"/>
              </w:rPr>
              <w:t xml:space="preserve">. Institutions shall report these transactions in </w:t>
            </w:r>
            <w:r w:rsidRPr="008E3A85">
              <w:rPr>
                <w:rStyle w:val="InstructionsTabelleberschrift"/>
                <w:b w:val="0"/>
                <w:szCs w:val="17"/>
                <w:u w:val="none"/>
                <w:lang w:eastAsia="de-DE"/>
              </w:rPr>
              <w:t>one of s</w:t>
            </w:r>
            <w:r w:rsidR="003639E2">
              <w:rPr>
                <w:rStyle w:val="InstructionsTabelleberschrift"/>
                <w:b w:val="0"/>
                <w:szCs w:val="17"/>
                <w:u w:val="none"/>
                <w:lang w:eastAsia="de-DE"/>
              </w:rPr>
              <w:t xml:space="preserve">even </w:t>
            </w:r>
            <w:r w:rsidRPr="008E3A85">
              <w:rPr>
                <w:rStyle w:val="InstructionsTabelleberschrift"/>
                <w:b w:val="0"/>
                <w:szCs w:val="17"/>
                <w:u w:val="none"/>
                <w:lang w:eastAsia="de-DE"/>
              </w:rPr>
              <w:t>categories:</w:t>
            </w:r>
          </w:p>
          <w:p w:rsidR="00AC376C" w:rsidRPr="008E3A85" w:rsidRDefault="00AC376C" w:rsidP="008E3A85">
            <w:pPr>
              <w:spacing w:before="0" w:after="0"/>
              <w:rPr>
                <w:rStyle w:val="InstructionsTabelleberschrift"/>
                <w:b w:val="0"/>
                <w:szCs w:val="17"/>
                <w:u w:val="none"/>
                <w:lang w:eastAsia="de-DE"/>
              </w:rPr>
            </w:pPr>
          </w:p>
          <w:p w:rsidR="00AC376C" w:rsidRPr="003639E2" w:rsidRDefault="00AC376C" w:rsidP="008E3A85">
            <w:pPr>
              <w:spacing w:before="0" w:after="0"/>
              <w:rPr>
                <w:rStyle w:val="InstructionsTabelleberschrift"/>
                <w:b w:val="0"/>
                <w:szCs w:val="17"/>
                <w:u w:val="none"/>
                <w:lang w:eastAsia="de-DE"/>
              </w:rPr>
            </w:pPr>
            <w:r w:rsidRPr="003639E2">
              <w:rPr>
                <w:rStyle w:val="InstructionsTabelleberschrift"/>
                <w:b w:val="0"/>
                <w:i/>
                <w:szCs w:val="17"/>
                <w:u w:val="none"/>
                <w:lang w:eastAsia="de-DE"/>
              </w:rPr>
              <w:t>Category one:</w:t>
            </w:r>
            <w:r w:rsidRPr="003639E2">
              <w:rPr>
                <w:rStyle w:val="InstructionsTabelleberschrift"/>
                <w:b w:val="0"/>
                <w:szCs w:val="17"/>
                <w:u w:val="none"/>
                <w:lang w:eastAsia="de-DE"/>
              </w:rPr>
              <w:t xml:space="preserve"> where the counterparty is not a central bank and the assets securing the transaction are of extremely high liquidity and credit quality</w:t>
            </w:r>
            <w:r w:rsidR="00423351">
              <w:rPr>
                <w:rStyle w:val="InstructionsTabelleberschrift"/>
                <w:b w:val="0"/>
                <w:szCs w:val="17"/>
                <w:u w:val="none"/>
                <w:lang w:eastAsia="de-DE"/>
              </w:rPr>
              <w:t xml:space="preserve">, </w:t>
            </w:r>
            <w:r w:rsidR="002B256A">
              <w:rPr>
                <w:rStyle w:val="InstructionsTabelleberschrift"/>
                <w:b w:val="0"/>
                <w:szCs w:val="17"/>
                <w:u w:val="none"/>
                <w:lang w:eastAsia="de-DE"/>
              </w:rPr>
              <w:t>the amount due shall</w:t>
            </w:r>
            <w:r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020</w:t>
            </w:r>
            <w:r w:rsidRPr="003639E2">
              <w:rPr>
                <w:rStyle w:val="InstructionsTabelleberschrift"/>
                <w:b w:val="0"/>
                <w:szCs w:val="17"/>
                <w:u w:val="none"/>
                <w:lang w:eastAsia="de-DE"/>
              </w:rPr>
              <w:t xml:space="preserve"> and the </w:t>
            </w:r>
            <w:r w:rsidR="002B256A">
              <w:rPr>
                <w:rStyle w:val="InstructionsTabelleberschrift"/>
                <w:b w:val="0"/>
                <w:szCs w:val="17"/>
                <w:u w:val="none"/>
                <w:lang w:eastAsia="de-DE"/>
              </w:rPr>
              <w:t xml:space="preserve">value according to Article 418 </w:t>
            </w:r>
            <w:r w:rsidR="00AA6BC0">
              <w:rPr>
                <w:rStyle w:val="InstructionsTabelleberschrift"/>
                <w:b w:val="0"/>
                <w:szCs w:val="17"/>
                <w:u w:val="none"/>
                <w:lang w:eastAsia="de-DE"/>
              </w:rPr>
              <w:t>REGULATION (EU) NO 575/2013</w:t>
            </w:r>
            <w:r w:rsidR="002B256A">
              <w:rPr>
                <w:rStyle w:val="InstructionsTabelleberschrift"/>
                <w:b w:val="0"/>
                <w:szCs w:val="17"/>
                <w:u w:val="none"/>
                <w:lang w:eastAsia="de-DE"/>
              </w:rPr>
              <w:t xml:space="preserve"> of </w:t>
            </w:r>
            <w:r w:rsidRPr="003639E2">
              <w:rPr>
                <w:rStyle w:val="InstructionsTabelleberschrift"/>
                <w:b w:val="0"/>
                <w:szCs w:val="17"/>
                <w:u w:val="none"/>
                <w:lang w:eastAsia="de-DE"/>
              </w:rPr>
              <w:t xml:space="preserve">the asset securing the transaction </w:t>
            </w:r>
            <w:r w:rsidR="00795DAB">
              <w:rPr>
                <w:rStyle w:val="InstructionsTabelleberschrift"/>
                <w:b w:val="0"/>
                <w:szCs w:val="17"/>
                <w:u w:val="none"/>
                <w:lang w:eastAsia="de-DE"/>
              </w:rPr>
              <w:t>shall</w:t>
            </w:r>
            <w:r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030</w:t>
            </w:r>
            <w:r w:rsidRPr="003639E2">
              <w:rPr>
                <w:rStyle w:val="InstructionsTabelleberschrift"/>
                <w:b w:val="0"/>
                <w:szCs w:val="17"/>
                <w:u w:val="none"/>
                <w:lang w:eastAsia="de-DE"/>
              </w:rPr>
              <w:t>.</w:t>
            </w:r>
          </w:p>
          <w:p w:rsidR="00AC376C" w:rsidRPr="003639E2" w:rsidRDefault="00AC376C" w:rsidP="008E3A85">
            <w:pPr>
              <w:spacing w:before="0" w:after="0"/>
              <w:rPr>
                <w:rStyle w:val="InstructionsTabelleberschrift"/>
                <w:b w:val="0"/>
                <w:szCs w:val="17"/>
                <w:u w:val="none"/>
                <w:lang w:eastAsia="de-DE"/>
              </w:rPr>
            </w:pPr>
          </w:p>
          <w:p w:rsidR="00AC376C" w:rsidRPr="003639E2" w:rsidRDefault="00AC376C" w:rsidP="008E3A85">
            <w:pPr>
              <w:spacing w:before="0" w:after="0"/>
              <w:rPr>
                <w:rStyle w:val="InstructionsTabelleberschrift"/>
                <w:b w:val="0"/>
                <w:szCs w:val="17"/>
                <w:u w:val="none"/>
                <w:lang w:eastAsia="de-DE"/>
              </w:rPr>
            </w:pPr>
            <w:r w:rsidRPr="003639E2">
              <w:rPr>
                <w:rStyle w:val="InstructionsTabelleberschrift"/>
                <w:b w:val="0"/>
                <w:i/>
                <w:szCs w:val="17"/>
                <w:u w:val="none"/>
                <w:lang w:eastAsia="de-DE"/>
              </w:rPr>
              <w:t>Category two</w:t>
            </w:r>
            <w:r w:rsidRPr="003639E2">
              <w:rPr>
                <w:rStyle w:val="InstructionsTabelleberschrift"/>
                <w:b w:val="0"/>
                <w:szCs w:val="17"/>
                <w:u w:val="none"/>
                <w:lang w:eastAsia="de-DE"/>
              </w:rPr>
              <w:t>: where the counterparty is not a central bank and the assets securing the transaction are of high liquidity and credit quality</w:t>
            </w:r>
            <w:r w:rsidR="00423351">
              <w:rPr>
                <w:rStyle w:val="InstructionsTabelleberschrift"/>
                <w:b w:val="0"/>
                <w:szCs w:val="17"/>
                <w:u w:val="none"/>
                <w:lang w:eastAsia="de-DE"/>
              </w:rPr>
              <w:t xml:space="preserve">, </w:t>
            </w:r>
            <w:r w:rsidRPr="003639E2">
              <w:rPr>
                <w:rStyle w:val="InstructionsTabelleberschrift"/>
                <w:b w:val="0"/>
                <w:szCs w:val="17"/>
                <w:u w:val="none"/>
                <w:lang w:eastAsia="de-DE"/>
              </w:rPr>
              <w:t xml:space="preserve">the amount due </w:t>
            </w:r>
            <w:r w:rsidR="00C623DE">
              <w:rPr>
                <w:rStyle w:val="InstructionsTabelleberschrift"/>
                <w:b w:val="0"/>
                <w:szCs w:val="17"/>
                <w:u w:val="none"/>
                <w:lang w:eastAsia="de-DE"/>
              </w:rPr>
              <w:t>shall</w:t>
            </w:r>
            <w:r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040</w:t>
            </w:r>
            <w:r w:rsidRPr="003639E2">
              <w:rPr>
                <w:rStyle w:val="InstructionsTabelleberschrift"/>
                <w:b w:val="0"/>
                <w:szCs w:val="17"/>
                <w:u w:val="none"/>
                <w:lang w:eastAsia="de-DE"/>
              </w:rPr>
              <w:t xml:space="preserve"> and </w:t>
            </w:r>
            <w:r w:rsidR="002B256A" w:rsidRPr="003639E2">
              <w:rPr>
                <w:rStyle w:val="InstructionsTabelleberschrift"/>
                <w:b w:val="0"/>
                <w:szCs w:val="17"/>
                <w:u w:val="none"/>
                <w:lang w:eastAsia="de-DE"/>
              </w:rPr>
              <w:t xml:space="preserve">the </w:t>
            </w:r>
            <w:r w:rsidR="002B256A">
              <w:rPr>
                <w:rStyle w:val="InstructionsTabelleberschrift"/>
                <w:b w:val="0"/>
                <w:szCs w:val="17"/>
                <w:u w:val="none"/>
                <w:lang w:eastAsia="de-DE"/>
              </w:rPr>
              <w:t xml:space="preserve">value according to Article 418 </w:t>
            </w:r>
            <w:r w:rsidR="00AA6BC0">
              <w:rPr>
                <w:rStyle w:val="InstructionsTabelleberschrift"/>
                <w:b w:val="0"/>
                <w:szCs w:val="17"/>
                <w:u w:val="none"/>
                <w:lang w:eastAsia="de-DE"/>
              </w:rPr>
              <w:t>REGULATION (EU) NO 575/2013</w:t>
            </w:r>
            <w:r w:rsidR="002B256A">
              <w:rPr>
                <w:rStyle w:val="InstructionsTabelleberschrift"/>
                <w:b w:val="0"/>
                <w:szCs w:val="17"/>
                <w:u w:val="none"/>
                <w:lang w:eastAsia="de-DE"/>
              </w:rPr>
              <w:t xml:space="preserve"> of </w:t>
            </w:r>
            <w:r w:rsidR="002B256A" w:rsidRPr="003639E2">
              <w:rPr>
                <w:rStyle w:val="InstructionsTabelleberschrift"/>
                <w:b w:val="0"/>
                <w:szCs w:val="17"/>
                <w:u w:val="none"/>
                <w:lang w:eastAsia="de-DE"/>
              </w:rPr>
              <w:t xml:space="preserve">the asset securing the transaction </w:t>
            </w:r>
            <w:r w:rsidR="00795DAB">
              <w:rPr>
                <w:rStyle w:val="InstructionsTabelleberschrift"/>
                <w:b w:val="0"/>
                <w:szCs w:val="17"/>
                <w:u w:val="none"/>
                <w:lang w:eastAsia="de-DE"/>
              </w:rPr>
              <w:t>shall</w:t>
            </w:r>
            <w:r w:rsidR="002B256A"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050</w:t>
            </w:r>
            <w:r w:rsidRPr="003639E2">
              <w:rPr>
                <w:rStyle w:val="InstructionsTabelleberschrift"/>
                <w:b w:val="0"/>
                <w:szCs w:val="17"/>
                <w:u w:val="none"/>
                <w:lang w:eastAsia="de-DE"/>
              </w:rPr>
              <w:t>.</w:t>
            </w:r>
          </w:p>
          <w:p w:rsidR="00AC376C" w:rsidRPr="003639E2" w:rsidRDefault="00AC376C" w:rsidP="008E3A85">
            <w:pPr>
              <w:spacing w:before="0" w:after="0"/>
              <w:rPr>
                <w:rStyle w:val="InstructionsTabelleberschrift"/>
                <w:b w:val="0"/>
                <w:szCs w:val="17"/>
                <w:u w:val="none"/>
                <w:lang w:eastAsia="de-DE"/>
              </w:rPr>
            </w:pPr>
          </w:p>
          <w:p w:rsidR="00AC376C" w:rsidRPr="003639E2" w:rsidRDefault="00AC376C" w:rsidP="008E3A85">
            <w:pPr>
              <w:spacing w:before="0" w:after="0"/>
              <w:rPr>
                <w:rStyle w:val="InstructionsTabelleberschrift"/>
                <w:b w:val="0"/>
                <w:szCs w:val="17"/>
                <w:u w:val="none"/>
                <w:lang w:eastAsia="de-DE"/>
              </w:rPr>
            </w:pPr>
            <w:r w:rsidRPr="003639E2">
              <w:rPr>
                <w:rStyle w:val="InstructionsTabelleberschrift"/>
                <w:b w:val="0"/>
                <w:i/>
                <w:szCs w:val="17"/>
                <w:u w:val="none"/>
                <w:lang w:eastAsia="de-DE"/>
              </w:rPr>
              <w:t>Category three</w:t>
            </w:r>
            <w:r w:rsidRPr="003639E2">
              <w:rPr>
                <w:rStyle w:val="InstructionsTabelleberschrift"/>
                <w:b w:val="0"/>
                <w:szCs w:val="17"/>
                <w:u w:val="none"/>
                <w:lang w:eastAsia="de-DE"/>
              </w:rPr>
              <w:t>: where the counterparty is not a central bank and the assets securing the transaction are of other liquidity and credit quality</w:t>
            </w:r>
            <w:r w:rsidR="00423351">
              <w:rPr>
                <w:rStyle w:val="InstructionsTabelleberschrift"/>
                <w:b w:val="0"/>
                <w:szCs w:val="17"/>
                <w:u w:val="none"/>
                <w:lang w:eastAsia="de-DE"/>
              </w:rPr>
              <w:t xml:space="preserve">, </w:t>
            </w:r>
            <w:r w:rsidRPr="003639E2">
              <w:rPr>
                <w:rStyle w:val="InstructionsTabelleberschrift"/>
                <w:b w:val="0"/>
                <w:szCs w:val="17"/>
                <w:u w:val="none"/>
                <w:lang w:eastAsia="de-DE"/>
              </w:rPr>
              <w:t>the amount du</w:t>
            </w:r>
            <w:r w:rsidR="00C623DE">
              <w:rPr>
                <w:rStyle w:val="InstructionsTabelleberschrift"/>
                <w:b w:val="0"/>
                <w:szCs w:val="17"/>
                <w:u w:val="none"/>
                <w:lang w:eastAsia="de-DE"/>
              </w:rPr>
              <w:t xml:space="preserve">e </w:t>
            </w:r>
            <w:r w:rsidR="00795DAB">
              <w:rPr>
                <w:rStyle w:val="InstructionsTabelleberschrift"/>
                <w:b w:val="0"/>
                <w:szCs w:val="17"/>
                <w:u w:val="none"/>
                <w:lang w:eastAsia="de-DE"/>
              </w:rPr>
              <w:t>shall</w:t>
            </w:r>
            <w:r w:rsidR="00C623DE">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060</w:t>
            </w:r>
            <w:r w:rsidR="00C623DE">
              <w:rPr>
                <w:rStyle w:val="InstructionsTabelleberschrift"/>
                <w:b w:val="0"/>
                <w:szCs w:val="17"/>
                <w:u w:val="none"/>
                <w:lang w:eastAsia="de-DE"/>
              </w:rPr>
              <w:t>.</w:t>
            </w:r>
          </w:p>
          <w:p w:rsidR="00AC376C" w:rsidRPr="003639E2" w:rsidRDefault="00AC376C" w:rsidP="008E3A85">
            <w:pPr>
              <w:spacing w:before="0" w:after="0"/>
              <w:rPr>
                <w:rStyle w:val="InstructionsTabelleberschrift"/>
                <w:b w:val="0"/>
                <w:szCs w:val="17"/>
                <w:u w:val="none"/>
                <w:lang w:eastAsia="de-DE"/>
              </w:rPr>
            </w:pPr>
          </w:p>
          <w:p w:rsidR="00AC376C" w:rsidRPr="003639E2" w:rsidRDefault="00AC376C" w:rsidP="008E3A85">
            <w:pPr>
              <w:spacing w:before="0" w:after="0"/>
              <w:rPr>
                <w:rStyle w:val="InstructionsTabelleberschrift"/>
                <w:b w:val="0"/>
                <w:szCs w:val="17"/>
                <w:u w:val="none"/>
                <w:lang w:eastAsia="de-DE"/>
              </w:rPr>
            </w:pPr>
            <w:r w:rsidRPr="003639E2">
              <w:rPr>
                <w:rStyle w:val="InstructionsTabelleberschrift"/>
                <w:b w:val="0"/>
                <w:i/>
                <w:szCs w:val="17"/>
                <w:u w:val="none"/>
                <w:lang w:eastAsia="de-DE"/>
              </w:rPr>
              <w:t>Category four</w:t>
            </w:r>
            <w:r w:rsidRPr="003639E2">
              <w:rPr>
                <w:rStyle w:val="InstructionsTabelleberschrift"/>
                <w:b w:val="0"/>
                <w:szCs w:val="17"/>
                <w:u w:val="none"/>
                <w:lang w:eastAsia="de-DE"/>
              </w:rPr>
              <w:t>: where the counterparty is a central bank and the assets securing the transaction are of extremely high liquidity and credit quality</w:t>
            </w:r>
            <w:r w:rsidR="00423351">
              <w:rPr>
                <w:rStyle w:val="InstructionsTabelleberschrift"/>
                <w:b w:val="0"/>
                <w:szCs w:val="17"/>
                <w:u w:val="none"/>
                <w:lang w:eastAsia="de-DE"/>
              </w:rPr>
              <w:t xml:space="preserve">, </w:t>
            </w:r>
            <w:r w:rsidRPr="003639E2">
              <w:rPr>
                <w:rStyle w:val="InstructionsTabelleberschrift"/>
                <w:b w:val="0"/>
                <w:szCs w:val="17"/>
                <w:u w:val="none"/>
                <w:lang w:eastAsia="de-DE"/>
              </w:rPr>
              <w:t xml:space="preserve">the amount due </w:t>
            </w:r>
            <w:r w:rsidR="00795DAB">
              <w:rPr>
                <w:rStyle w:val="InstructionsTabelleberschrift"/>
                <w:b w:val="0"/>
                <w:szCs w:val="17"/>
                <w:u w:val="none"/>
                <w:lang w:eastAsia="de-DE"/>
              </w:rPr>
              <w:t>shall</w:t>
            </w:r>
            <w:r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070</w:t>
            </w:r>
            <w:r w:rsidRPr="003639E2">
              <w:rPr>
                <w:rStyle w:val="InstructionsTabelleberschrift"/>
                <w:b w:val="0"/>
                <w:szCs w:val="17"/>
                <w:u w:val="none"/>
                <w:lang w:eastAsia="de-DE"/>
              </w:rPr>
              <w:t xml:space="preserve"> </w:t>
            </w:r>
            <w:r w:rsidR="00795DAB" w:rsidRPr="003639E2">
              <w:rPr>
                <w:rStyle w:val="InstructionsTabelleberschrift"/>
                <w:b w:val="0"/>
                <w:szCs w:val="17"/>
                <w:u w:val="none"/>
                <w:lang w:eastAsia="de-DE"/>
              </w:rPr>
              <w:t xml:space="preserve">the </w:t>
            </w:r>
            <w:r w:rsidR="00795DAB">
              <w:rPr>
                <w:rStyle w:val="InstructionsTabelleberschrift"/>
                <w:b w:val="0"/>
                <w:szCs w:val="17"/>
                <w:u w:val="none"/>
                <w:lang w:eastAsia="de-DE"/>
              </w:rPr>
              <w:t xml:space="preserve">value according to Article 418 </w:t>
            </w:r>
            <w:r w:rsidR="00AA6BC0">
              <w:rPr>
                <w:rStyle w:val="InstructionsTabelleberschrift"/>
                <w:b w:val="0"/>
                <w:szCs w:val="17"/>
                <w:u w:val="none"/>
                <w:lang w:eastAsia="de-DE"/>
              </w:rPr>
              <w:t>REGULATION (EU) NO 575/2013</w:t>
            </w:r>
            <w:r w:rsidR="00795DAB">
              <w:rPr>
                <w:rStyle w:val="InstructionsTabelleberschrift"/>
                <w:b w:val="0"/>
                <w:szCs w:val="17"/>
                <w:u w:val="none"/>
                <w:lang w:eastAsia="de-DE"/>
              </w:rPr>
              <w:t xml:space="preserve"> of </w:t>
            </w:r>
            <w:r w:rsidR="00795DAB" w:rsidRPr="003639E2">
              <w:rPr>
                <w:rStyle w:val="InstructionsTabelleberschrift"/>
                <w:b w:val="0"/>
                <w:szCs w:val="17"/>
                <w:u w:val="none"/>
                <w:lang w:eastAsia="de-DE"/>
              </w:rPr>
              <w:t xml:space="preserve">the asset securing the transaction </w:t>
            </w:r>
            <w:r w:rsidR="00795DAB">
              <w:rPr>
                <w:rStyle w:val="InstructionsTabelleberschrift"/>
                <w:b w:val="0"/>
                <w:szCs w:val="17"/>
                <w:u w:val="none"/>
                <w:lang w:eastAsia="de-DE"/>
              </w:rPr>
              <w:t>shall</w:t>
            </w:r>
            <w:r w:rsidR="00795DAB"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080</w:t>
            </w:r>
            <w:r w:rsidRPr="003639E2">
              <w:rPr>
                <w:rStyle w:val="InstructionsTabelleberschrift"/>
                <w:b w:val="0"/>
                <w:szCs w:val="17"/>
                <w:u w:val="none"/>
                <w:lang w:eastAsia="de-DE"/>
              </w:rPr>
              <w:t>.</w:t>
            </w:r>
          </w:p>
          <w:p w:rsidR="00AC376C" w:rsidRPr="003639E2" w:rsidRDefault="00AC376C" w:rsidP="008E3A85">
            <w:pPr>
              <w:spacing w:before="0" w:after="0"/>
              <w:rPr>
                <w:rStyle w:val="InstructionsTabelleberschrift"/>
                <w:b w:val="0"/>
                <w:szCs w:val="17"/>
                <w:u w:val="none"/>
                <w:lang w:eastAsia="de-DE"/>
              </w:rPr>
            </w:pPr>
          </w:p>
          <w:p w:rsidR="00AC376C" w:rsidRPr="003639E2" w:rsidRDefault="00AC376C" w:rsidP="001A0295">
            <w:pPr>
              <w:spacing w:before="0" w:after="0"/>
              <w:rPr>
                <w:rStyle w:val="InstructionsTabelleberschrift"/>
                <w:b w:val="0"/>
                <w:szCs w:val="17"/>
                <w:u w:val="none"/>
                <w:lang w:eastAsia="de-DE"/>
              </w:rPr>
            </w:pPr>
            <w:r w:rsidRPr="003639E2">
              <w:rPr>
                <w:rStyle w:val="InstructionsTabelleberschrift"/>
                <w:b w:val="0"/>
                <w:i/>
                <w:szCs w:val="17"/>
                <w:u w:val="none"/>
                <w:lang w:eastAsia="de-DE"/>
              </w:rPr>
              <w:t>Category five</w:t>
            </w:r>
            <w:r w:rsidRPr="003639E2">
              <w:rPr>
                <w:rStyle w:val="InstructionsTabelleberschrift"/>
                <w:b w:val="0"/>
                <w:szCs w:val="17"/>
                <w:u w:val="none"/>
                <w:lang w:eastAsia="de-DE"/>
              </w:rPr>
              <w:t>: where the counterparty is a central bank and the assets securing the transaction are of high liquidity and credit quality</w:t>
            </w:r>
            <w:r w:rsidR="00423351">
              <w:rPr>
                <w:rStyle w:val="InstructionsTabelleberschrift"/>
                <w:b w:val="0"/>
                <w:szCs w:val="17"/>
                <w:u w:val="none"/>
                <w:lang w:eastAsia="de-DE"/>
              </w:rPr>
              <w:t xml:space="preserve">, </w:t>
            </w:r>
            <w:r w:rsidRPr="003639E2">
              <w:rPr>
                <w:rStyle w:val="InstructionsTabelleberschrift"/>
                <w:b w:val="0"/>
                <w:szCs w:val="17"/>
                <w:u w:val="none"/>
                <w:lang w:eastAsia="de-DE"/>
              </w:rPr>
              <w:t xml:space="preserve">the amount due </w:t>
            </w:r>
            <w:r w:rsidR="00795DAB">
              <w:rPr>
                <w:rStyle w:val="InstructionsTabelleberschrift"/>
                <w:b w:val="0"/>
                <w:szCs w:val="17"/>
                <w:u w:val="none"/>
                <w:lang w:eastAsia="de-DE"/>
              </w:rPr>
              <w:t>shall</w:t>
            </w:r>
            <w:r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090</w:t>
            </w:r>
            <w:r w:rsidRPr="003639E2">
              <w:rPr>
                <w:rStyle w:val="InstructionsTabelleberschrift"/>
                <w:b w:val="0"/>
                <w:szCs w:val="17"/>
                <w:u w:val="none"/>
                <w:lang w:eastAsia="de-DE"/>
              </w:rPr>
              <w:t xml:space="preserve"> </w:t>
            </w:r>
            <w:r w:rsidR="00795DAB" w:rsidRPr="003639E2">
              <w:rPr>
                <w:rStyle w:val="InstructionsTabelleberschrift"/>
                <w:b w:val="0"/>
                <w:szCs w:val="17"/>
                <w:u w:val="none"/>
                <w:lang w:eastAsia="de-DE"/>
              </w:rPr>
              <w:t xml:space="preserve">the </w:t>
            </w:r>
            <w:r w:rsidR="00795DAB">
              <w:rPr>
                <w:rStyle w:val="InstructionsTabelleberschrift"/>
                <w:b w:val="0"/>
                <w:szCs w:val="17"/>
                <w:u w:val="none"/>
                <w:lang w:eastAsia="de-DE"/>
              </w:rPr>
              <w:t xml:space="preserve">value according to Article 418 </w:t>
            </w:r>
            <w:r w:rsidR="00AA6BC0">
              <w:rPr>
                <w:rStyle w:val="InstructionsTabelleberschrift"/>
                <w:b w:val="0"/>
                <w:szCs w:val="17"/>
                <w:u w:val="none"/>
                <w:lang w:eastAsia="de-DE"/>
              </w:rPr>
              <w:t>REGULATION (EU) NO 575/2013</w:t>
            </w:r>
            <w:r w:rsidR="00795DAB">
              <w:rPr>
                <w:rStyle w:val="InstructionsTabelleberschrift"/>
                <w:b w:val="0"/>
                <w:szCs w:val="17"/>
                <w:u w:val="none"/>
                <w:lang w:eastAsia="de-DE"/>
              </w:rPr>
              <w:t xml:space="preserve"> of </w:t>
            </w:r>
            <w:r w:rsidR="00795DAB" w:rsidRPr="003639E2">
              <w:rPr>
                <w:rStyle w:val="InstructionsTabelleberschrift"/>
                <w:b w:val="0"/>
                <w:szCs w:val="17"/>
                <w:u w:val="none"/>
                <w:lang w:eastAsia="de-DE"/>
              </w:rPr>
              <w:t xml:space="preserve">the asset securing the transaction </w:t>
            </w:r>
            <w:r w:rsidR="00795DAB">
              <w:rPr>
                <w:rStyle w:val="InstructionsTabelleberschrift"/>
                <w:b w:val="0"/>
                <w:szCs w:val="17"/>
                <w:u w:val="none"/>
                <w:lang w:eastAsia="de-DE"/>
              </w:rPr>
              <w:t>shall</w:t>
            </w:r>
            <w:r w:rsidR="00795DAB" w:rsidRPr="003639E2">
              <w:rPr>
                <w:rStyle w:val="InstructionsTabelleberschrift"/>
                <w:b w:val="0"/>
                <w:szCs w:val="17"/>
                <w:u w:val="none"/>
                <w:lang w:eastAsia="de-DE"/>
              </w:rPr>
              <w:t xml:space="preserve"> be reported in column</w:t>
            </w:r>
            <w:r w:rsidRPr="003639E2">
              <w:rPr>
                <w:rStyle w:val="InstructionsTabelleberschrift"/>
                <w:b w:val="0"/>
                <w:szCs w:val="17"/>
                <w:u w:val="none"/>
                <w:lang w:eastAsia="de-DE"/>
              </w:rPr>
              <w:t xml:space="preserve"> </w:t>
            </w:r>
            <w:r w:rsidR="00091BF2">
              <w:rPr>
                <w:rStyle w:val="InstructionsTabelleberschrift"/>
                <w:b w:val="0"/>
                <w:szCs w:val="17"/>
                <w:u w:val="none"/>
                <w:lang w:eastAsia="de-DE"/>
              </w:rPr>
              <w:t>100</w:t>
            </w:r>
            <w:r w:rsidRPr="003639E2">
              <w:rPr>
                <w:rStyle w:val="InstructionsTabelleberschrift"/>
                <w:b w:val="0"/>
                <w:szCs w:val="17"/>
                <w:u w:val="none"/>
                <w:lang w:eastAsia="de-DE"/>
              </w:rPr>
              <w:t>.</w:t>
            </w:r>
          </w:p>
          <w:p w:rsidR="00AC376C" w:rsidRPr="003639E2" w:rsidRDefault="00AC376C" w:rsidP="008E3A85">
            <w:pPr>
              <w:spacing w:before="0" w:after="0"/>
              <w:rPr>
                <w:rStyle w:val="InstructionsTabelleberschrift"/>
                <w:b w:val="0"/>
                <w:szCs w:val="17"/>
                <w:u w:val="none"/>
                <w:lang w:eastAsia="de-DE"/>
              </w:rPr>
            </w:pPr>
          </w:p>
          <w:p w:rsidR="00AC376C" w:rsidRPr="003639E2" w:rsidRDefault="00AC376C" w:rsidP="008E3A85">
            <w:pPr>
              <w:spacing w:before="0" w:after="0"/>
              <w:rPr>
                <w:rStyle w:val="InstructionsTabelleberschrift"/>
                <w:b w:val="0"/>
                <w:szCs w:val="17"/>
                <w:u w:val="none"/>
                <w:lang w:eastAsia="de-DE"/>
              </w:rPr>
            </w:pPr>
            <w:r w:rsidRPr="003639E2">
              <w:rPr>
                <w:rStyle w:val="InstructionsTabelleberschrift"/>
                <w:b w:val="0"/>
                <w:i/>
                <w:szCs w:val="17"/>
                <w:u w:val="none"/>
                <w:lang w:eastAsia="de-DE"/>
              </w:rPr>
              <w:t>Category six</w:t>
            </w:r>
            <w:r w:rsidRPr="003639E2">
              <w:rPr>
                <w:rStyle w:val="InstructionsTabelleberschrift"/>
                <w:b w:val="0"/>
                <w:szCs w:val="17"/>
                <w:u w:val="none"/>
                <w:lang w:eastAsia="de-DE"/>
              </w:rPr>
              <w:t>: where the counterparty is a central bank and the assets securing the transaction are of other liquidity and credit quality</w:t>
            </w:r>
            <w:r w:rsidR="00423351">
              <w:rPr>
                <w:rStyle w:val="InstructionsTabelleberschrift"/>
                <w:b w:val="0"/>
                <w:szCs w:val="17"/>
                <w:u w:val="none"/>
                <w:lang w:eastAsia="de-DE"/>
              </w:rPr>
              <w:t xml:space="preserve">, </w:t>
            </w:r>
            <w:r w:rsidRPr="003639E2">
              <w:rPr>
                <w:rStyle w:val="InstructionsTabelleberschrift"/>
                <w:b w:val="0"/>
                <w:szCs w:val="17"/>
                <w:u w:val="none"/>
                <w:lang w:eastAsia="de-DE"/>
              </w:rPr>
              <w:t xml:space="preserve">the amount due </w:t>
            </w:r>
            <w:r w:rsidR="00795DAB">
              <w:rPr>
                <w:rStyle w:val="InstructionsTabelleberschrift"/>
                <w:b w:val="0"/>
                <w:szCs w:val="17"/>
                <w:u w:val="none"/>
                <w:lang w:eastAsia="de-DE"/>
              </w:rPr>
              <w:t>shall</w:t>
            </w:r>
            <w:r w:rsidRPr="003639E2">
              <w:rPr>
                <w:rStyle w:val="InstructionsTabelleberschrift"/>
                <w:b w:val="0"/>
                <w:szCs w:val="17"/>
                <w:u w:val="none"/>
                <w:lang w:eastAsia="de-DE"/>
              </w:rPr>
              <w:t xml:space="preserve"> be reported in column </w:t>
            </w:r>
            <w:r w:rsidR="00091BF2">
              <w:rPr>
                <w:rStyle w:val="InstructionsTabelleberschrift"/>
                <w:b w:val="0"/>
                <w:szCs w:val="17"/>
                <w:u w:val="none"/>
                <w:lang w:eastAsia="de-DE"/>
              </w:rPr>
              <w:t>110</w:t>
            </w:r>
            <w:r w:rsidR="00795DAB">
              <w:rPr>
                <w:rStyle w:val="InstructionsTabelleberschrift"/>
                <w:b w:val="0"/>
                <w:szCs w:val="17"/>
                <w:u w:val="none"/>
                <w:lang w:eastAsia="de-DE"/>
              </w:rPr>
              <w:t>.</w:t>
            </w:r>
          </w:p>
          <w:p w:rsidR="003639E2" w:rsidRPr="003639E2" w:rsidRDefault="003639E2" w:rsidP="008E3A85">
            <w:pPr>
              <w:spacing w:before="0" w:after="0"/>
              <w:rPr>
                <w:rStyle w:val="InstructionsTabelleberschrift"/>
                <w:b w:val="0"/>
                <w:szCs w:val="17"/>
                <w:u w:val="none"/>
                <w:lang w:eastAsia="de-DE"/>
              </w:rPr>
            </w:pPr>
          </w:p>
          <w:p w:rsidR="003639E2" w:rsidRPr="003639E2" w:rsidRDefault="003639E2" w:rsidP="008E3A85">
            <w:pPr>
              <w:spacing w:before="0" w:after="0"/>
              <w:rPr>
                <w:rStyle w:val="InstructionsTabelleberschrift"/>
                <w:b w:val="0"/>
                <w:szCs w:val="17"/>
                <w:u w:val="none"/>
                <w:lang w:eastAsia="de-DE"/>
              </w:rPr>
            </w:pPr>
            <w:r w:rsidRPr="003639E2">
              <w:rPr>
                <w:rStyle w:val="InstructionsTabelleberschrift"/>
                <w:b w:val="0"/>
                <w:i/>
                <w:szCs w:val="17"/>
                <w:u w:val="none"/>
                <w:lang w:eastAsia="de-DE"/>
              </w:rPr>
              <w:t>Category seven</w:t>
            </w:r>
            <w:r w:rsidRPr="003639E2">
              <w:rPr>
                <w:rStyle w:val="InstructionsTabelleberschrift"/>
                <w:b w:val="0"/>
                <w:szCs w:val="17"/>
                <w:u w:val="none"/>
                <w:lang w:eastAsia="de-DE"/>
              </w:rPr>
              <w:t xml:space="preserve">: </w:t>
            </w:r>
            <w:r>
              <w:rPr>
                <w:rStyle w:val="InstructionsTabelleberschrift"/>
                <w:b w:val="0"/>
                <w:szCs w:val="17"/>
                <w:u w:val="none"/>
                <w:lang w:eastAsia="de-DE"/>
              </w:rPr>
              <w:t>Where the counterparty is the central government, a public sector entity of the member state in which the credit institution has been authorised or has established a branch, or a multilateral development bank</w:t>
            </w:r>
            <w:r w:rsidR="002B256A">
              <w:rPr>
                <w:rStyle w:val="InstructionsTabelleberschrift"/>
                <w:b w:val="0"/>
                <w:szCs w:val="17"/>
                <w:u w:val="none"/>
                <w:lang w:eastAsia="de-DE"/>
              </w:rPr>
              <w:t>,</w:t>
            </w:r>
            <w:r>
              <w:rPr>
                <w:rStyle w:val="InstructionsTabelleberschrift"/>
                <w:b w:val="0"/>
                <w:szCs w:val="17"/>
                <w:u w:val="none"/>
                <w:lang w:eastAsia="de-DE"/>
              </w:rPr>
              <w:t xml:space="preserve"> the amount due sh</w:t>
            </w:r>
            <w:r w:rsidR="002B256A">
              <w:rPr>
                <w:rStyle w:val="InstructionsTabelleberschrift"/>
                <w:b w:val="0"/>
                <w:szCs w:val="17"/>
                <w:u w:val="none"/>
                <w:lang w:eastAsia="de-DE"/>
              </w:rPr>
              <w:t xml:space="preserve">all </w:t>
            </w:r>
            <w:r>
              <w:rPr>
                <w:rStyle w:val="InstructionsTabelleberschrift"/>
                <w:b w:val="0"/>
                <w:szCs w:val="17"/>
                <w:u w:val="none"/>
                <w:lang w:eastAsia="de-DE"/>
              </w:rPr>
              <w:t xml:space="preserve">be reported in column </w:t>
            </w:r>
            <w:r w:rsidR="00091BF2">
              <w:rPr>
                <w:rStyle w:val="InstructionsTabelleberschrift"/>
                <w:b w:val="0"/>
                <w:szCs w:val="17"/>
                <w:u w:val="none"/>
                <w:lang w:eastAsia="de-DE"/>
              </w:rPr>
              <w:t>120</w:t>
            </w:r>
            <w:r w:rsidR="002B256A">
              <w:rPr>
                <w:rStyle w:val="InstructionsTabelleberschrift"/>
                <w:b w:val="0"/>
                <w:szCs w:val="17"/>
                <w:u w:val="none"/>
                <w:lang w:eastAsia="de-DE"/>
              </w:rPr>
              <w:t>.</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Style w:val="InstructionsTabelleberschrift"/>
                <w:b w:val="0"/>
                <w:szCs w:val="17"/>
                <w:u w:val="none"/>
                <w:lang w:eastAsia="de-DE"/>
              </w:rPr>
            </w:pPr>
            <w:r w:rsidRPr="008E3A85">
              <w:rPr>
                <w:rStyle w:val="InstructionsTabelleberschrift"/>
                <w:szCs w:val="17"/>
                <w:u w:val="none"/>
                <w:lang w:eastAsia="de-DE"/>
              </w:rPr>
              <w:t xml:space="preserve">Institutions </w:t>
            </w:r>
            <w:r w:rsidR="00795DAB">
              <w:rPr>
                <w:rStyle w:val="InstructionsTabelleberschrift"/>
                <w:szCs w:val="17"/>
                <w:u w:val="none"/>
                <w:lang w:eastAsia="de-DE"/>
              </w:rPr>
              <w:t>shall</w:t>
            </w:r>
            <w:r w:rsidRPr="008E3A85">
              <w:rPr>
                <w:rStyle w:val="InstructionsTabelleberschrift"/>
                <w:szCs w:val="17"/>
                <w:u w:val="none"/>
                <w:lang w:eastAsia="de-DE"/>
              </w:rPr>
              <w:t xml:space="preserve"> allocate transactions by identifying the liquidity and credit quality of the assets securing the transaction using the same criteria as applied for the purpose of reporting assets in template 1.1 </w:t>
            </w:r>
            <w:r w:rsidR="00825257">
              <w:rPr>
                <w:rStyle w:val="InstructionsTabelleberschrift"/>
                <w:szCs w:val="17"/>
                <w:u w:val="none"/>
                <w:lang w:eastAsia="de-DE"/>
              </w:rPr>
              <w:t>‘</w:t>
            </w:r>
            <w:r w:rsidRPr="008E3A85">
              <w:rPr>
                <w:rStyle w:val="InstructionsTabelleberschrift"/>
                <w:szCs w:val="17"/>
                <w:u w:val="none"/>
                <w:lang w:eastAsia="de-DE"/>
              </w:rPr>
              <w:t>Assets</w:t>
            </w:r>
            <w:r w:rsidR="00825257">
              <w:rPr>
                <w:rStyle w:val="InstructionsTabelleberschrift"/>
                <w:szCs w:val="17"/>
                <w:u w:val="none"/>
                <w:lang w:eastAsia="de-DE"/>
              </w:rPr>
              <w:t>’</w:t>
            </w:r>
            <w:r w:rsidRPr="008E3A85">
              <w:rPr>
                <w:rStyle w:val="InstructionsTabelleberschrift"/>
                <w:szCs w:val="17"/>
                <w:u w:val="none"/>
                <w:lang w:eastAsia="de-DE"/>
              </w:rPr>
              <w:t>.</w:t>
            </w:r>
            <w:r w:rsidRPr="008E3A85">
              <w:rPr>
                <w:rStyle w:val="InstructionsTabelleberschrift"/>
                <w:b w:val="0"/>
                <w:szCs w:val="17"/>
                <w:u w:val="none"/>
                <w:lang w:eastAsia="de-DE"/>
              </w:rPr>
              <w:t xml:space="preserve"> </w:t>
            </w:r>
          </w:p>
          <w:p w:rsidR="00AC376C" w:rsidRPr="008E3A85" w:rsidRDefault="00AC376C" w:rsidP="008E3A85">
            <w:pPr>
              <w:spacing w:before="0" w:after="0"/>
              <w:rPr>
                <w:rStyle w:val="InstructionsTabelleberschrift"/>
                <w:b w:val="0"/>
                <w:szCs w:val="17"/>
                <w:u w:val="none"/>
                <w:lang w:eastAsia="de-DE"/>
              </w:rPr>
            </w:pPr>
          </w:p>
          <w:p w:rsidR="00AC376C" w:rsidRPr="008E3A85" w:rsidRDefault="00AC376C" w:rsidP="008E3A85">
            <w:pPr>
              <w:spacing w:before="0" w:after="0"/>
              <w:rPr>
                <w:rStyle w:val="InstructionsTabelleberschrift"/>
                <w:b w:val="0"/>
                <w:szCs w:val="17"/>
                <w:u w:val="none"/>
                <w:lang w:eastAsia="de-DE"/>
              </w:rPr>
            </w:pPr>
            <w:r w:rsidRPr="008E3A85">
              <w:rPr>
                <w:rStyle w:val="InstructionsTabelleberschrift"/>
                <w:b w:val="0"/>
                <w:szCs w:val="17"/>
                <w:u w:val="none"/>
                <w:lang w:eastAsia="de-DE"/>
              </w:rPr>
              <w:t>I.e. in accordance with Article 4</w:t>
            </w:r>
            <w:r w:rsidR="00C41796">
              <w:rPr>
                <w:rStyle w:val="InstructionsTabelleberschrift"/>
                <w:b w:val="0"/>
                <w:szCs w:val="17"/>
                <w:u w:val="none"/>
                <w:lang w:eastAsia="de-DE"/>
              </w:rPr>
              <w:t>16(1)</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r w:rsidRPr="008E3A85">
              <w:rPr>
                <w:rStyle w:val="InstructionsTabelleberschrift"/>
                <w:b w:val="0"/>
                <w:szCs w:val="17"/>
                <w:u w:val="none"/>
                <w:lang w:eastAsia="de-DE"/>
              </w:rPr>
              <w:t xml:space="preserve">, pending a uniform definition in accordance with Article </w:t>
            </w:r>
            <w:r w:rsidR="000A63D7">
              <w:rPr>
                <w:rStyle w:val="InstructionsTabelleberschrift"/>
                <w:b w:val="0"/>
                <w:szCs w:val="17"/>
                <w:u w:val="none"/>
                <w:lang w:eastAsia="de-DE"/>
              </w:rPr>
              <w:t xml:space="preserve">460 </w:t>
            </w:r>
            <w:r w:rsidR="00AA6BC0">
              <w:rPr>
                <w:rStyle w:val="InstructionsTabelleberschrift"/>
                <w:b w:val="0"/>
                <w:szCs w:val="17"/>
                <w:u w:val="none"/>
                <w:lang w:eastAsia="de-DE"/>
              </w:rPr>
              <w:t>REGULATION (EU) NO 575/2013</w:t>
            </w:r>
            <w:r w:rsidRPr="008E3A85">
              <w:rPr>
                <w:rStyle w:val="InstructionsTabelleberschrift"/>
                <w:b w:val="0"/>
                <w:szCs w:val="17"/>
                <w:u w:val="none"/>
                <w:lang w:eastAsia="de-DE"/>
              </w:rPr>
              <w:t xml:space="preserve"> of extremely high and high liquidity and credit quality, institutions shall identify themselves in a given currency transferable assets that are respectively of high or extremely high liquidity and credit quality.</w:t>
            </w:r>
          </w:p>
          <w:p w:rsidR="00AC376C" w:rsidRPr="008E3A85" w:rsidRDefault="00AC376C" w:rsidP="008E3A85">
            <w:pPr>
              <w:spacing w:before="0" w:after="0"/>
              <w:rPr>
                <w:rStyle w:val="InstructionsTabelleberschrift"/>
                <w:b w:val="0"/>
                <w:szCs w:val="17"/>
                <w:u w:val="none"/>
                <w:lang w:eastAsia="de-DE"/>
              </w:rPr>
            </w:pPr>
          </w:p>
          <w:p w:rsidR="00AC376C" w:rsidRPr="00EA0D6B" w:rsidRDefault="00AC376C" w:rsidP="008E3A85">
            <w:pPr>
              <w:spacing w:before="0" w:after="0"/>
            </w:pPr>
            <w:r w:rsidRPr="008E3A85">
              <w:rPr>
                <w:b/>
              </w:rPr>
              <w:t xml:space="preserve">If the institution has deposited both </w:t>
            </w:r>
            <w:r w:rsidR="00825257">
              <w:rPr>
                <w:b/>
              </w:rPr>
              <w:t>‘</w:t>
            </w:r>
            <w:r w:rsidRPr="008E3A85">
              <w:rPr>
                <w:b/>
              </w:rPr>
              <w:t>extremely high</w:t>
            </w:r>
            <w:r w:rsidR="00825257">
              <w:rPr>
                <w:b/>
              </w:rPr>
              <w:t>’</w:t>
            </w:r>
            <w:r w:rsidRPr="008E3A85">
              <w:rPr>
                <w:b/>
              </w:rPr>
              <w:t xml:space="preserve">, </w:t>
            </w:r>
            <w:r w:rsidR="00825257">
              <w:rPr>
                <w:b/>
              </w:rPr>
              <w:t>‘</w:t>
            </w:r>
            <w:r w:rsidRPr="008E3A85">
              <w:rPr>
                <w:b/>
              </w:rPr>
              <w:t>high</w:t>
            </w:r>
            <w:r w:rsidR="00825257">
              <w:rPr>
                <w:b/>
              </w:rPr>
              <w:t>’</w:t>
            </w:r>
            <w:r w:rsidRPr="008E3A85">
              <w:rPr>
                <w:b/>
              </w:rPr>
              <w:t xml:space="preserve"> and </w:t>
            </w:r>
            <w:r w:rsidR="00825257">
              <w:rPr>
                <w:b/>
              </w:rPr>
              <w:t>‘</w:t>
            </w:r>
            <w:r w:rsidRPr="008E3A85">
              <w:rPr>
                <w:b/>
              </w:rPr>
              <w:t>other</w:t>
            </w:r>
            <w:r w:rsidR="00825257">
              <w:rPr>
                <w:b/>
              </w:rPr>
              <w:t>’</w:t>
            </w:r>
            <w:r w:rsidRPr="008E3A85">
              <w:rPr>
                <w:b/>
              </w:rPr>
              <w:t xml:space="preserve"> liquidity and credit quality assets in a collateral pool and no assets are specifically assigned as collateral for the </w:t>
            </w:r>
            <w:r w:rsidRPr="008E3A85">
              <w:rPr>
                <w:b/>
                <w:bCs/>
              </w:rPr>
              <w:t>secured lending and capital market driven transaction</w:t>
            </w:r>
            <w:r w:rsidRPr="008E3A85">
              <w:rPr>
                <w:b/>
              </w:rPr>
              <w:t xml:space="preserve">, the </w:t>
            </w:r>
            <w:r w:rsidRPr="008E3A85">
              <w:rPr>
                <w:b/>
              </w:rPr>
              <w:lastRenderedPageBreak/>
              <w:t xml:space="preserve">institution </w:t>
            </w:r>
            <w:r w:rsidR="001B5E82">
              <w:rPr>
                <w:b/>
              </w:rPr>
              <w:t>shall</w:t>
            </w:r>
            <w:r w:rsidRPr="008E3A85">
              <w:rPr>
                <w:b/>
              </w:rPr>
              <w:t xml:space="preserve"> assume that the assets with the lowest liquidity and credit quality </w:t>
            </w:r>
            <w:r w:rsidR="00FC161F">
              <w:rPr>
                <w:b/>
              </w:rPr>
              <w:t>are</w:t>
            </w:r>
            <w:r w:rsidR="00FC161F" w:rsidRPr="008E3A85">
              <w:rPr>
                <w:b/>
              </w:rPr>
              <w:t xml:space="preserve"> </w:t>
            </w:r>
            <w:r w:rsidRPr="008E3A85">
              <w:rPr>
                <w:b/>
              </w:rPr>
              <w:t>assigned first</w:t>
            </w:r>
            <w:r w:rsidR="00FC161F">
              <w:rPr>
                <w:b/>
              </w:rPr>
              <w:t xml:space="preserve">, i.e. </w:t>
            </w:r>
            <w:r w:rsidRPr="008E3A85">
              <w:t xml:space="preserve">assets with </w:t>
            </w:r>
            <w:r w:rsidR="00825257">
              <w:t>‘</w:t>
            </w:r>
            <w:r w:rsidRPr="008E3A85">
              <w:t>other liquidity and credit quality</w:t>
            </w:r>
            <w:r w:rsidR="00825257">
              <w:t>’</w:t>
            </w:r>
            <w:r w:rsidRPr="008E3A85">
              <w:t xml:space="preserve"> sh</w:t>
            </w:r>
            <w:r w:rsidR="00331488">
              <w:t>all</w:t>
            </w:r>
            <w:r w:rsidRPr="008E3A85">
              <w:t xml:space="preserve"> be assigned first. Only once all thos</w:t>
            </w:r>
            <w:r w:rsidR="00331488">
              <w:t>e assets are fully assigned, shall</w:t>
            </w:r>
            <w:r w:rsidRPr="008E3A85">
              <w:t xml:space="preserve"> assets of </w:t>
            </w:r>
            <w:r w:rsidR="00825257">
              <w:t>‘</w:t>
            </w:r>
            <w:r w:rsidRPr="008E3A85">
              <w:t>high liquidity and credit quality</w:t>
            </w:r>
            <w:r w:rsidR="00825257">
              <w:t>’</w:t>
            </w:r>
            <w:r w:rsidRPr="008E3A85">
              <w:t xml:space="preserve"> be assigned. Only once all those assets are assigned too, sh</w:t>
            </w:r>
            <w:r w:rsidR="00331488">
              <w:t>all</w:t>
            </w:r>
            <w:r w:rsidRPr="008E3A85">
              <w:t xml:space="preserve"> </w:t>
            </w:r>
            <w:r w:rsidR="00825257">
              <w:t>‘</w:t>
            </w:r>
            <w:r w:rsidRPr="008E3A85">
              <w:t xml:space="preserve">extremely high liquidity and credit </w:t>
            </w:r>
            <w:r w:rsidRPr="00EA0D6B">
              <w:t>quality</w:t>
            </w:r>
            <w:r w:rsidR="00825257">
              <w:t>’</w:t>
            </w:r>
            <w:r w:rsidRPr="00EA0D6B">
              <w:t xml:space="preserve"> be assigned.</w:t>
            </w:r>
          </w:p>
          <w:p w:rsidR="00AC376C" w:rsidRPr="00EA0D6B" w:rsidRDefault="00AC376C" w:rsidP="008E3A85">
            <w:pPr>
              <w:spacing w:before="0" w:after="0"/>
            </w:pPr>
          </w:p>
          <w:p w:rsidR="00AC376C" w:rsidRPr="00EA0D6B" w:rsidRDefault="00AC376C" w:rsidP="008E3A85">
            <w:pPr>
              <w:autoSpaceDE w:val="0"/>
              <w:autoSpaceDN w:val="0"/>
              <w:adjustRightInd w:val="0"/>
              <w:spacing w:before="0" w:after="0"/>
              <w:rPr>
                <w:b/>
              </w:rPr>
            </w:pPr>
            <w:r w:rsidRPr="00EA0D6B">
              <w:rPr>
                <w:b/>
              </w:rPr>
              <w:t xml:space="preserve">Collateral swaps where the institution simultaneously borrows collateral and lends collateral (in the form of assets other than cash), </w:t>
            </w:r>
            <w:r w:rsidR="001B5E82">
              <w:rPr>
                <w:b/>
              </w:rPr>
              <w:t>shall</w:t>
            </w:r>
            <w:r w:rsidRPr="00EA0D6B">
              <w:rPr>
                <w:b/>
              </w:rPr>
              <w:t xml:space="preserve"> be reported as follows:</w:t>
            </w:r>
          </w:p>
          <w:p w:rsidR="00AC376C" w:rsidRPr="00EA0D6B" w:rsidRDefault="00AC376C" w:rsidP="008E3A85">
            <w:pPr>
              <w:autoSpaceDE w:val="0"/>
              <w:autoSpaceDN w:val="0"/>
              <w:adjustRightInd w:val="0"/>
              <w:spacing w:before="0" w:after="0"/>
            </w:pPr>
          </w:p>
          <w:p w:rsidR="00AC376C" w:rsidRPr="00EA0D6B" w:rsidRDefault="00AC376C" w:rsidP="008E3A85">
            <w:pPr>
              <w:autoSpaceDE w:val="0"/>
              <w:autoSpaceDN w:val="0"/>
              <w:adjustRightInd w:val="0"/>
              <w:spacing w:before="0" w:after="0"/>
            </w:pPr>
            <w:r w:rsidRPr="00EA0D6B">
              <w:t xml:space="preserve">The value of the asset </w:t>
            </w:r>
            <w:r w:rsidR="00C62C21">
              <w:rPr>
                <w:u w:val="single"/>
              </w:rPr>
              <w:t>borrowed</w:t>
            </w:r>
            <w:r w:rsidR="00331488">
              <w:t xml:space="preserve"> </w:t>
            </w:r>
            <w:r w:rsidR="0032689B">
              <w:t>s</w:t>
            </w:r>
            <w:r w:rsidRPr="00EA0D6B">
              <w:t>h</w:t>
            </w:r>
            <w:r w:rsidR="00C62C21">
              <w:t xml:space="preserve">all be its market value in column </w:t>
            </w:r>
            <w:r w:rsidR="00091BF2">
              <w:t>010</w:t>
            </w:r>
            <w:r w:rsidR="00C62C21">
              <w:t xml:space="preserve"> </w:t>
            </w:r>
            <w:r w:rsidR="008A02F5">
              <w:t>a</w:t>
            </w:r>
            <w:r w:rsidR="00C62C21">
              <w:t xml:space="preserve">nd its value according to Article 418 </w:t>
            </w:r>
            <w:r w:rsidR="00AA6BC0">
              <w:t>REGULATION (EU) NO 575/2013</w:t>
            </w:r>
            <w:r w:rsidR="00C62C21">
              <w:t xml:space="preserve"> in the appropriate column. </w:t>
            </w:r>
            <w:r w:rsidR="008A02F5">
              <w:t xml:space="preserve">Collateral swaps only relate to collateral, and there is no underlying </w:t>
            </w:r>
            <w:r w:rsidR="00825257">
              <w:t>‘</w:t>
            </w:r>
            <w:r w:rsidRPr="00EA0D6B">
              <w:t>Amount due</w:t>
            </w:r>
            <w:r w:rsidR="00825257">
              <w:t>’</w:t>
            </w:r>
            <w:r w:rsidRPr="00EA0D6B">
              <w:t xml:space="preserve"> </w:t>
            </w:r>
            <w:r w:rsidR="008A02F5">
              <w:t>to be reported</w:t>
            </w:r>
            <w:r w:rsidRPr="00EA0D6B">
              <w:t>.</w:t>
            </w:r>
          </w:p>
          <w:p w:rsidR="00AC376C" w:rsidRPr="00EA0D6B" w:rsidRDefault="00AC376C" w:rsidP="008E3A85">
            <w:pPr>
              <w:autoSpaceDE w:val="0"/>
              <w:autoSpaceDN w:val="0"/>
              <w:adjustRightInd w:val="0"/>
              <w:spacing w:before="0" w:after="0"/>
            </w:pPr>
          </w:p>
          <w:p w:rsidR="00AC376C" w:rsidRDefault="00AC376C" w:rsidP="008E3A85">
            <w:pPr>
              <w:autoSpaceDE w:val="0"/>
              <w:autoSpaceDN w:val="0"/>
              <w:adjustRightInd w:val="0"/>
              <w:spacing w:before="0" w:after="0"/>
            </w:pPr>
            <w:r w:rsidRPr="00EA0D6B">
              <w:t xml:space="preserve">The market value of the asset </w:t>
            </w:r>
            <w:r w:rsidR="00C62C21">
              <w:rPr>
                <w:u w:val="single"/>
              </w:rPr>
              <w:t>lent</w:t>
            </w:r>
            <w:r w:rsidR="00331488">
              <w:t xml:space="preserve"> shall b</w:t>
            </w:r>
            <w:r w:rsidRPr="00EA0D6B">
              <w:t xml:space="preserve">e reported in the </w:t>
            </w:r>
            <w:r w:rsidR="00825257">
              <w:t>‘</w:t>
            </w:r>
            <w:r w:rsidRPr="00EA0D6B">
              <w:t>Market value of the asset securing the transaction</w:t>
            </w:r>
            <w:r w:rsidR="00825257">
              <w:t>’</w:t>
            </w:r>
            <w:r w:rsidRPr="00EA0D6B">
              <w:t xml:space="preserve"> column in the appropriate subcategory of </w:t>
            </w:r>
            <w:r w:rsidR="00572AC9">
              <w:t>.3</w:t>
            </w:r>
            <w:r w:rsidR="009F10B3" w:rsidRPr="009F10B3">
              <w:t xml:space="preserve"> of template </w:t>
            </w:r>
            <w:r w:rsidR="00825257">
              <w:t>‘</w:t>
            </w:r>
            <w:r w:rsidR="009F10B3" w:rsidRPr="009F10B3">
              <w:t>Inflows</w:t>
            </w:r>
            <w:r w:rsidR="00825257">
              <w:t>’</w:t>
            </w:r>
            <w:r w:rsidR="009F10B3" w:rsidRPr="009F10B3">
              <w:t>.</w:t>
            </w:r>
            <w:r w:rsidRPr="00EA0D6B">
              <w:t xml:space="preserve"> </w:t>
            </w:r>
            <w:r w:rsidR="008A02F5">
              <w:t xml:space="preserve">Collateral swaps only relate to collateral, and there is no underlying </w:t>
            </w:r>
            <w:r w:rsidR="00825257">
              <w:t>‘</w:t>
            </w:r>
            <w:r w:rsidR="008A02F5" w:rsidRPr="00EA0D6B">
              <w:t>Amount due</w:t>
            </w:r>
            <w:r w:rsidR="00825257">
              <w:t>’</w:t>
            </w:r>
            <w:r w:rsidR="008A02F5" w:rsidRPr="00EA0D6B">
              <w:t xml:space="preserve"> </w:t>
            </w:r>
            <w:r w:rsidR="008A02F5">
              <w:t>to be reported</w:t>
            </w:r>
            <w:r w:rsidR="008A02F5" w:rsidRPr="00EA0D6B">
              <w:t>.</w:t>
            </w:r>
          </w:p>
          <w:p w:rsidR="00AC376C" w:rsidRPr="008E3A85" w:rsidRDefault="00AC376C" w:rsidP="008A02F5">
            <w:pPr>
              <w:autoSpaceDE w:val="0"/>
              <w:autoSpaceDN w:val="0"/>
              <w:adjustRightInd w:val="0"/>
              <w:spacing w:before="0" w:after="0"/>
              <w:rPr>
                <w:rStyle w:val="InstructionsTabelleberschrift"/>
                <w:b w:val="0"/>
                <w:szCs w:val="17"/>
                <w:u w:val="none"/>
                <w:lang w:eastAsia="de-DE"/>
              </w:rPr>
            </w:pPr>
          </w:p>
        </w:tc>
      </w:tr>
      <w:tr w:rsidR="001965A1" w:rsidRPr="00B37090" w:rsidTr="00BC43F3">
        <w:tc>
          <w:tcPr>
            <w:tcW w:w="1412" w:type="dxa"/>
            <w:gridSpan w:val="2"/>
          </w:tcPr>
          <w:p w:rsidR="003F0A85" w:rsidRDefault="009F10B3">
            <w:pPr>
              <w:jc w:val="left"/>
              <w:rPr>
                <w:rFonts w:cs="Arial"/>
                <w:b/>
                <w:sz w:val="16"/>
                <w:szCs w:val="16"/>
              </w:rPr>
            </w:pPr>
            <w:r w:rsidRPr="009F10B3">
              <w:rPr>
                <w:rFonts w:cs="Arial"/>
                <w:szCs w:val="20"/>
              </w:rPr>
              <w:lastRenderedPageBreak/>
              <w:t>120-190</w:t>
            </w:r>
          </w:p>
        </w:tc>
        <w:tc>
          <w:tcPr>
            <w:tcW w:w="7371" w:type="dxa"/>
            <w:gridSpan w:val="3"/>
          </w:tcPr>
          <w:p w:rsidR="001965A1" w:rsidRDefault="002F7EFC" w:rsidP="00BC43F3">
            <w:pPr>
              <w:pStyle w:val="InstructionsText"/>
              <w:rPr>
                <w:rStyle w:val="FormatvorlageInstructionsTabelleText"/>
                <w:b/>
                <w:u w:val="single"/>
              </w:rPr>
            </w:pPr>
            <w:r>
              <w:rPr>
                <w:rStyle w:val="InstructionsTabelleberschrift"/>
              </w:rPr>
              <w:t>1.</w:t>
            </w:r>
            <w:r w:rsidR="00A3499A">
              <w:rPr>
                <w:rStyle w:val="InstructionsTabelleberschrift"/>
              </w:rPr>
              <w:t>2.2.1</w:t>
            </w:r>
            <w:r w:rsidR="00103CBB" w:rsidRPr="00103CBB">
              <w:rPr>
                <w:rStyle w:val="InstructionsTabelleberschrift"/>
              </w:rPr>
              <w:t xml:space="preserve"> </w:t>
            </w:r>
            <w:r w:rsidR="001965A1" w:rsidRPr="007B6189">
              <w:rPr>
                <w:rStyle w:val="FormatvorlageInstructionsTabelleText"/>
                <w:b/>
                <w:u w:val="single"/>
              </w:rPr>
              <w:t xml:space="preserve">Other </w:t>
            </w:r>
            <w:r w:rsidR="001965A1" w:rsidRPr="005D4017">
              <w:rPr>
                <w:rStyle w:val="FormatvorlageInstructionsTabelleText"/>
                <w:b/>
                <w:u w:val="single"/>
              </w:rPr>
              <w:t>transferable assets representing claims on or guaranteed by</w:t>
            </w:r>
          </w:p>
          <w:p w:rsidR="001965A1" w:rsidRDefault="001965A1" w:rsidP="00BC43F3">
            <w:pPr>
              <w:pStyle w:val="InstructionsText"/>
              <w:rPr>
                <w:rStyle w:val="FormatvorlageInstructionsTabelleText"/>
                <w:b/>
                <w:u w:val="single"/>
              </w:rPr>
            </w:pPr>
          </w:p>
          <w:p w:rsidR="001965A1" w:rsidRDefault="001965A1" w:rsidP="00BC43F3">
            <w:pPr>
              <w:pStyle w:val="InstructionsText"/>
              <w:rPr>
                <w:rStyle w:val="FormatvorlageInstructionsTabelleText"/>
              </w:rPr>
            </w:pPr>
            <w:r w:rsidRPr="007F6686">
              <w:rPr>
                <w:rStyle w:val="FormatvorlageInstructionsTabelleText"/>
              </w:rPr>
              <w:t>Article 416</w:t>
            </w:r>
            <w:r w:rsidR="00BD65C5">
              <w:rPr>
                <w:rStyle w:val="FormatvorlageInstructionsTabelleText"/>
              </w:rPr>
              <w:t>(</w:t>
            </w:r>
            <w:r w:rsidRPr="007F6686">
              <w:rPr>
                <w:rStyle w:val="FormatvorlageInstructionsTabelleText"/>
              </w:rPr>
              <w:t>1</w:t>
            </w:r>
            <w:r w:rsidR="00BD65C5">
              <w:rPr>
                <w:rStyle w:val="FormatvorlageInstructionsTabelleText"/>
              </w:rPr>
              <w:t>)</w:t>
            </w:r>
            <w:r w:rsidRPr="007F6686">
              <w:rPr>
                <w:rStyle w:val="FormatvorlageInstructionsTabelleText"/>
              </w:rPr>
              <w:t xml:space="preserve">(c) </w:t>
            </w:r>
            <w:r w:rsidR="00AA6BC0">
              <w:rPr>
                <w:rStyle w:val="FormatvorlageInstructionsTabelleText"/>
              </w:rPr>
              <w:t>REGULATION (EU) NO 575/2013</w:t>
            </w:r>
          </w:p>
          <w:p w:rsidR="001965A1" w:rsidRDefault="001965A1" w:rsidP="00BC43F3">
            <w:pPr>
              <w:pStyle w:val="InstructionsText"/>
              <w:rPr>
                <w:rStyle w:val="FormatvorlageInstructionsTabelleText"/>
              </w:rPr>
            </w:pPr>
          </w:p>
          <w:p w:rsidR="001965A1" w:rsidRDefault="008C0CFE" w:rsidP="001965A1">
            <w:pPr>
              <w:rPr>
                <w:rFonts w:cs="Arial"/>
                <w:szCs w:val="20"/>
              </w:rPr>
            </w:pPr>
            <w:r w:rsidRPr="008C0CFE">
              <w:rPr>
                <w:rFonts w:cs="Arial"/>
                <w:szCs w:val="20"/>
              </w:rPr>
              <w:t xml:space="preserve">Transactions backed by transferable assets </w:t>
            </w:r>
            <w:r w:rsidR="001965A1" w:rsidRPr="0079262F">
              <w:rPr>
                <w:rFonts w:cs="Arial"/>
                <w:szCs w:val="20"/>
              </w:rPr>
              <w:t>shall be reported here in accordance with 1.2.2 above, in the appropriate</w:t>
            </w:r>
            <w:r w:rsidR="001965A1" w:rsidRPr="008E3A85">
              <w:rPr>
                <w:rFonts w:cs="Arial"/>
                <w:szCs w:val="20"/>
              </w:rPr>
              <w:t xml:space="preserve"> sub-category</w:t>
            </w:r>
            <w:r w:rsidR="001965A1">
              <w:rPr>
                <w:rFonts w:cs="Arial"/>
                <w:szCs w:val="20"/>
              </w:rPr>
              <w:t>.</w:t>
            </w:r>
          </w:p>
          <w:p w:rsidR="001965A1" w:rsidRDefault="001965A1" w:rsidP="001965A1">
            <w:pPr>
              <w:rPr>
                <w:rFonts w:cs="Arial"/>
                <w:szCs w:val="20"/>
              </w:rPr>
            </w:pPr>
          </w:p>
          <w:p w:rsidR="001965A1" w:rsidRDefault="001965A1" w:rsidP="001965A1">
            <w:pPr>
              <w:pStyle w:val="InstructionsText"/>
              <w:rPr>
                <w:rStyle w:val="FormatvorlageInstructionsTabelleText"/>
              </w:rPr>
            </w:pPr>
            <w:r>
              <w:rPr>
                <w:rStyle w:val="FormatvorlageInstructionsTabelleText"/>
              </w:rPr>
              <w:t>Assets reported in this section have been explicitly identified as potentially being of extremely high or high liquidity and credit quality.</w:t>
            </w:r>
          </w:p>
          <w:p w:rsidR="001965A1" w:rsidRDefault="001965A1" w:rsidP="001965A1">
            <w:pPr>
              <w:pStyle w:val="InstructionsText"/>
              <w:rPr>
                <w:rStyle w:val="FormatvorlageInstructionsTabelleText"/>
              </w:rPr>
            </w:pPr>
          </w:p>
          <w:p w:rsidR="001965A1" w:rsidRDefault="001965A1" w:rsidP="001965A1">
            <w:pPr>
              <w:pStyle w:val="InstructionsText"/>
              <w:rPr>
                <w:rStyle w:val="FormatvorlageInstructionsTabelleText"/>
              </w:rPr>
            </w:pPr>
            <w:r>
              <w:rPr>
                <w:rStyle w:val="FormatvorlageInstructionsTabelleText"/>
              </w:rPr>
              <w:t>A</w:t>
            </w:r>
            <w:r w:rsidRPr="00B37090">
              <w:rPr>
                <w:rStyle w:val="FormatvorlageInstructionsTabelleText"/>
              </w:rPr>
              <w:t xml:space="preserve">ssets reported in </w:t>
            </w:r>
            <w:r>
              <w:rPr>
                <w:rStyle w:val="FormatvorlageInstructionsTabelleText"/>
              </w:rPr>
              <w:t>this</w:t>
            </w:r>
            <w:r w:rsidRPr="00B37090">
              <w:rPr>
                <w:rStyle w:val="FormatvorlageInstructionsTabelleText"/>
              </w:rPr>
              <w:t xml:space="preserve"> section must meet</w:t>
            </w:r>
            <w:r>
              <w:rPr>
                <w:rStyle w:val="FormatvorlageInstructionsTabelleText"/>
              </w:rPr>
              <w:t xml:space="preserve"> all the applicable requirements contained in Articles 416 and </w:t>
            </w:r>
            <w:r w:rsidRPr="00B37090">
              <w:rPr>
                <w:rStyle w:val="FormatvorlageInstructionsTabelleText"/>
              </w:rPr>
              <w:t>4</w:t>
            </w:r>
            <w:r>
              <w:rPr>
                <w:rStyle w:val="FormatvorlageInstructionsTabelleText"/>
              </w:rPr>
              <w:t xml:space="preserve">17 </w:t>
            </w:r>
            <w:r w:rsidR="00AA6BC0">
              <w:rPr>
                <w:rStyle w:val="FormatvorlageInstructionsTabelleText"/>
              </w:rPr>
              <w:t>REGULATION (EU) NO 575/2013</w:t>
            </w:r>
            <w:r>
              <w:rPr>
                <w:rStyle w:val="FormatvorlageInstructionsTabelleText"/>
              </w:rPr>
              <w:t xml:space="preserve">. </w:t>
            </w:r>
            <w:r w:rsidRPr="00B37090">
              <w:rPr>
                <w:rStyle w:val="FormatvorlageInstructionsTabelleText"/>
              </w:rPr>
              <w:t xml:space="preserve"> </w:t>
            </w:r>
          </w:p>
          <w:p w:rsidR="001965A1" w:rsidRPr="0051259E" w:rsidRDefault="001965A1" w:rsidP="00BC43F3">
            <w:pPr>
              <w:pStyle w:val="InstructionsText"/>
              <w:rPr>
                <w:rStyle w:val="FormatvorlageInstructionsTabelleText"/>
                <w:szCs w:val="24"/>
                <w:lang w:eastAsia="en-US"/>
              </w:rPr>
            </w:pPr>
          </w:p>
          <w:p w:rsidR="001965A1" w:rsidRDefault="001965A1" w:rsidP="00BC43F3">
            <w:pPr>
              <w:pStyle w:val="InstructionsText"/>
              <w:rPr>
                <w:rStyle w:val="InstructionsTabelleberschrift"/>
              </w:rPr>
            </w:pPr>
          </w:p>
        </w:tc>
      </w:tr>
      <w:tr w:rsidR="001965A1" w:rsidRPr="00B37090" w:rsidTr="00BC43F3">
        <w:tc>
          <w:tcPr>
            <w:tcW w:w="1412" w:type="dxa"/>
            <w:gridSpan w:val="2"/>
            <w:shd w:val="clear" w:color="auto" w:fill="F2F2F2" w:themeFill="background1" w:themeFillShade="F2"/>
          </w:tcPr>
          <w:p w:rsidR="003F0A85" w:rsidRDefault="009F10B3">
            <w:pPr>
              <w:jc w:val="left"/>
              <w:rPr>
                <w:rFonts w:cs="Arial"/>
                <w:b/>
                <w:sz w:val="16"/>
                <w:szCs w:val="16"/>
              </w:rPr>
            </w:pPr>
            <w:r w:rsidRPr="009F10B3">
              <w:rPr>
                <w:rFonts w:cs="Arial"/>
                <w:szCs w:val="20"/>
              </w:rPr>
              <w:t>120-130</w:t>
            </w:r>
          </w:p>
        </w:tc>
        <w:tc>
          <w:tcPr>
            <w:tcW w:w="7371" w:type="dxa"/>
            <w:gridSpan w:val="3"/>
            <w:shd w:val="clear" w:color="auto" w:fill="F2F2F2" w:themeFill="background1" w:themeFillShade="F2"/>
          </w:tcPr>
          <w:p w:rsidR="001965A1" w:rsidRDefault="00103CBB" w:rsidP="00BC43F3">
            <w:pPr>
              <w:pStyle w:val="InstructionsText"/>
              <w:rPr>
                <w:rStyle w:val="InstructionsTabelleberschrift"/>
              </w:rPr>
            </w:pPr>
            <w:r w:rsidRPr="00103CBB">
              <w:rPr>
                <w:rStyle w:val="InstructionsTabelleberschrift"/>
              </w:rPr>
              <w:t>1.2.2.1.1</w:t>
            </w:r>
            <w:r w:rsidR="00494E1C">
              <w:rPr>
                <w:rStyle w:val="InstructionsTabelleberschrift"/>
              </w:rPr>
              <w:t xml:space="preserve"> </w:t>
            </w:r>
            <w:r w:rsidR="001965A1">
              <w:rPr>
                <w:rStyle w:val="InstructionsTabelleberschrift"/>
              </w:rPr>
              <w:t>T</w:t>
            </w:r>
            <w:r w:rsidR="001965A1" w:rsidRPr="001A1722">
              <w:rPr>
                <w:rStyle w:val="InstructionsTabelleberschrift"/>
              </w:rPr>
              <w:t>ransferable assets representing claims on or guaranteed by the central government of a Member State</w:t>
            </w:r>
            <w:r w:rsidR="001965A1">
              <w:rPr>
                <w:rStyle w:val="InstructionsTabelleberschrift"/>
              </w:rPr>
              <w:t>,</w:t>
            </w:r>
            <w:r w:rsidR="001965A1" w:rsidRPr="001A1722">
              <w:rPr>
                <w:rStyle w:val="InstructionsTabelleberschrift"/>
              </w:rPr>
              <w:t xml:space="preserve"> a region with fiscal autonomy to raise and collect taxes, or of a third country in the domestic currency of the central or regional government, if the institution incurs a liquidity risk in that Member State or third country that it covers by holding those liquid assets </w:t>
            </w:r>
          </w:p>
          <w:p w:rsidR="001965A1" w:rsidRDefault="001965A1" w:rsidP="00BC43F3">
            <w:pPr>
              <w:pStyle w:val="InstructionsText"/>
              <w:rPr>
                <w:rStyle w:val="InstructionsTabelleberschrift"/>
                <w:b w:val="0"/>
                <w:u w:val="none"/>
              </w:rPr>
            </w:pPr>
          </w:p>
          <w:p w:rsidR="001965A1" w:rsidRDefault="001965A1" w:rsidP="00BC43F3">
            <w:pPr>
              <w:pStyle w:val="InstructionsText"/>
              <w:rPr>
                <w:rStyle w:val="FormatvorlageInstructionsTabelleText"/>
                <w:b/>
              </w:rPr>
            </w:pPr>
            <w:r w:rsidRPr="00B37090">
              <w:rPr>
                <w:rStyle w:val="InstructionsTabelleberschrift"/>
                <w:b w:val="0"/>
                <w:u w:val="none"/>
              </w:rPr>
              <w:t>Arti</w:t>
            </w:r>
            <w:r>
              <w:rPr>
                <w:rStyle w:val="InstructionsTabelleberschrift"/>
                <w:b w:val="0"/>
                <w:u w:val="none"/>
              </w:rPr>
              <w:t>cle</w:t>
            </w:r>
            <w:r w:rsidRPr="00B37090">
              <w:rPr>
                <w:rStyle w:val="InstructionsTabelleberschrift"/>
                <w:b w:val="0"/>
                <w:u w:val="none"/>
              </w:rPr>
              <w:t xml:space="preserve"> 4</w:t>
            </w:r>
            <w:r>
              <w:rPr>
                <w:rStyle w:val="InstructionsTabelleberschrift"/>
                <w:b w:val="0"/>
                <w:u w:val="none"/>
              </w:rPr>
              <w:t>16(1)(c)(</w:t>
            </w:r>
            <w:proofErr w:type="spellStart"/>
            <w:r>
              <w:rPr>
                <w:rStyle w:val="InstructionsTabelleberschrift"/>
                <w:b w:val="0"/>
                <w:u w:val="none"/>
              </w:rPr>
              <w:t>i</w:t>
            </w:r>
            <w:proofErr w:type="spellEnd"/>
            <w:r>
              <w:rPr>
                <w:rStyle w:val="InstructionsTabelleberschrift"/>
                <w:b w:val="0"/>
                <w:u w:val="none"/>
              </w:rPr>
              <w:t>)</w:t>
            </w:r>
            <w:r w:rsidRPr="00B37090">
              <w:rPr>
                <w:rStyle w:val="InstructionsTabelleberschrift"/>
                <w:b w:val="0"/>
                <w:u w:val="none"/>
              </w:rPr>
              <w:t xml:space="preserve"> </w:t>
            </w:r>
            <w:r w:rsidR="00AA6BC0">
              <w:rPr>
                <w:rStyle w:val="InstructionsTabelleberschrift"/>
                <w:b w:val="0"/>
                <w:u w:val="none"/>
              </w:rPr>
              <w:t>REGULATION (EU) NO 575/2013</w:t>
            </w:r>
            <w:r w:rsidRPr="00B37090">
              <w:rPr>
                <w:rStyle w:val="InstructionsTabelleberschrift"/>
                <w:b w:val="0"/>
                <w:u w:val="none"/>
              </w:rPr>
              <w:t xml:space="preserve"> </w:t>
            </w:r>
          </w:p>
          <w:p w:rsidR="001965A1" w:rsidRDefault="001965A1" w:rsidP="00BC43F3">
            <w:pPr>
              <w:pStyle w:val="InstructionsText"/>
              <w:rPr>
                <w:rStyle w:val="InstructionsTabelleberschrift"/>
                <w:b w:val="0"/>
                <w:u w:val="none"/>
              </w:rPr>
            </w:pPr>
          </w:p>
        </w:tc>
      </w:tr>
      <w:tr w:rsidR="001965A1" w:rsidRPr="00B37090" w:rsidTr="00BC43F3">
        <w:tc>
          <w:tcPr>
            <w:tcW w:w="1412" w:type="dxa"/>
            <w:gridSpan w:val="2"/>
          </w:tcPr>
          <w:p w:rsidR="001965A1" w:rsidRDefault="003176DA">
            <w:pPr>
              <w:rPr>
                <w:rFonts w:cs="Arial"/>
                <w:sz w:val="16"/>
                <w:szCs w:val="16"/>
              </w:rPr>
            </w:pPr>
            <w:r>
              <w:rPr>
                <w:rFonts w:cs="Arial"/>
                <w:sz w:val="16"/>
                <w:szCs w:val="16"/>
              </w:rPr>
              <w:t>120</w:t>
            </w:r>
          </w:p>
        </w:tc>
        <w:tc>
          <w:tcPr>
            <w:tcW w:w="7371" w:type="dxa"/>
            <w:gridSpan w:val="3"/>
          </w:tcPr>
          <w:p w:rsidR="001965A1" w:rsidRDefault="00103CBB" w:rsidP="00BC43F3">
            <w:pPr>
              <w:pStyle w:val="InstructionsText"/>
              <w:rPr>
                <w:rStyle w:val="InstructionsTabelleberschrift"/>
              </w:rPr>
            </w:pPr>
            <w:r w:rsidRPr="00103CBB">
              <w:rPr>
                <w:rStyle w:val="InstructionsTabelleberschrift"/>
              </w:rPr>
              <w:t>1.2.2.1.1.1</w:t>
            </w:r>
            <w:r w:rsidR="00494E1C">
              <w:rPr>
                <w:rStyle w:val="InstructionsTabelleberschrift"/>
              </w:rPr>
              <w:t xml:space="preserve"> </w:t>
            </w:r>
            <w:r w:rsidR="001965A1">
              <w:rPr>
                <w:rStyle w:val="InstructionsTabelleberschrift"/>
              </w:rPr>
              <w:t xml:space="preserve">representing claims </w:t>
            </w:r>
          </w:p>
          <w:p w:rsidR="001965A1" w:rsidRDefault="001965A1" w:rsidP="00BC43F3">
            <w:pPr>
              <w:pStyle w:val="InstructionsText"/>
              <w:rPr>
                <w:rStyle w:val="InstructionsTabelleberschrift"/>
              </w:rPr>
            </w:pPr>
          </w:p>
          <w:p w:rsidR="001965A1" w:rsidRPr="0051259E" w:rsidRDefault="001965A1" w:rsidP="00BC43F3">
            <w:pPr>
              <w:pStyle w:val="InstructionsText"/>
              <w:rPr>
                <w:rStyle w:val="InstructionsTabelleberschrift"/>
                <w:b w:val="0"/>
                <w:u w:val="none"/>
              </w:rPr>
            </w:pPr>
            <w:r w:rsidRPr="004B3A13">
              <w:rPr>
                <w:rStyle w:val="InstructionsTabelleberschrift"/>
                <w:b w:val="0"/>
                <w:u w:val="none"/>
              </w:rPr>
              <w:t>Assets</w:t>
            </w:r>
            <w:r w:rsidRPr="0051259E">
              <w:rPr>
                <w:rStyle w:val="InstructionsTabelleberschrift"/>
                <w:b w:val="0"/>
                <w:u w:val="none"/>
              </w:rPr>
              <w:t xml:space="preserve"> </w:t>
            </w:r>
            <w:r w:rsidRPr="007F6686">
              <w:rPr>
                <w:rStyle w:val="InstructionsTabelleberschrift"/>
                <w:b w:val="0"/>
                <w:u w:val="none"/>
              </w:rPr>
              <w:t xml:space="preserve">specified in 1.3.1 </w:t>
            </w:r>
            <w:r w:rsidR="00406315">
              <w:rPr>
                <w:rStyle w:val="InstructionsTabelleberschrift"/>
                <w:b w:val="0"/>
                <w:u w:val="none"/>
              </w:rPr>
              <w:t xml:space="preserve">of the liquid assets template </w:t>
            </w:r>
            <w:r w:rsidRPr="007F6686">
              <w:rPr>
                <w:rStyle w:val="InstructionsTabelleberschrift"/>
                <w:b w:val="0"/>
                <w:u w:val="none"/>
              </w:rPr>
              <w:t>that represent claims on the above counterparties, according to Article 416(1)(c)(</w:t>
            </w:r>
            <w:proofErr w:type="spellStart"/>
            <w:r w:rsidRPr="007F6686">
              <w:rPr>
                <w:rStyle w:val="InstructionsTabelleberschrift"/>
                <w:b w:val="0"/>
                <w:u w:val="none"/>
              </w:rPr>
              <w:t>i</w:t>
            </w:r>
            <w:proofErr w:type="spellEnd"/>
            <w:r w:rsidRPr="007F6686">
              <w:rPr>
                <w:rStyle w:val="InstructionsTabelleberschrift"/>
                <w:b w:val="0"/>
                <w:u w:val="none"/>
              </w:rPr>
              <w:t xml:space="preserve">)  </w:t>
            </w:r>
          </w:p>
          <w:p w:rsidR="001965A1" w:rsidRDefault="001965A1" w:rsidP="00BC43F3">
            <w:pPr>
              <w:pStyle w:val="InstructionsText"/>
              <w:rPr>
                <w:rStyle w:val="InstructionsTabelleberschrift"/>
              </w:rPr>
            </w:pPr>
          </w:p>
        </w:tc>
      </w:tr>
      <w:tr w:rsidR="001965A1" w:rsidRPr="00B37090" w:rsidTr="00BC43F3">
        <w:tc>
          <w:tcPr>
            <w:tcW w:w="1412" w:type="dxa"/>
            <w:gridSpan w:val="2"/>
          </w:tcPr>
          <w:p w:rsidR="001965A1" w:rsidRDefault="003176DA">
            <w:pPr>
              <w:rPr>
                <w:rFonts w:cs="Arial"/>
                <w:sz w:val="16"/>
                <w:szCs w:val="16"/>
              </w:rPr>
            </w:pPr>
            <w:r>
              <w:rPr>
                <w:rFonts w:cs="Arial"/>
                <w:sz w:val="16"/>
                <w:szCs w:val="16"/>
              </w:rPr>
              <w:t>130</w:t>
            </w:r>
          </w:p>
        </w:tc>
        <w:tc>
          <w:tcPr>
            <w:tcW w:w="7371" w:type="dxa"/>
            <w:gridSpan w:val="3"/>
          </w:tcPr>
          <w:p w:rsidR="001965A1" w:rsidRDefault="00103CBB" w:rsidP="00BC43F3">
            <w:pPr>
              <w:pStyle w:val="InstructionsText"/>
              <w:rPr>
                <w:rStyle w:val="InstructionsTabelleberschrift"/>
              </w:rPr>
            </w:pPr>
            <w:r w:rsidRPr="00103CBB">
              <w:rPr>
                <w:rStyle w:val="InstructionsTabelleberschrift"/>
              </w:rPr>
              <w:t>1.2.2.1.1.2</w:t>
            </w:r>
            <w:r w:rsidR="00494E1C">
              <w:rPr>
                <w:rStyle w:val="InstructionsTabelleberschrift"/>
              </w:rPr>
              <w:t xml:space="preserve"> </w:t>
            </w:r>
            <w:r w:rsidR="001965A1">
              <w:rPr>
                <w:rStyle w:val="InstructionsTabelleberschrift"/>
              </w:rPr>
              <w:t xml:space="preserve">guaranteed by </w:t>
            </w:r>
          </w:p>
          <w:p w:rsidR="001965A1" w:rsidRDefault="001965A1" w:rsidP="00BC43F3">
            <w:pPr>
              <w:pStyle w:val="InstructionsText"/>
              <w:rPr>
                <w:rStyle w:val="InstructionsTabelleberschrift"/>
              </w:rPr>
            </w:pPr>
          </w:p>
          <w:p w:rsidR="001965A1" w:rsidRPr="0051259E" w:rsidRDefault="001965A1" w:rsidP="00BC43F3">
            <w:pPr>
              <w:pStyle w:val="InstructionsText"/>
              <w:rPr>
                <w:rStyle w:val="InstructionsTabelleberschrift"/>
                <w:b w:val="0"/>
                <w:u w:val="none"/>
              </w:rPr>
            </w:pPr>
            <w:r w:rsidRPr="004B3A13">
              <w:rPr>
                <w:rStyle w:val="InstructionsTabelleberschrift"/>
                <w:b w:val="0"/>
                <w:u w:val="none"/>
              </w:rPr>
              <w:t xml:space="preserve">Assets specified in 1.3.1 </w:t>
            </w:r>
            <w:r w:rsidR="00406315">
              <w:rPr>
                <w:rStyle w:val="InstructionsTabelleberschrift"/>
                <w:b w:val="0"/>
                <w:u w:val="none"/>
              </w:rPr>
              <w:t xml:space="preserve">of the liquid assets template </w:t>
            </w:r>
            <w:r w:rsidRPr="004B3A13">
              <w:rPr>
                <w:rStyle w:val="InstructionsTabelleberschrift"/>
                <w:b w:val="0"/>
                <w:u w:val="none"/>
              </w:rPr>
              <w:t xml:space="preserve">guaranteed by </w:t>
            </w:r>
            <w:r w:rsidRPr="004B3A13">
              <w:rPr>
                <w:rStyle w:val="InstructionsTabelleberschrift"/>
                <w:b w:val="0"/>
                <w:u w:val="none"/>
              </w:rPr>
              <w:lastRenderedPageBreak/>
              <w:t>the above counterparties, according to Article 416(1)(c)(</w:t>
            </w:r>
            <w:proofErr w:type="spellStart"/>
            <w:r w:rsidRPr="004B3A13">
              <w:rPr>
                <w:rStyle w:val="InstructionsTabelleberschrift"/>
                <w:b w:val="0"/>
                <w:u w:val="none"/>
              </w:rPr>
              <w:t>i</w:t>
            </w:r>
            <w:proofErr w:type="spellEnd"/>
            <w:r w:rsidRPr="004B3A13">
              <w:rPr>
                <w:rStyle w:val="InstructionsTabelleberschrift"/>
                <w:b w:val="0"/>
                <w:u w:val="none"/>
              </w:rPr>
              <w:t xml:space="preserve">)  </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BC43F3">
        <w:tc>
          <w:tcPr>
            <w:tcW w:w="1412" w:type="dxa"/>
            <w:gridSpan w:val="2"/>
            <w:shd w:val="clear" w:color="auto" w:fill="F2F2F2" w:themeFill="background1" w:themeFillShade="F2"/>
          </w:tcPr>
          <w:p w:rsidR="001965A1" w:rsidRDefault="003176DA">
            <w:pPr>
              <w:rPr>
                <w:rFonts w:cs="Arial"/>
                <w:sz w:val="16"/>
                <w:szCs w:val="16"/>
              </w:rPr>
            </w:pPr>
            <w:r>
              <w:rPr>
                <w:rFonts w:cs="Arial"/>
                <w:sz w:val="16"/>
                <w:szCs w:val="16"/>
              </w:rPr>
              <w:lastRenderedPageBreak/>
              <w:t>140-150</w:t>
            </w:r>
          </w:p>
        </w:tc>
        <w:tc>
          <w:tcPr>
            <w:tcW w:w="7371" w:type="dxa"/>
            <w:gridSpan w:val="3"/>
            <w:shd w:val="clear" w:color="auto" w:fill="F2F2F2" w:themeFill="background1" w:themeFillShade="F2"/>
          </w:tcPr>
          <w:p w:rsidR="001965A1" w:rsidRDefault="00103CBB" w:rsidP="00BC43F3">
            <w:pPr>
              <w:pStyle w:val="InstructionsText"/>
              <w:rPr>
                <w:rStyle w:val="InstructionsTabelleberschrift"/>
              </w:rPr>
            </w:pPr>
            <w:r w:rsidRPr="00494E1C">
              <w:rPr>
                <w:rStyle w:val="InstructionsTabelleberschrift"/>
              </w:rPr>
              <w:t>1.2.2.1.2</w:t>
            </w:r>
            <w:r w:rsidR="00494E1C">
              <w:rPr>
                <w:rStyle w:val="InstructionsTabelleberschrift"/>
              </w:rPr>
              <w:t xml:space="preserve"> </w:t>
            </w:r>
            <w:r w:rsidR="001965A1" w:rsidRPr="0052452E">
              <w:rPr>
                <w:rStyle w:val="InstructionsTabelleberschrift"/>
              </w:rPr>
              <w:t>transferable assets representing claims on or guaranteed by</w:t>
            </w:r>
            <w:r w:rsidR="001965A1">
              <w:rPr>
                <w:rStyle w:val="InstructionsTabelleberschrift"/>
              </w:rPr>
              <w:t xml:space="preserve"> </w:t>
            </w:r>
            <w:r w:rsidR="001965A1" w:rsidRPr="0052452E">
              <w:rPr>
                <w:rStyle w:val="InstructionsTabelleberschrift"/>
              </w:rPr>
              <w:t xml:space="preserve">central banks and non-central government public sector entities in the domestic currency of the central bank and public sector entity </w:t>
            </w:r>
          </w:p>
          <w:p w:rsidR="001965A1" w:rsidRDefault="001965A1" w:rsidP="00BC43F3">
            <w:pPr>
              <w:pStyle w:val="InstructionsText"/>
              <w:rPr>
                <w:rStyle w:val="InstructionsTabelleberschrift"/>
                <w:b w:val="0"/>
                <w:u w:val="none"/>
              </w:rPr>
            </w:pPr>
          </w:p>
          <w:p w:rsidR="001965A1" w:rsidRDefault="001965A1" w:rsidP="00BC43F3">
            <w:pPr>
              <w:pStyle w:val="InstructionsText"/>
              <w:rPr>
                <w:rStyle w:val="InstructionsTabelleberschrift"/>
                <w:b w:val="0"/>
                <w:u w:val="none"/>
              </w:rPr>
            </w:pPr>
          </w:p>
          <w:p w:rsidR="001965A1" w:rsidRDefault="001965A1" w:rsidP="00BC43F3">
            <w:pPr>
              <w:pStyle w:val="InstructionsText"/>
              <w:rPr>
                <w:rStyle w:val="FormatvorlageInstructionsTabelleText"/>
                <w:b/>
              </w:rPr>
            </w:pPr>
            <w:r w:rsidRPr="00B37090">
              <w:rPr>
                <w:rStyle w:val="InstructionsTabelleberschrift"/>
                <w:b w:val="0"/>
                <w:u w:val="none"/>
              </w:rPr>
              <w:t>Article 4</w:t>
            </w:r>
            <w:r>
              <w:rPr>
                <w:rStyle w:val="InstructionsTabelleberschrift"/>
                <w:b w:val="0"/>
                <w:u w:val="none"/>
              </w:rPr>
              <w:t>16(1)</w:t>
            </w:r>
            <w:r w:rsidRPr="00B37090">
              <w:rPr>
                <w:rStyle w:val="InstructionsTabelleberschrift"/>
                <w:b w:val="0"/>
                <w:u w:val="none"/>
              </w:rPr>
              <w:t>(c)</w:t>
            </w:r>
            <w:r>
              <w:rPr>
                <w:rStyle w:val="InstructionsTabelleberschrift"/>
                <w:b w:val="0"/>
                <w:u w:val="none"/>
              </w:rPr>
              <w:t>(ii)</w:t>
            </w:r>
            <w:r w:rsidRPr="00B37090">
              <w:rPr>
                <w:rStyle w:val="InstructionsTabelleberschrift"/>
                <w:b w:val="0"/>
                <w:u w:val="none"/>
              </w:rPr>
              <w:t xml:space="preserve"> </w:t>
            </w:r>
            <w:r w:rsidR="00AA6BC0">
              <w:rPr>
                <w:rStyle w:val="InstructionsTabelleberschrift"/>
                <w:b w:val="0"/>
                <w:u w:val="none"/>
              </w:rPr>
              <w:t>REGULATION (EU) NO 575/2013</w:t>
            </w:r>
            <w:r w:rsidRPr="00B37090">
              <w:rPr>
                <w:rStyle w:val="InstructionsTabelleberschrift"/>
                <w:b w:val="0"/>
                <w:u w:val="none"/>
              </w:rPr>
              <w:t xml:space="preserve"> </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b w:val="0"/>
                <w:u w:val="none"/>
              </w:rPr>
            </w:pPr>
          </w:p>
        </w:tc>
      </w:tr>
      <w:tr w:rsidR="001965A1" w:rsidRPr="00B37090" w:rsidTr="00BC43F3">
        <w:tc>
          <w:tcPr>
            <w:tcW w:w="1412" w:type="dxa"/>
            <w:gridSpan w:val="2"/>
          </w:tcPr>
          <w:p w:rsidR="001965A1" w:rsidRDefault="003176DA">
            <w:pPr>
              <w:rPr>
                <w:rFonts w:cs="Arial"/>
                <w:sz w:val="16"/>
                <w:szCs w:val="16"/>
              </w:rPr>
            </w:pPr>
            <w:r>
              <w:rPr>
                <w:rFonts w:cs="Arial"/>
                <w:sz w:val="16"/>
                <w:szCs w:val="16"/>
              </w:rPr>
              <w:t>140</w:t>
            </w:r>
          </w:p>
        </w:tc>
        <w:tc>
          <w:tcPr>
            <w:tcW w:w="7371" w:type="dxa"/>
            <w:gridSpan w:val="3"/>
          </w:tcPr>
          <w:p w:rsidR="001965A1" w:rsidRDefault="00103CBB" w:rsidP="00BC43F3">
            <w:pPr>
              <w:pStyle w:val="InstructionsText"/>
              <w:rPr>
                <w:rStyle w:val="InstructionsTabelleberschrift"/>
              </w:rPr>
            </w:pPr>
            <w:r w:rsidRPr="00494E1C">
              <w:rPr>
                <w:rStyle w:val="InstructionsTabelleberschrift"/>
              </w:rPr>
              <w:t>1.2.2.1.2.1</w:t>
            </w:r>
            <w:r w:rsidR="00494E1C">
              <w:rPr>
                <w:rStyle w:val="InstructionsTabelleberschrift"/>
              </w:rPr>
              <w:t xml:space="preserve"> </w:t>
            </w:r>
            <w:r w:rsidR="001965A1">
              <w:rPr>
                <w:rStyle w:val="InstructionsTabelleberschrift"/>
              </w:rPr>
              <w:t xml:space="preserve">representing claims </w:t>
            </w:r>
          </w:p>
          <w:p w:rsidR="001965A1" w:rsidRDefault="001965A1" w:rsidP="00BC43F3">
            <w:pPr>
              <w:pStyle w:val="InstructionsText"/>
              <w:rPr>
                <w:rStyle w:val="InstructionsTabelleberschrift"/>
              </w:rPr>
            </w:pPr>
          </w:p>
          <w:p w:rsidR="001965A1" w:rsidRPr="00F13994" w:rsidRDefault="001965A1" w:rsidP="00BC43F3">
            <w:pPr>
              <w:pStyle w:val="InstructionsText"/>
              <w:rPr>
                <w:rStyle w:val="InstructionsTabelleberschrift"/>
                <w:b w:val="0"/>
                <w:u w:val="none"/>
              </w:rPr>
            </w:pPr>
            <w:r>
              <w:rPr>
                <w:rStyle w:val="InstructionsTabelleberschrift"/>
                <w:b w:val="0"/>
                <w:u w:val="none"/>
              </w:rPr>
              <w:t>Assets specified in 1.3.2</w:t>
            </w:r>
            <w:r w:rsidR="00406315">
              <w:rPr>
                <w:rStyle w:val="InstructionsTabelleberschrift"/>
                <w:b w:val="0"/>
                <w:u w:val="none"/>
              </w:rPr>
              <w:t xml:space="preserve"> of the liquid assets template</w:t>
            </w:r>
            <w:r>
              <w:rPr>
                <w:rStyle w:val="InstructionsTabelleberschrift"/>
                <w:b w:val="0"/>
                <w:u w:val="none"/>
              </w:rPr>
              <w:t xml:space="preserve"> that represent claims on the above counterparties, according to Article 416(1)(c)(ii)  </w:t>
            </w:r>
          </w:p>
          <w:p w:rsidR="001965A1" w:rsidRDefault="001965A1" w:rsidP="00BC43F3">
            <w:pPr>
              <w:pStyle w:val="InstructionsText"/>
              <w:rPr>
                <w:rStyle w:val="InstructionsTabelleberschrift"/>
              </w:rPr>
            </w:pPr>
          </w:p>
        </w:tc>
      </w:tr>
      <w:tr w:rsidR="001965A1" w:rsidRPr="00B37090" w:rsidTr="00BC43F3">
        <w:tc>
          <w:tcPr>
            <w:tcW w:w="1412" w:type="dxa"/>
            <w:gridSpan w:val="2"/>
          </w:tcPr>
          <w:p w:rsidR="001965A1" w:rsidRDefault="003176DA">
            <w:pPr>
              <w:rPr>
                <w:rFonts w:cs="Arial"/>
                <w:sz w:val="16"/>
                <w:szCs w:val="16"/>
              </w:rPr>
            </w:pPr>
            <w:r>
              <w:rPr>
                <w:rFonts w:cs="Arial"/>
                <w:sz w:val="16"/>
                <w:szCs w:val="16"/>
              </w:rPr>
              <w:t>150</w:t>
            </w:r>
          </w:p>
        </w:tc>
        <w:tc>
          <w:tcPr>
            <w:tcW w:w="7371" w:type="dxa"/>
            <w:gridSpan w:val="3"/>
          </w:tcPr>
          <w:p w:rsidR="001965A1" w:rsidRDefault="00103CBB" w:rsidP="00BC43F3">
            <w:pPr>
              <w:pStyle w:val="InstructionsText"/>
              <w:rPr>
                <w:rStyle w:val="InstructionsTabelleberschrift"/>
              </w:rPr>
            </w:pPr>
            <w:r w:rsidRPr="00494E1C">
              <w:rPr>
                <w:rStyle w:val="InstructionsTabelleberschrift"/>
              </w:rPr>
              <w:t>1.2.2.1.2.2</w:t>
            </w:r>
            <w:r w:rsidR="00494E1C">
              <w:rPr>
                <w:rStyle w:val="InstructionsTabelleberschrift"/>
              </w:rPr>
              <w:t xml:space="preserve"> </w:t>
            </w:r>
            <w:r w:rsidR="001965A1">
              <w:rPr>
                <w:rStyle w:val="InstructionsTabelleberschrift"/>
              </w:rPr>
              <w:t xml:space="preserve">guaranteed by </w:t>
            </w:r>
          </w:p>
          <w:p w:rsidR="001965A1" w:rsidRDefault="001965A1" w:rsidP="00BC43F3">
            <w:pPr>
              <w:pStyle w:val="InstructionsText"/>
              <w:rPr>
                <w:rStyle w:val="InstructionsTabelleberschrift"/>
              </w:rPr>
            </w:pPr>
          </w:p>
          <w:p w:rsidR="001965A1" w:rsidRPr="00F13994" w:rsidRDefault="001965A1" w:rsidP="00BC43F3">
            <w:pPr>
              <w:pStyle w:val="InstructionsText"/>
              <w:rPr>
                <w:rStyle w:val="InstructionsTabelleberschrift"/>
                <w:b w:val="0"/>
                <w:u w:val="none"/>
              </w:rPr>
            </w:pPr>
            <w:r>
              <w:rPr>
                <w:rStyle w:val="InstructionsTabelleberschrift"/>
                <w:b w:val="0"/>
                <w:u w:val="none"/>
              </w:rPr>
              <w:t xml:space="preserve">Assets specified in 1.3.2 </w:t>
            </w:r>
            <w:r w:rsidR="00406315">
              <w:rPr>
                <w:rStyle w:val="InstructionsTabelleberschrift"/>
                <w:b w:val="0"/>
                <w:u w:val="none"/>
              </w:rPr>
              <w:t xml:space="preserve">of the liquid assets template </w:t>
            </w:r>
            <w:r>
              <w:rPr>
                <w:rStyle w:val="InstructionsTabelleberschrift"/>
                <w:b w:val="0"/>
                <w:u w:val="none"/>
              </w:rPr>
              <w:t xml:space="preserve">guaranteed by the above counterparties, according to Article 416(1)(c)(ii)  </w:t>
            </w:r>
          </w:p>
          <w:p w:rsidR="001965A1" w:rsidRDefault="001965A1" w:rsidP="00BC43F3">
            <w:pPr>
              <w:pStyle w:val="InstructionsText"/>
              <w:rPr>
                <w:rStyle w:val="InstructionsTabelleberschrift"/>
              </w:rPr>
            </w:pPr>
          </w:p>
        </w:tc>
      </w:tr>
      <w:tr w:rsidR="001965A1" w:rsidRPr="00B37090" w:rsidTr="00BC43F3">
        <w:tc>
          <w:tcPr>
            <w:tcW w:w="1412" w:type="dxa"/>
            <w:gridSpan w:val="2"/>
            <w:shd w:val="clear" w:color="auto" w:fill="FFFFFF" w:themeFill="background1"/>
          </w:tcPr>
          <w:p w:rsidR="001965A1" w:rsidRDefault="008B1FC2">
            <w:pPr>
              <w:rPr>
                <w:rFonts w:cs="Arial"/>
                <w:sz w:val="16"/>
                <w:szCs w:val="16"/>
              </w:rPr>
            </w:pPr>
            <w:r>
              <w:rPr>
                <w:rFonts w:cs="Arial"/>
                <w:sz w:val="16"/>
                <w:szCs w:val="16"/>
              </w:rPr>
              <w:t>160-170</w:t>
            </w:r>
          </w:p>
        </w:tc>
        <w:tc>
          <w:tcPr>
            <w:tcW w:w="7371" w:type="dxa"/>
            <w:gridSpan w:val="3"/>
            <w:shd w:val="clear" w:color="auto" w:fill="FFFFFF" w:themeFill="background1"/>
          </w:tcPr>
          <w:p w:rsidR="001965A1" w:rsidRDefault="00103CBB" w:rsidP="00BC43F3">
            <w:pPr>
              <w:pStyle w:val="InstructionsText"/>
              <w:rPr>
                <w:rStyle w:val="InstructionsTabelleberschrift"/>
              </w:rPr>
            </w:pPr>
            <w:r w:rsidRPr="00494E1C">
              <w:rPr>
                <w:rStyle w:val="InstructionsTabelleberschrift"/>
              </w:rPr>
              <w:t>1.2.2.1.3</w:t>
            </w:r>
            <w:r w:rsidR="00494E1C">
              <w:rPr>
                <w:rStyle w:val="InstructionsTabelleberschrift"/>
              </w:rPr>
              <w:t xml:space="preserve"> </w:t>
            </w:r>
            <w:r w:rsidR="001965A1" w:rsidRPr="00A42447">
              <w:rPr>
                <w:rStyle w:val="InstructionsTabelleberschrift"/>
              </w:rPr>
              <w:t>transferable assets representing claims on or guaranteed by</w:t>
            </w:r>
            <w:r w:rsidR="001965A1" w:rsidRPr="00A42447">
              <w:rPr>
                <w:rStyle w:val="InstructionsTabelleberschrift"/>
              </w:rPr>
              <w:br/>
              <w:t>the Bank for International Settlements, the International Monetary Fund, the Commission and multilateral develo</w:t>
            </w:r>
            <w:r w:rsidR="001965A1">
              <w:rPr>
                <w:rStyle w:val="InstructionsTabelleberschrift"/>
              </w:rPr>
              <w:t>pment</w:t>
            </w:r>
            <w:r w:rsidR="001965A1" w:rsidRPr="00A42447">
              <w:rPr>
                <w:rStyle w:val="InstructionsTabelleberschrift"/>
              </w:rPr>
              <w:t xml:space="preserve"> banks.</w:t>
            </w:r>
          </w:p>
          <w:p w:rsidR="001965A1" w:rsidRDefault="001965A1" w:rsidP="00BC43F3">
            <w:pPr>
              <w:pStyle w:val="InstructionsText"/>
              <w:rPr>
                <w:rStyle w:val="InstructionsTabelleberschrift"/>
                <w:lang w:val="en-US"/>
              </w:rPr>
            </w:pPr>
          </w:p>
          <w:p w:rsidR="001965A1" w:rsidRDefault="001965A1" w:rsidP="00BC43F3">
            <w:pPr>
              <w:pStyle w:val="InstructionsText"/>
              <w:rPr>
                <w:rStyle w:val="FormatvorlageInstructionsTabelleText"/>
                <w:b/>
                <w:lang w:val="en-US"/>
              </w:rPr>
            </w:pPr>
            <w:r w:rsidRPr="00B37090">
              <w:rPr>
                <w:rStyle w:val="InstructionsTabelleberschrift"/>
                <w:b w:val="0"/>
                <w:u w:val="none"/>
              </w:rPr>
              <w:t>Article 4</w:t>
            </w:r>
            <w:r>
              <w:rPr>
                <w:rStyle w:val="InstructionsTabelleberschrift"/>
                <w:b w:val="0"/>
                <w:u w:val="none"/>
              </w:rPr>
              <w:t>16(1)</w:t>
            </w:r>
            <w:r w:rsidRPr="00B37090">
              <w:rPr>
                <w:rStyle w:val="InstructionsTabelleberschrift"/>
                <w:b w:val="0"/>
                <w:u w:val="none"/>
              </w:rPr>
              <w:t>(c)</w:t>
            </w:r>
            <w:r>
              <w:rPr>
                <w:rStyle w:val="InstructionsTabelleberschrift"/>
                <w:b w:val="0"/>
                <w:u w:val="none"/>
              </w:rPr>
              <w:t>(iii)</w:t>
            </w:r>
            <w:r w:rsidRPr="00B37090">
              <w:rPr>
                <w:rStyle w:val="InstructionsTabelleberschrift"/>
                <w:b w:val="0"/>
                <w:u w:val="none"/>
              </w:rPr>
              <w:t xml:space="preserve"> </w:t>
            </w:r>
            <w:r w:rsidR="00AA6BC0">
              <w:rPr>
                <w:rStyle w:val="InstructionsTabelleberschrift"/>
                <w:b w:val="0"/>
                <w:u w:val="none"/>
              </w:rPr>
              <w:t>REGULATION (EU) NO 575/2013</w:t>
            </w:r>
            <w:r w:rsidRPr="00B37090">
              <w:rPr>
                <w:rStyle w:val="InstructionsTabelleberschrift"/>
                <w:b w:val="0"/>
                <w:u w:val="none"/>
              </w:rPr>
              <w:t xml:space="preserve"> </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C652C1">
        <w:tc>
          <w:tcPr>
            <w:tcW w:w="1412" w:type="dxa"/>
            <w:gridSpan w:val="2"/>
            <w:shd w:val="clear" w:color="auto" w:fill="FFFFFF" w:themeFill="background1"/>
          </w:tcPr>
          <w:p w:rsidR="001965A1" w:rsidRDefault="008B1FC2">
            <w:pPr>
              <w:rPr>
                <w:rFonts w:cs="Arial"/>
                <w:sz w:val="16"/>
                <w:szCs w:val="16"/>
              </w:rPr>
            </w:pPr>
            <w:r>
              <w:rPr>
                <w:rFonts w:cs="Arial"/>
                <w:sz w:val="16"/>
                <w:szCs w:val="16"/>
              </w:rPr>
              <w:t>160</w:t>
            </w:r>
          </w:p>
        </w:tc>
        <w:tc>
          <w:tcPr>
            <w:tcW w:w="7371" w:type="dxa"/>
            <w:gridSpan w:val="3"/>
            <w:shd w:val="clear" w:color="auto" w:fill="FFFFFF" w:themeFill="background1"/>
          </w:tcPr>
          <w:p w:rsidR="001965A1" w:rsidRDefault="00103CBB" w:rsidP="00BC43F3">
            <w:pPr>
              <w:pStyle w:val="InstructionsText"/>
              <w:rPr>
                <w:rStyle w:val="InstructionsTabelleberschrift"/>
                <w:lang w:val="en-US"/>
              </w:rPr>
            </w:pPr>
            <w:r w:rsidRPr="00494E1C">
              <w:rPr>
                <w:rStyle w:val="InstructionsTabelleberschrift"/>
              </w:rPr>
              <w:t>1.2.2.1.3.1</w:t>
            </w:r>
            <w:r w:rsidR="00494E1C">
              <w:rPr>
                <w:rStyle w:val="InstructionsTabelleberschrift"/>
              </w:rPr>
              <w:t xml:space="preserve"> </w:t>
            </w:r>
            <w:r w:rsidR="001965A1" w:rsidRPr="004B3A13">
              <w:rPr>
                <w:rStyle w:val="InstructionsTabelleberschrift"/>
              </w:rPr>
              <w:t>representing claims</w:t>
            </w:r>
          </w:p>
          <w:p w:rsidR="001965A1" w:rsidRDefault="001965A1" w:rsidP="00BC43F3">
            <w:pPr>
              <w:pStyle w:val="InstructionsText"/>
              <w:rPr>
                <w:rStyle w:val="InstructionsTabelleberschrift"/>
                <w:lang w:val="en-US"/>
              </w:rPr>
            </w:pPr>
          </w:p>
          <w:p w:rsidR="001965A1" w:rsidRDefault="001965A1" w:rsidP="00BC43F3">
            <w:pPr>
              <w:pStyle w:val="InstructionsText"/>
              <w:rPr>
                <w:rStyle w:val="InstructionsTabelleberschrift"/>
                <w:b w:val="0"/>
                <w:u w:val="none"/>
                <w:lang w:val="en-US"/>
              </w:rPr>
            </w:pPr>
            <w:r w:rsidRPr="004B3A13">
              <w:rPr>
                <w:rStyle w:val="InstructionsTabelleberschrift"/>
                <w:b w:val="0"/>
                <w:u w:val="none"/>
              </w:rPr>
              <w:t xml:space="preserve">Assets specified in 1.3.3 </w:t>
            </w:r>
            <w:r w:rsidR="00406315">
              <w:rPr>
                <w:rStyle w:val="InstructionsTabelleberschrift"/>
                <w:b w:val="0"/>
                <w:u w:val="none"/>
              </w:rPr>
              <w:t xml:space="preserve">of the liquid assets template </w:t>
            </w:r>
            <w:r w:rsidRPr="004B3A13">
              <w:rPr>
                <w:rStyle w:val="InstructionsTabelleberschrift"/>
                <w:b w:val="0"/>
                <w:u w:val="none"/>
              </w:rPr>
              <w:t xml:space="preserve">that represent claims on the above counterparties, according to Article 416(1)(c)(iii)  </w:t>
            </w:r>
          </w:p>
          <w:p w:rsidR="001965A1" w:rsidRDefault="001965A1" w:rsidP="00BC43F3">
            <w:pPr>
              <w:pStyle w:val="InstructionsText"/>
              <w:rPr>
                <w:rStyle w:val="InstructionsTabelleberschrift"/>
                <w:lang w:val="en-US"/>
              </w:rPr>
            </w:pPr>
          </w:p>
        </w:tc>
      </w:tr>
      <w:tr w:rsidR="001965A1" w:rsidRPr="00B37090" w:rsidTr="00C652C1">
        <w:tc>
          <w:tcPr>
            <w:tcW w:w="1412" w:type="dxa"/>
            <w:gridSpan w:val="2"/>
            <w:shd w:val="clear" w:color="auto" w:fill="FFFFFF" w:themeFill="background1"/>
          </w:tcPr>
          <w:p w:rsidR="001965A1" w:rsidRDefault="008B1FC2">
            <w:pPr>
              <w:rPr>
                <w:rFonts w:cs="Arial"/>
                <w:sz w:val="16"/>
                <w:szCs w:val="16"/>
              </w:rPr>
            </w:pPr>
            <w:r>
              <w:rPr>
                <w:rFonts w:cs="Arial"/>
                <w:sz w:val="16"/>
                <w:szCs w:val="16"/>
              </w:rPr>
              <w:t>170</w:t>
            </w:r>
          </w:p>
        </w:tc>
        <w:tc>
          <w:tcPr>
            <w:tcW w:w="7371" w:type="dxa"/>
            <w:gridSpan w:val="3"/>
            <w:shd w:val="clear" w:color="auto" w:fill="FFFFFF" w:themeFill="background1"/>
          </w:tcPr>
          <w:p w:rsidR="001965A1" w:rsidRDefault="00103CBB" w:rsidP="00BC43F3">
            <w:pPr>
              <w:pStyle w:val="InstructionsText"/>
              <w:rPr>
                <w:rStyle w:val="InstructionsTabelleberschrift"/>
                <w:lang w:val="en-US"/>
              </w:rPr>
            </w:pPr>
            <w:r w:rsidRPr="00494E1C">
              <w:rPr>
                <w:rStyle w:val="InstructionsTabelleberschrift"/>
              </w:rPr>
              <w:t>1.2.2.1.3.2</w:t>
            </w:r>
            <w:r w:rsidR="00494E1C">
              <w:rPr>
                <w:rStyle w:val="InstructionsTabelleberschrift"/>
              </w:rPr>
              <w:t xml:space="preserve"> </w:t>
            </w:r>
            <w:r w:rsidR="001965A1" w:rsidRPr="004B3A13">
              <w:rPr>
                <w:rStyle w:val="InstructionsTabelleberschrift"/>
              </w:rPr>
              <w:t xml:space="preserve">guaranteed by </w:t>
            </w:r>
          </w:p>
          <w:p w:rsidR="001965A1" w:rsidRDefault="001965A1" w:rsidP="00BC43F3">
            <w:pPr>
              <w:pStyle w:val="InstructionsText"/>
              <w:rPr>
                <w:rStyle w:val="InstructionsTabelleberschrift"/>
                <w:lang w:val="en-US"/>
              </w:rPr>
            </w:pPr>
          </w:p>
          <w:p w:rsidR="001965A1" w:rsidRPr="00F13994" w:rsidRDefault="001965A1" w:rsidP="00BC43F3">
            <w:pPr>
              <w:pStyle w:val="InstructionsText"/>
              <w:rPr>
                <w:rStyle w:val="InstructionsTabelleberschrift"/>
                <w:b w:val="0"/>
                <w:u w:val="none"/>
              </w:rPr>
            </w:pPr>
            <w:r>
              <w:rPr>
                <w:rStyle w:val="InstructionsTabelleberschrift"/>
                <w:b w:val="0"/>
                <w:u w:val="none"/>
              </w:rPr>
              <w:t xml:space="preserve">Assets specified in 1.3.3 </w:t>
            </w:r>
            <w:r w:rsidR="002B792C">
              <w:rPr>
                <w:rStyle w:val="InstructionsTabelleberschrift"/>
                <w:b w:val="0"/>
                <w:u w:val="none"/>
              </w:rPr>
              <w:t xml:space="preserve">of the liquid assets template </w:t>
            </w:r>
            <w:r>
              <w:rPr>
                <w:rStyle w:val="InstructionsTabelleberschrift"/>
                <w:b w:val="0"/>
                <w:u w:val="none"/>
              </w:rPr>
              <w:t xml:space="preserve">guaranteed by the above counterparties, according to Article 416(1)(c)(iii)  </w:t>
            </w:r>
          </w:p>
          <w:p w:rsidR="001965A1" w:rsidRPr="00F13994" w:rsidRDefault="001965A1" w:rsidP="00BC43F3">
            <w:pPr>
              <w:pStyle w:val="InstructionsText"/>
              <w:rPr>
                <w:rStyle w:val="InstructionsTabelleberschrift"/>
                <w:b w:val="0"/>
                <w:u w:val="none"/>
              </w:rPr>
            </w:pPr>
          </w:p>
          <w:p w:rsidR="001965A1" w:rsidRDefault="001965A1" w:rsidP="00BC43F3">
            <w:pPr>
              <w:pStyle w:val="InstructionsText"/>
              <w:rPr>
                <w:rStyle w:val="InstructionsTabelleberschrift"/>
                <w:lang w:val="en-US"/>
              </w:rPr>
            </w:pPr>
          </w:p>
        </w:tc>
      </w:tr>
      <w:tr w:rsidR="001965A1" w:rsidRPr="005B059A" w:rsidTr="00C652C1">
        <w:tc>
          <w:tcPr>
            <w:tcW w:w="1412" w:type="dxa"/>
            <w:gridSpan w:val="2"/>
            <w:tcBorders>
              <w:bottom w:val="single" w:sz="4" w:space="0" w:color="auto"/>
            </w:tcBorders>
            <w:shd w:val="clear" w:color="auto" w:fill="E6E6E6"/>
          </w:tcPr>
          <w:p w:rsidR="001965A1" w:rsidRDefault="008B1FC2">
            <w:pPr>
              <w:rPr>
                <w:rFonts w:cs="Arial"/>
                <w:sz w:val="16"/>
                <w:szCs w:val="16"/>
              </w:rPr>
            </w:pPr>
            <w:r>
              <w:rPr>
                <w:rFonts w:cs="Arial"/>
                <w:sz w:val="16"/>
                <w:szCs w:val="16"/>
              </w:rPr>
              <w:t>180-190</w:t>
            </w:r>
          </w:p>
        </w:tc>
        <w:tc>
          <w:tcPr>
            <w:tcW w:w="7371" w:type="dxa"/>
            <w:gridSpan w:val="3"/>
            <w:tcBorders>
              <w:bottom w:val="single" w:sz="4" w:space="0" w:color="auto"/>
            </w:tcBorders>
            <w:shd w:val="clear" w:color="auto" w:fill="E6E6E6"/>
          </w:tcPr>
          <w:p w:rsidR="001965A1" w:rsidRDefault="00103CBB" w:rsidP="00BC43F3">
            <w:pPr>
              <w:pStyle w:val="InstructionsText"/>
              <w:rPr>
                <w:rStyle w:val="InstructionsTabelleberschrift"/>
                <w:lang w:val="en-US"/>
              </w:rPr>
            </w:pPr>
            <w:r w:rsidRPr="00494E1C">
              <w:rPr>
                <w:rStyle w:val="InstructionsTabelleberschrift"/>
              </w:rPr>
              <w:t>1.2.2.1.4</w:t>
            </w:r>
            <w:r w:rsidR="00494E1C">
              <w:rPr>
                <w:rStyle w:val="InstructionsTabelleberschrift"/>
              </w:rPr>
              <w:t xml:space="preserve"> </w:t>
            </w:r>
            <w:r w:rsidR="001965A1" w:rsidRPr="00494E1C">
              <w:rPr>
                <w:rStyle w:val="InstructionsTabelleberschrift"/>
              </w:rPr>
              <w:t>transferable</w:t>
            </w:r>
            <w:r w:rsidR="001965A1" w:rsidRPr="007F6686">
              <w:rPr>
                <w:rStyle w:val="InstructionsTabelleberschrift"/>
                <w:lang w:val="en-US"/>
              </w:rPr>
              <w:t xml:space="preserve"> assets representing claims on or guaranteed by the European Financial Stability Facility and the European Stability Mechanism</w:t>
            </w:r>
          </w:p>
          <w:p w:rsidR="001965A1" w:rsidRDefault="001965A1" w:rsidP="00BC43F3">
            <w:pPr>
              <w:pStyle w:val="InstructionsText"/>
              <w:rPr>
                <w:rStyle w:val="InstructionsTabelleberschrift"/>
                <w:lang w:val="en-US"/>
              </w:rPr>
            </w:pPr>
          </w:p>
          <w:p w:rsidR="001965A1" w:rsidRDefault="001965A1" w:rsidP="00BC43F3">
            <w:pPr>
              <w:pStyle w:val="InstructionsText"/>
              <w:rPr>
                <w:rStyle w:val="InstructionsTabelleberschrift"/>
                <w:b w:val="0"/>
                <w:u w:val="none"/>
                <w:lang w:val="en-US"/>
              </w:rPr>
            </w:pPr>
            <w:r w:rsidRPr="004B3A13">
              <w:rPr>
                <w:rStyle w:val="InstructionsTabelleberschrift"/>
                <w:b w:val="0"/>
                <w:u w:val="none"/>
              </w:rPr>
              <w:t xml:space="preserve">Article 416(1)(c)(iv) </w:t>
            </w:r>
            <w:r w:rsidR="00AA6BC0">
              <w:rPr>
                <w:rStyle w:val="InstructionsTabelleberschrift"/>
                <w:b w:val="0"/>
                <w:u w:val="none"/>
              </w:rPr>
              <w:t>REGULATION (EU) NO 575/2013</w:t>
            </w:r>
            <w:r w:rsidRPr="004B3A13">
              <w:rPr>
                <w:rStyle w:val="InstructionsTabelleberschrift"/>
                <w:b w:val="0"/>
                <w:u w:val="none"/>
              </w:rPr>
              <w:t xml:space="preserve"> </w:t>
            </w:r>
          </w:p>
          <w:p w:rsidR="001965A1" w:rsidRPr="0051259E" w:rsidRDefault="001965A1" w:rsidP="00BC43F3">
            <w:pPr>
              <w:pStyle w:val="InstructionsText"/>
              <w:rPr>
                <w:rStyle w:val="InstructionsTabelleberschrift"/>
                <w:b w:val="0"/>
                <w:u w:val="none"/>
              </w:rPr>
            </w:pPr>
          </w:p>
          <w:p w:rsidR="001965A1" w:rsidRPr="0051259E" w:rsidRDefault="001965A1" w:rsidP="00BC43F3">
            <w:pPr>
              <w:pStyle w:val="InstructionsText"/>
              <w:rPr>
                <w:rStyle w:val="InstructionsTabelleberschrift"/>
                <w:b w:val="0"/>
              </w:rPr>
            </w:pPr>
          </w:p>
          <w:p w:rsidR="001965A1" w:rsidRPr="0051259E" w:rsidRDefault="001965A1" w:rsidP="00BC43F3">
            <w:pPr>
              <w:pStyle w:val="InstructionsText"/>
              <w:rPr>
                <w:rStyle w:val="InstructionsTabelleberschrift"/>
              </w:rPr>
            </w:pPr>
          </w:p>
        </w:tc>
      </w:tr>
      <w:tr w:rsidR="001965A1" w:rsidRPr="005B059A" w:rsidTr="00C652C1">
        <w:tc>
          <w:tcPr>
            <w:tcW w:w="1412" w:type="dxa"/>
            <w:gridSpan w:val="2"/>
            <w:shd w:val="clear" w:color="auto" w:fill="auto"/>
          </w:tcPr>
          <w:p w:rsidR="001965A1" w:rsidRDefault="008B1FC2">
            <w:pPr>
              <w:rPr>
                <w:rFonts w:cs="Arial"/>
                <w:sz w:val="16"/>
                <w:szCs w:val="16"/>
              </w:rPr>
            </w:pPr>
            <w:r>
              <w:rPr>
                <w:rFonts w:cs="Arial"/>
                <w:sz w:val="16"/>
                <w:szCs w:val="16"/>
              </w:rPr>
              <w:t>180</w:t>
            </w:r>
          </w:p>
        </w:tc>
        <w:tc>
          <w:tcPr>
            <w:tcW w:w="7371" w:type="dxa"/>
            <w:gridSpan w:val="3"/>
            <w:shd w:val="clear" w:color="auto" w:fill="auto"/>
          </w:tcPr>
          <w:p w:rsidR="001965A1" w:rsidRDefault="00103CBB" w:rsidP="00BC43F3">
            <w:pPr>
              <w:pStyle w:val="InstructionsText"/>
              <w:rPr>
                <w:rStyle w:val="InstructionsTabelleberschrift"/>
              </w:rPr>
            </w:pPr>
            <w:r w:rsidRPr="00494E1C">
              <w:rPr>
                <w:rStyle w:val="InstructionsTabelleberschrift"/>
              </w:rPr>
              <w:t>1.2.2.1.4.</w:t>
            </w:r>
            <w:r w:rsidR="008B1FC2">
              <w:rPr>
                <w:rStyle w:val="InstructionsTabelleberschrift"/>
              </w:rPr>
              <w:t>1</w:t>
            </w:r>
            <w:r w:rsidR="00494E1C">
              <w:rPr>
                <w:rStyle w:val="InstructionsTabelleberschrift"/>
              </w:rPr>
              <w:t xml:space="preserve"> </w:t>
            </w:r>
            <w:r w:rsidR="001965A1">
              <w:rPr>
                <w:rStyle w:val="InstructionsTabelleberschrift"/>
              </w:rPr>
              <w:t xml:space="preserve">representing claims </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p w:rsidR="001965A1" w:rsidRPr="00F13994" w:rsidRDefault="001965A1" w:rsidP="00BC43F3">
            <w:pPr>
              <w:pStyle w:val="InstructionsText"/>
              <w:rPr>
                <w:rStyle w:val="InstructionsTabelleberschrift"/>
                <w:b w:val="0"/>
                <w:u w:val="none"/>
              </w:rPr>
            </w:pPr>
            <w:r>
              <w:rPr>
                <w:rStyle w:val="InstructionsTabelleberschrift"/>
                <w:b w:val="0"/>
                <w:u w:val="none"/>
              </w:rPr>
              <w:t xml:space="preserve">Assets specified in 1.3.4 </w:t>
            </w:r>
            <w:r w:rsidR="00062612">
              <w:rPr>
                <w:rStyle w:val="InstructionsTabelleberschrift"/>
                <w:b w:val="0"/>
                <w:u w:val="none"/>
              </w:rPr>
              <w:t xml:space="preserve">of the liquid assets template </w:t>
            </w:r>
            <w:r>
              <w:rPr>
                <w:rStyle w:val="InstructionsTabelleberschrift"/>
                <w:b w:val="0"/>
                <w:u w:val="none"/>
              </w:rPr>
              <w:t xml:space="preserve">that represent claims on the above counterparties, according to Article 416(1)(c)(iv) </w:t>
            </w:r>
          </w:p>
          <w:p w:rsidR="001965A1" w:rsidRPr="0051259E" w:rsidRDefault="001965A1" w:rsidP="00BC43F3">
            <w:pPr>
              <w:pStyle w:val="InstructionsText"/>
              <w:rPr>
                <w:rStyle w:val="InstructionsTabelleberschrift"/>
                <w:b w:val="0"/>
              </w:rPr>
            </w:pPr>
          </w:p>
        </w:tc>
      </w:tr>
      <w:tr w:rsidR="001965A1" w:rsidRPr="00097A61" w:rsidTr="00C652C1">
        <w:tc>
          <w:tcPr>
            <w:tcW w:w="1412" w:type="dxa"/>
            <w:gridSpan w:val="2"/>
            <w:shd w:val="clear" w:color="auto" w:fill="auto"/>
          </w:tcPr>
          <w:p w:rsidR="001965A1" w:rsidRDefault="008B1FC2">
            <w:pPr>
              <w:rPr>
                <w:rFonts w:cs="Arial"/>
                <w:sz w:val="16"/>
                <w:szCs w:val="16"/>
              </w:rPr>
            </w:pPr>
            <w:r>
              <w:rPr>
                <w:rFonts w:cs="Arial"/>
                <w:sz w:val="16"/>
                <w:szCs w:val="16"/>
              </w:rPr>
              <w:lastRenderedPageBreak/>
              <w:t>190</w:t>
            </w:r>
          </w:p>
        </w:tc>
        <w:tc>
          <w:tcPr>
            <w:tcW w:w="7371" w:type="dxa"/>
            <w:gridSpan w:val="3"/>
            <w:shd w:val="clear" w:color="auto" w:fill="auto"/>
            <w:vAlign w:val="center"/>
          </w:tcPr>
          <w:p w:rsidR="001965A1" w:rsidRDefault="00103CBB" w:rsidP="00BC43F3">
            <w:pPr>
              <w:pStyle w:val="InstructionsText"/>
              <w:rPr>
                <w:rStyle w:val="InstructionsTabelleberschrift"/>
              </w:rPr>
            </w:pPr>
            <w:r w:rsidRPr="00494E1C">
              <w:rPr>
                <w:rStyle w:val="InstructionsTabelleberschrift"/>
              </w:rPr>
              <w:t>1.2.2.1.4.2</w:t>
            </w:r>
            <w:r w:rsidR="00494E1C">
              <w:rPr>
                <w:rStyle w:val="InstructionsTabelleberschrift"/>
              </w:rPr>
              <w:t xml:space="preserve"> </w:t>
            </w:r>
            <w:r w:rsidR="001965A1">
              <w:rPr>
                <w:rStyle w:val="InstructionsTabelleberschrift"/>
              </w:rPr>
              <w:t>guaranteed by</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b w:val="0"/>
                <w:u w:val="none"/>
              </w:rPr>
            </w:pPr>
          </w:p>
          <w:p w:rsidR="001965A1" w:rsidRPr="00F13994" w:rsidRDefault="001965A1" w:rsidP="00BC43F3">
            <w:pPr>
              <w:pStyle w:val="InstructionsText"/>
              <w:rPr>
                <w:rStyle w:val="InstructionsTabelleberschrift"/>
                <w:b w:val="0"/>
                <w:u w:val="none"/>
              </w:rPr>
            </w:pPr>
            <w:r w:rsidRPr="00F13994">
              <w:rPr>
                <w:rStyle w:val="InstructionsTabelleberschrift"/>
                <w:b w:val="0"/>
                <w:u w:val="none"/>
              </w:rPr>
              <w:t>Assets specified in 1.3.</w:t>
            </w:r>
            <w:r>
              <w:rPr>
                <w:rStyle w:val="InstructionsTabelleberschrift"/>
                <w:b w:val="0"/>
                <w:u w:val="none"/>
              </w:rPr>
              <w:t>4</w:t>
            </w:r>
            <w:r w:rsidRPr="00F13994">
              <w:rPr>
                <w:rStyle w:val="InstructionsTabelleberschrift"/>
                <w:b w:val="0"/>
                <w:u w:val="none"/>
              </w:rPr>
              <w:t xml:space="preserve"> </w:t>
            </w:r>
            <w:r w:rsidR="00062612">
              <w:rPr>
                <w:rStyle w:val="InstructionsTabelleberschrift"/>
                <w:b w:val="0"/>
                <w:u w:val="none"/>
              </w:rPr>
              <w:t xml:space="preserve">of the liquid assets template </w:t>
            </w:r>
            <w:r w:rsidRPr="00F13994">
              <w:rPr>
                <w:rStyle w:val="InstructionsTabelleberschrift"/>
                <w:b w:val="0"/>
                <w:u w:val="none"/>
              </w:rPr>
              <w:t>guaranteed by the above counterparties, according to Article 416(1)(c)(i</w:t>
            </w:r>
            <w:r>
              <w:rPr>
                <w:rStyle w:val="InstructionsTabelleberschrift"/>
                <w:b w:val="0"/>
                <w:u w:val="none"/>
              </w:rPr>
              <w:t>v</w:t>
            </w:r>
            <w:r w:rsidRPr="00F13994">
              <w:rPr>
                <w:rStyle w:val="InstructionsTabelleberschrift"/>
                <w:b w:val="0"/>
                <w:u w:val="none"/>
              </w:rPr>
              <w:t xml:space="preserve">)  </w:t>
            </w:r>
          </w:p>
          <w:p w:rsidR="001965A1" w:rsidRPr="00F13994" w:rsidRDefault="001965A1" w:rsidP="00BC43F3">
            <w:pPr>
              <w:pStyle w:val="InstructionsText"/>
              <w:rPr>
                <w:rStyle w:val="InstructionsTabelleberschrift"/>
                <w:b w:val="0"/>
                <w:u w:val="none"/>
              </w:rPr>
            </w:pPr>
            <w:r w:rsidRPr="00F13994">
              <w:rPr>
                <w:rStyle w:val="InstructionsTabelleberschrift"/>
                <w:b w:val="0"/>
                <w:u w:val="none"/>
              </w:rPr>
              <w:t xml:space="preserve"> </w:t>
            </w:r>
          </w:p>
          <w:p w:rsidR="001965A1" w:rsidRDefault="001965A1" w:rsidP="00BC43F3">
            <w:pPr>
              <w:pStyle w:val="InstructionsText"/>
              <w:rPr>
                <w:rStyle w:val="InstructionsTabelleberschrift"/>
                <w:b w:val="0"/>
                <w:highlight w:val="yellow"/>
              </w:rPr>
            </w:pPr>
          </w:p>
        </w:tc>
      </w:tr>
      <w:tr w:rsidR="001965A1" w:rsidRPr="00B37090" w:rsidTr="00C652C1">
        <w:tc>
          <w:tcPr>
            <w:tcW w:w="1412" w:type="dxa"/>
            <w:gridSpan w:val="2"/>
            <w:shd w:val="clear" w:color="auto" w:fill="E6E6E6"/>
          </w:tcPr>
          <w:p w:rsidR="001965A1" w:rsidRDefault="008B1FC2">
            <w:pPr>
              <w:rPr>
                <w:rFonts w:cs="Arial"/>
                <w:sz w:val="16"/>
                <w:szCs w:val="16"/>
              </w:rPr>
            </w:pPr>
            <w:r>
              <w:rPr>
                <w:rFonts w:cs="Arial"/>
                <w:sz w:val="16"/>
                <w:szCs w:val="16"/>
              </w:rPr>
              <w:t>200-220</w:t>
            </w:r>
          </w:p>
        </w:tc>
        <w:tc>
          <w:tcPr>
            <w:tcW w:w="7371" w:type="dxa"/>
            <w:gridSpan w:val="3"/>
            <w:shd w:val="clear" w:color="auto" w:fill="E6E6E6"/>
          </w:tcPr>
          <w:p w:rsidR="001965A1" w:rsidRDefault="00103CBB" w:rsidP="00BC43F3">
            <w:pPr>
              <w:pStyle w:val="InstructionsText"/>
              <w:rPr>
                <w:rStyle w:val="InstructionsTabelleberschrift"/>
                <w:lang w:val="en-US"/>
              </w:rPr>
            </w:pPr>
            <w:r w:rsidRPr="00494E1C">
              <w:rPr>
                <w:rStyle w:val="InstructionsTabelleberschrift"/>
              </w:rPr>
              <w:t xml:space="preserve">1.2.2.2 </w:t>
            </w:r>
            <w:r w:rsidR="001965A1" w:rsidRPr="00B37090">
              <w:rPr>
                <w:rStyle w:val="InstructionsTabelleberschrift"/>
              </w:rPr>
              <w:t>total shares or units in CIUs with underlying assets specified in Article 4</w:t>
            </w:r>
            <w:r w:rsidR="001965A1">
              <w:rPr>
                <w:rStyle w:val="InstructionsTabelleberschrift"/>
              </w:rPr>
              <w:t>16 (1)</w:t>
            </w:r>
          </w:p>
          <w:p w:rsidR="001965A1" w:rsidRDefault="001965A1" w:rsidP="00BC43F3">
            <w:pPr>
              <w:pStyle w:val="InstructionsText"/>
              <w:rPr>
                <w:rStyle w:val="InstructionsTabelleberschrift"/>
                <w:lang w:val="en-US"/>
              </w:rPr>
            </w:pPr>
          </w:p>
          <w:p w:rsidR="001965A1" w:rsidRDefault="001965A1" w:rsidP="00BC43F3">
            <w:pPr>
              <w:pStyle w:val="InstructionsText"/>
              <w:rPr>
                <w:rStyle w:val="InstructionsTabelleberschrift"/>
                <w:b w:val="0"/>
                <w:u w:val="none"/>
                <w:lang w:val="en-US"/>
              </w:rPr>
            </w:pPr>
            <w:r w:rsidRPr="00EB15C1">
              <w:rPr>
                <w:rStyle w:val="InstructionsTabelleberschrift"/>
                <w:b w:val="0"/>
                <w:u w:val="none"/>
              </w:rPr>
              <w:t>Article 41</w:t>
            </w:r>
            <w:r>
              <w:rPr>
                <w:rStyle w:val="InstructionsTabelleberschrift"/>
                <w:b w:val="0"/>
                <w:u w:val="none"/>
              </w:rPr>
              <w:t xml:space="preserve">6(6) </w:t>
            </w:r>
            <w:r w:rsidRPr="00EB15C1">
              <w:rPr>
                <w:rStyle w:val="InstructionsTabelleberschrift"/>
                <w:b w:val="0"/>
                <w:u w:val="none"/>
              </w:rPr>
              <w:t xml:space="preserve">of </w:t>
            </w:r>
            <w:r w:rsidR="00AA6BC0">
              <w:rPr>
                <w:rStyle w:val="InstructionsTabelleberschrift"/>
                <w:b w:val="0"/>
                <w:u w:val="none"/>
              </w:rPr>
              <w:t>REGULATION (EU) NO 575/2013</w:t>
            </w:r>
            <w:r w:rsidRPr="00EB15C1">
              <w:rPr>
                <w:rStyle w:val="InstructionsTabelleberschrift"/>
                <w:b w:val="0"/>
                <w:u w:val="none"/>
              </w:rPr>
              <w:t xml:space="preserve"> </w:t>
            </w:r>
          </w:p>
          <w:p w:rsidR="001965A1" w:rsidRDefault="001965A1" w:rsidP="00BC43F3">
            <w:pPr>
              <w:pStyle w:val="InstructionsText"/>
              <w:rPr>
                <w:rStyle w:val="InstructionsTabelleberschrift"/>
                <w:u w:val="none"/>
              </w:rPr>
            </w:pPr>
          </w:p>
          <w:p w:rsidR="0032689B" w:rsidRPr="004137FC" w:rsidRDefault="0032689B" w:rsidP="0032689B">
            <w:pPr>
              <w:rPr>
                <w:rFonts w:cs="Arial"/>
                <w:szCs w:val="20"/>
              </w:rPr>
            </w:pPr>
            <w:r w:rsidRPr="004137FC">
              <w:rPr>
                <w:rFonts w:cs="Arial"/>
                <w:szCs w:val="20"/>
              </w:rPr>
              <w:t xml:space="preserve">Total shares or units in CIUs with underlying assets specified in Article </w:t>
            </w:r>
            <w:r w:rsidR="004137FC" w:rsidRPr="004137FC">
              <w:rPr>
                <w:rFonts w:cs="Arial"/>
                <w:szCs w:val="20"/>
              </w:rPr>
              <w:t xml:space="preserve">416(1) </w:t>
            </w:r>
            <w:r w:rsidR="00AA6BC0">
              <w:rPr>
                <w:rFonts w:cs="Arial"/>
                <w:szCs w:val="20"/>
              </w:rPr>
              <w:t>REGULATION (EU) NO 575/2013</w:t>
            </w:r>
            <w:r w:rsidRPr="004137FC">
              <w:rPr>
                <w:rFonts w:cs="Arial"/>
                <w:szCs w:val="20"/>
              </w:rPr>
              <w:t xml:space="preserve"> shall be reported here in accordance with 1.2.2 above, in the appropriate sub-category.</w:t>
            </w:r>
          </w:p>
          <w:p w:rsidR="001965A1" w:rsidRDefault="001965A1" w:rsidP="004137FC">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200</w:t>
            </w:r>
          </w:p>
        </w:tc>
        <w:tc>
          <w:tcPr>
            <w:tcW w:w="7371" w:type="dxa"/>
            <w:gridSpan w:val="3"/>
          </w:tcPr>
          <w:p w:rsidR="001965A1" w:rsidRDefault="00103CBB" w:rsidP="00BC43F3">
            <w:pPr>
              <w:pStyle w:val="InstructionsText"/>
              <w:rPr>
                <w:rStyle w:val="InstructionsTabelleberschrift"/>
                <w:lang w:val="en-US"/>
              </w:rPr>
            </w:pPr>
            <w:r w:rsidRPr="00494E1C">
              <w:rPr>
                <w:rStyle w:val="InstructionsTabelleberschrift"/>
              </w:rPr>
              <w:t>1.2.2.2.1</w:t>
            </w:r>
            <w:r w:rsidR="00494E1C">
              <w:rPr>
                <w:rStyle w:val="InstructionsTabelleberschrift"/>
              </w:rPr>
              <w:t xml:space="preserve"> </w:t>
            </w:r>
            <w:r w:rsidR="001965A1" w:rsidRPr="00B37090">
              <w:rPr>
                <w:rStyle w:val="InstructionsTabelleberschrift"/>
              </w:rPr>
              <w:t>underlying assets in point (a) of article 4</w:t>
            </w:r>
            <w:r w:rsidR="001965A1">
              <w:rPr>
                <w:rStyle w:val="InstructionsTabelleberschrift"/>
              </w:rPr>
              <w:t>16(1)</w:t>
            </w:r>
          </w:p>
          <w:p w:rsidR="001965A1" w:rsidRDefault="001965A1" w:rsidP="00BC43F3">
            <w:pPr>
              <w:pStyle w:val="InstructionsText"/>
              <w:rPr>
                <w:rStyle w:val="InstructionsTabelleberschrift"/>
                <w:lang w:val="en-US"/>
              </w:rPr>
            </w:pPr>
          </w:p>
          <w:p w:rsidR="001965A1" w:rsidRDefault="001965A1" w:rsidP="00BC43F3">
            <w:pPr>
              <w:pStyle w:val="InstructionsText"/>
              <w:rPr>
                <w:rStyle w:val="InstructionsTabelleberschrift"/>
                <w:b w:val="0"/>
                <w:u w:val="none"/>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210</w:t>
            </w:r>
          </w:p>
        </w:tc>
        <w:tc>
          <w:tcPr>
            <w:tcW w:w="7371" w:type="dxa"/>
            <w:gridSpan w:val="3"/>
          </w:tcPr>
          <w:p w:rsidR="001965A1" w:rsidRDefault="00103CBB" w:rsidP="00BC43F3">
            <w:pPr>
              <w:pStyle w:val="InstructionsText"/>
              <w:rPr>
                <w:rStyle w:val="InstructionsTabelleberschrift"/>
                <w:lang w:val="en-US"/>
              </w:rPr>
            </w:pPr>
            <w:r w:rsidRPr="00494E1C">
              <w:rPr>
                <w:rStyle w:val="InstructionsTabelleberschrift"/>
              </w:rPr>
              <w:t>1.2.2.2.2</w:t>
            </w:r>
            <w:r w:rsidR="00494E1C">
              <w:rPr>
                <w:rStyle w:val="InstructionsTabelleberschrift"/>
              </w:rPr>
              <w:t xml:space="preserve"> </w:t>
            </w:r>
            <w:r w:rsidR="001965A1" w:rsidRPr="00B37090">
              <w:rPr>
                <w:rStyle w:val="InstructionsTabelleberschrift"/>
              </w:rPr>
              <w:t>underlying assets in point (b) and (c) of article 4</w:t>
            </w:r>
            <w:r w:rsidR="001965A1">
              <w:rPr>
                <w:rStyle w:val="InstructionsTabelleberschrift"/>
              </w:rPr>
              <w:t>16(1)</w:t>
            </w:r>
          </w:p>
          <w:p w:rsidR="001965A1" w:rsidRDefault="001965A1" w:rsidP="00BC43F3">
            <w:pPr>
              <w:pStyle w:val="InstructionsText"/>
              <w:rPr>
                <w:rStyle w:val="InstructionsTabelleberschrift"/>
                <w:lang w:val="en-US"/>
              </w:rPr>
            </w:pP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220</w:t>
            </w:r>
          </w:p>
        </w:tc>
        <w:tc>
          <w:tcPr>
            <w:tcW w:w="7371" w:type="dxa"/>
            <w:gridSpan w:val="3"/>
          </w:tcPr>
          <w:p w:rsidR="001965A1" w:rsidRDefault="00103CBB" w:rsidP="00BC43F3">
            <w:pPr>
              <w:pStyle w:val="InstructionsText"/>
              <w:rPr>
                <w:rStyle w:val="InstructionsTabelleberschrift"/>
                <w:lang w:val="en-US"/>
              </w:rPr>
            </w:pPr>
            <w:r w:rsidRPr="00494E1C">
              <w:rPr>
                <w:rStyle w:val="InstructionsTabelleberschrift"/>
              </w:rPr>
              <w:t>1.2.2.2.3</w:t>
            </w:r>
            <w:r w:rsidR="00494E1C">
              <w:rPr>
                <w:rStyle w:val="InstructionsTabelleberschrift"/>
              </w:rPr>
              <w:t xml:space="preserve"> </w:t>
            </w:r>
            <w:r w:rsidR="001965A1" w:rsidRPr="00B37090">
              <w:rPr>
                <w:rStyle w:val="InstructionsTabelleberschrift"/>
              </w:rPr>
              <w:t>underlying assets in point (d) of article 4</w:t>
            </w:r>
            <w:r w:rsidR="001965A1">
              <w:rPr>
                <w:rStyle w:val="InstructionsTabelleberschrift"/>
              </w:rPr>
              <w:t>16(</w:t>
            </w:r>
            <w:r w:rsidR="001965A1" w:rsidRPr="00B37090">
              <w:rPr>
                <w:rStyle w:val="InstructionsTabelleberschrift"/>
              </w:rPr>
              <w:t>1</w:t>
            </w:r>
            <w:r w:rsidR="001965A1">
              <w:rPr>
                <w:rStyle w:val="InstructionsTabelleberschrift"/>
              </w:rPr>
              <w:t>)</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230</w:t>
            </w:r>
          </w:p>
        </w:tc>
        <w:tc>
          <w:tcPr>
            <w:tcW w:w="7371" w:type="dxa"/>
            <w:gridSpan w:val="3"/>
          </w:tcPr>
          <w:p w:rsidR="001965A1" w:rsidRDefault="00103CBB" w:rsidP="00BC43F3">
            <w:pPr>
              <w:pStyle w:val="InstructionsText"/>
              <w:rPr>
                <w:rStyle w:val="InstructionsTabelleberschrift"/>
              </w:rPr>
            </w:pPr>
            <w:r w:rsidRPr="00494E1C">
              <w:rPr>
                <w:rStyle w:val="InstructionsTabelleberschrift"/>
              </w:rPr>
              <w:t>1.2.2.3</w:t>
            </w:r>
            <w:r w:rsidR="00494E1C">
              <w:rPr>
                <w:rStyle w:val="InstructionsTabelleberschrift"/>
              </w:rPr>
              <w:t xml:space="preserve"> </w:t>
            </w:r>
            <w:r w:rsidR="001965A1">
              <w:rPr>
                <w:rStyle w:val="InstructionsTabelleberschrift"/>
              </w:rPr>
              <w:t>Assets issued by a credit institution which has been set up by a Member State central or regional government</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b w:val="0"/>
                <w:u w:val="none"/>
              </w:rPr>
            </w:pPr>
            <w:r w:rsidRPr="00B41672">
              <w:rPr>
                <w:rStyle w:val="InstructionsTabelleberschrift"/>
                <w:b w:val="0"/>
                <w:u w:val="none"/>
              </w:rPr>
              <w:t xml:space="preserve">Article 416(2)(a)(iii) </w:t>
            </w:r>
            <w:r w:rsidR="00AA6BC0">
              <w:rPr>
                <w:rStyle w:val="InstructionsTabelleberschrift"/>
                <w:b w:val="0"/>
                <w:u w:val="none"/>
              </w:rPr>
              <w:t>REGULATION (EU) NO 575/2013</w:t>
            </w:r>
          </w:p>
          <w:p w:rsidR="001965A1" w:rsidRDefault="001965A1" w:rsidP="00BC43F3">
            <w:pPr>
              <w:pStyle w:val="InstructionsText"/>
              <w:rPr>
                <w:rStyle w:val="InstructionsTabelleberschrift"/>
                <w:szCs w:val="24"/>
                <w:lang w:eastAsia="en-US"/>
              </w:rPr>
            </w:pPr>
          </w:p>
          <w:p w:rsidR="001965A1" w:rsidRDefault="001965A1" w:rsidP="00BC43F3">
            <w:pPr>
              <w:pStyle w:val="InstructionsText"/>
              <w:rPr>
                <w:rStyle w:val="InstructionsTabelleberschrift"/>
                <w:szCs w:val="24"/>
                <w:lang w:eastAsia="en-US"/>
              </w:rPr>
            </w:pPr>
          </w:p>
          <w:p w:rsidR="001965A1" w:rsidRDefault="001965A1" w:rsidP="00BC43F3">
            <w:pPr>
              <w:pStyle w:val="InstructionsText"/>
              <w:rPr>
                <w:rStyle w:val="InstructionsTabelleberschrift"/>
                <w:szCs w:val="24"/>
                <w:lang w:eastAsia="en-US"/>
              </w:rPr>
            </w:pPr>
          </w:p>
        </w:tc>
      </w:tr>
      <w:tr w:rsidR="001965A1" w:rsidRPr="004137FC" w:rsidTr="00C652C1">
        <w:tc>
          <w:tcPr>
            <w:tcW w:w="1412" w:type="dxa"/>
            <w:gridSpan w:val="2"/>
            <w:shd w:val="clear" w:color="auto" w:fill="E6E6E6"/>
          </w:tcPr>
          <w:p w:rsidR="001965A1" w:rsidRDefault="00252EB7">
            <w:pPr>
              <w:rPr>
                <w:rFonts w:cs="Arial"/>
                <w:sz w:val="16"/>
                <w:szCs w:val="16"/>
              </w:rPr>
            </w:pPr>
            <w:r>
              <w:rPr>
                <w:rFonts w:cs="Arial"/>
                <w:sz w:val="16"/>
                <w:szCs w:val="16"/>
              </w:rPr>
              <w:t>240-260</w:t>
            </w:r>
          </w:p>
        </w:tc>
        <w:tc>
          <w:tcPr>
            <w:tcW w:w="7371" w:type="dxa"/>
            <w:gridSpan w:val="3"/>
            <w:shd w:val="clear" w:color="auto" w:fill="E6E6E6"/>
          </w:tcPr>
          <w:p w:rsidR="001965A1" w:rsidRPr="004137FC" w:rsidRDefault="00103CBB" w:rsidP="00BC43F3">
            <w:pPr>
              <w:pStyle w:val="InstructionsText"/>
              <w:rPr>
                <w:rStyle w:val="InstructionsTabelleberschrift"/>
                <w:szCs w:val="20"/>
                <w:lang w:val="en-US"/>
              </w:rPr>
            </w:pPr>
            <w:r w:rsidRPr="00494E1C">
              <w:rPr>
                <w:rStyle w:val="InstructionsTabelleberschrift"/>
              </w:rPr>
              <w:t>1.2.2.4</w:t>
            </w:r>
            <w:r w:rsidR="00494E1C">
              <w:rPr>
                <w:rStyle w:val="InstructionsTabelleberschrift"/>
              </w:rPr>
              <w:t xml:space="preserve"> </w:t>
            </w:r>
            <w:r w:rsidR="001965A1" w:rsidRPr="00494E1C">
              <w:rPr>
                <w:rStyle w:val="InstructionsTabelleberschrift"/>
              </w:rPr>
              <w:t>non</w:t>
            </w:r>
            <w:r w:rsidR="001965A1" w:rsidRPr="004137FC">
              <w:rPr>
                <w:rStyle w:val="InstructionsTabelleberschrift"/>
                <w:szCs w:val="20"/>
              </w:rPr>
              <w:t>-financial corporate bonds</w:t>
            </w:r>
          </w:p>
          <w:p w:rsidR="001965A1" w:rsidRPr="004137FC" w:rsidRDefault="001965A1" w:rsidP="00BC43F3">
            <w:pPr>
              <w:pStyle w:val="InstructionsText"/>
              <w:rPr>
                <w:rStyle w:val="InstructionsTabelleberschrift"/>
                <w:szCs w:val="20"/>
                <w:lang w:val="en-US"/>
              </w:rPr>
            </w:pPr>
          </w:p>
          <w:p w:rsidR="001965A1" w:rsidRPr="004137FC" w:rsidRDefault="001965A1" w:rsidP="00BC43F3">
            <w:pPr>
              <w:pStyle w:val="InstructionsText"/>
              <w:rPr>
                <w:rStyle w:val="FormatvorlageInstructionsTabelleText"/>
                <w:szCs w:val="20"/>
                <w:lang w:val="en-US"/>
              </w:rPr>
            </w:pPr>
            <w:r w:rsidRPr="004137FC">
              <w:rPr>
                <w:rStyle w:val="FormatvorlageInstructionsTabelleText"/>
                <w:szCs w:val="20"/>
              </w:rPr>
              <w:t xml:space="preserve">Article 416(1)(b) or (d)  </w:t>
            </w:r>
            <w:r w:rsidR="00AA6BC0">
              <w:rPr>
                <w:rStyle w:val="FormatvorlageInstructionsTabelleText"/>
                <w:szCs w:val="20"/>
              </w:rPr>
              <w:t>REGULATION (EU) NO 575/2013</w:t>
            </w:r>
          </w:p>
          <w:p w:rsidR="001965A1" w:rsidRPr="004137FC" w:rsidRDefault="001965A1" w:rsidP="00BC43F3">
            <w:pPr>
              <w:pStyle w:val="InstructionsText"/>
              <w:rPr>
                <w:rStyle w:val="InstructionsTabelleberschrift"/>
                <w:szCs w:val="20"/>
              </w:rPr>
            </w:pPr>
          </w:p>
          <w:p w:rsidR="001965A1" w:rsidRPr="004137FC" w:rsidRDefault="001965A1" w:rsidP="00BC43F3">
            <w:pPr>
              <w:pStyle w:val="InstructionsText"/>
              <w:rPr>
                <w:rStyle w:val="InstructionsTabelleberschrift"/>
                <w:b w:val="0"/>
                <w:szCs w:val="20"/>
                <w:u w:val="none"/>
              </w:rPr>
            </w:pPr>
            <w:r w:rsidRPr="004137FC">
              <w:rPr>
                <w:rStyle w:val="InstructionsTabelleberschrift"/>
                <w:b w:val="0"/>
                <w:szCs w:val="20"/>
                <w:u w:val="none"/>
              </w:rPr>
              <w:t xml:space="preserve">Non-financial corporate bonds shall be reported according to their credit quality as per Article 122 </w:t>
            </w:r>
            <w:r w:rsidR="00AA6BC0">
              <w:rPr>
                <w:rStyle w:val="InstructionsTabelleberschrift"/>
                <w:b w:val="0"/>
                <w:szCs w:val="20"/>
                <w:u w:val="none"/>
              </w:rPr>
              <w:t>REGULATION (EU) NO 575/2013</w:t>
            </w:r>
            <w:r w:rsidR="004137FC">
              <w:rPr>
                <w:rStyle w:val="InstructionsTabelleberschrift"/>
                <w:b w:val="0"/>
                <w:szCs w:val="20"/>
                <w:u w:val="none"/>
              </w:rPr>
              <w:t xml:space="preserve"> </w:t>
            </w:r>
            <w:r w:rsidR="004137FC">
              <w:rPr>
                <w:rStyle w:val="InstructionsTabelleberschrift"/>
                <w:b w:val="0"/>
                <w:u w:val="none"/>
              </w:rPr>
              <w:t xml:space="preserve">and in </w:t>
            </w:r>
            <w:r w:rsidR="004137FC" w:rsidRPr="004137FC">
              <w:rPr>
                <w:rStyle w:val="InstructionsTabelleberschrift"/>
                <w:b w:val="0"/>
                <w:szCs w:val="20"/>
                <w:u w:val="none"/>
              </w:rPr>
              <w:t>accordance with 1.2.2 above, in the appropriate sub-category</w:t>
            </w:r>
            <w:r w:rsidR="004137FC">
              <w:rPr>
                <w:rStyle w:val="InstructionsTabelleberschrift"/>
                <w:b w:val="0"/>
                <w:szCs w:val="20"/>
                <w:u w:val="none"/>
              </w:rPr>
              <w:t>.</w:t>
            </w:r>
          </w:p>
          <w:p w:rsidR="001965A1" w:rsidRPr="004137FC" w:rsidRDefault="001965A1" w:rsidP="00BC43F3">
            <w:pPr>
              <w:pStyle w:val="InstructionsText"/>
              <w:rPr>
                <w:rStyle w:val="InstructionsTabelleberschrift"/>
                <w:b w:val="0"/>
                <w:szCs w:val="20"/>
              </w:rPr>
            </w:pPr>
          </w:p>
        </w:tc>
      </w:tr>
      <w:tr w:rsidR="001965A1" w:rsidRPr="00B37090" w:rsidTr="00103CBB">
        <w:trPr>
          <w:trHeight w:val="416"/>
        </w:trPr>
        <w:tc>
          <w:tcPr>
            <w:tcW w:w="1412" w:type="dxa"/>
            <w:gridSpan w:val="2"/>
          </w:tcPr>
          <w:p w:rsidR="001965A1" w:rsidRDefault="00252EB7">
            <w:pPr>
              <w:rPr>
                <w:rFonts w:cs="Arial"/>
                <w:sz w:val="16"/>
                <w:szCs w:val="16"/>
              </w:rPr>
            </w:pPr>
            <w:r>
              <w:rPr>
                <w:rFonts w:cs="Arial"/>
                <w:sz w:val="16"/>
                <w:szCs w:val="16"/>
              </w:rPr>
              <w:t>240</w:t>
            </w:r>
          </w:p>
        </w:tc>
        <w:tc>
          <w:tcPr>
            <w:tcW w:w="7371" w:type="dxa"/>
            <w:gridSpan w:val="3"/>
          </w:tcPr>
          <w:p w:rsidR="001965A1" w:rsidRDefault="00103CBB" w:rsidP="00BC43F3">
            <w:pPr>
              <w:pStyle w:val="InstructionsText"/>
              <w:rPr>
                <w:rStyle w:val="InstructionsTabelleberschrift"/>
                <w:lang w:val="en-US"/>
              </w:rPr>
            </w:pPr>
            <w:r w:rsidRPr="00494E1C">
              <w:rPr>
                <w:rStyle w:val="InstructionsTabelleberschrift"/>
              </w:rPr>
              <w:t>1.2.2.4.1</w:t>
            </w:r>
            <w:r w:rsidR="00494E1C">
              <w:rPr>
                <w:rStyle w:val="InstructionsTabelleberschrift"/>
              </w:rPr>
              <w:t xml:space="preserve"> </w:t>
            </w:r>
            <w:r w:rsidR="001965A1" w:rsidRPr="00B37090">
              <w:rPr>
                <w:rStyle w:val="InstructionsTabelleberschrift"/>
              </w:rPr>
              <w:t>credit quality step 1</w:t>
            </w:r>
          </w:p>
          <w:p w:rsidR="001965A1" w:rsidRDefault="001965A1" w:rsidP="00BC43F3">
            <w:pPr>
              <w:pStyle w:val="InstructionsText"/>
              <w:rPr>
                <w:rStyle w:val="InstructionsTabelleberschrift"/>
                <w:u w:val="none"/>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250</w:t>
            </w:r>
          </w:p>
        </w:tc>
        <w:tc>
          <w:tcPr>
            <w:tcW w:w="7371" w:type="dxa"/>
            <w:gridSpan w:val="3"/>
          </w:tcPr>
          <w:p w:rsidR="001965A1" w:rsidRDefault="00103CBB" w:rsidP="00BC43F3">
            <w:pPr>
              <w:pStyle w:val="InstructionsText"/>
              <w:rPr>
                <w:rStyle w:val="InstructionsTabelleberschrift"/>
                <w:lang w:val="en-US"/>
              </w:rPr>
            </w:pPr>
            <w:r w:rsidRPr="00494E1C">
              <w:rPr>
                <w:rStyle w:val="InstructionsTabelleberschrift"/>
              </w:rPr>
              <w:t>1.2.2.4.2</w:t>
            </w:r>
            <w:r w:rsidR="00494E1C">
              <w:rPr>
                <w:rStyle w:val="InstructionsTabelleberschrift"/>
              </w:rPr>
              <w:t xml:space="preserve"> </w:t>
            </w:r>
            <w:r w:rsidR="001965A1" w:rsidRPr="00B37090">
              <w:rPr>
                <w:rStyle w:val="InstructionsTabelleberschrift"/>
              </w:rPr>
              <w:t>credit quality step 2</w:t>
            </w: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260</w:t>
            </w:r>
          </w:p>
        </w:tc>
        <w:tc>
          <w:tcPr>
            <w:tcW w:w="7371" w:type="dxa"/>
            <w:gridSpan w:val="3"/>
          </w:tcPr>
          <w:p w:rsidR="001965A1" w:rsidRDefault="00103CBB" w:rsidP="00BC43F3">
            <w:pPr>
              <w:pStyle w:val="InstructionsText"/>
              <w:rPr>
                <w:rStyle w:val="InstructionsTabelleberschrift"/>
              </w:rPr>
            </w:pPr>
            <w:r w:rsidRPr="00494E1C">
              <w:rPr>
                <w:rStyle w:val="InstructionsTabelleberschrift"/>
              </w:rPr>
              <w:t>1.2.2.4.3</w:t>
            </w:r>
            <w:r w:rsidR="00494E1C">
              <w:rPr>
                <w:rStyle w:val="InstructionsTabelleberschrift"/>
              </w:rPr>
              <w:t xml:space="preserve"> </w:t>
            </w:r>
            <w:r w:rsidR="001965A1" w:rsidRPr="00B37090">
              <w:rPr>
                <w:rStyle w:val="InstructionsTabelleberschrift"/>
              </w:rPr>
              <w:t>credit quality step 3</w:t>
            </w:r>
          </w:p>
        </w:tc>
      </w:tr>
      <w:tr w:rsidR="001965A1" w:rsidRPr="00B37090" w:rsidTr="00C652C1">
        <w:tc>
          <w:tcPr>
            <w:tcW w:w="1412" w:type="dxa"/>
            <w:gridSpan w:val="2"/>
            <w:shd w:val="clear" w:color="auto" w:fill="E6E6E6"/>
          </w:tcPr>
          <w:p w:rsidR="001965A1" w:rsidRDefault="00252EB7">
            <w:pPr>
              <w:rPr>
                <w:rFonts w:cs="Arial"/>
                <w:sz w:val="16"/>
                <w:szCs w:val="16"/>
              </w:rPr>
            </w:pPr>
            <w:r>
              <w:rPr>
                <w:rFonts w:cs="Arial"/>
                <w:sz w:val="16"/>
                <w:szCs w:val="16"/>
              </w:rPr>
              <w:t>270-290</w:t>
            </w:r>
          </w:p>
        </w:tc>
        <w:tc>
          <w:tcPr>
            <w:tcW w:w="7371" w:type="dxa"/>
            <w:gridSpan w:val="3"/>
            <w:shd w:val="clear" w:color="auto" w:fill="E6E6E6"/>
          </w:tcPr>
          <w:p w:rsidR="001965A1" w:rsidRDefault="00103CBB" w:rsidP="00BC43F3">
            <w:pPr>
              <w:pStyle w:val="InstructionsText"/>
              <w:rPr>
                <w:rStyle w:val="FormatvorlageInstructionsTabelleText"/>
                <w:lang w:val="en-US"/>
              </w:rPr>
            </w:pPr>
            <w:r w:rsidRPr="00494E1C">
              <w:rPr>
                <w:rStyle w:val="InstructionsTabelleberschrift"/>
              </w:rPr>
              <w:t>1.2.2.5</w:t>
            </w:r>
            <w:r w:rsidR="00494E1C">
              <w:rPr>
                <w:rStyle w:val="InstructionsTabelleberschrift"/>
              </w:rPr>
              <w:t xml:space="preserve"> </w:t>
            </w:r>
            <w:r w:rsidR="001965A1" w:rsidRPr="00221C50">
              <w:rPr>
                <w:rStyle w:val="InstructionsTabelleberschrift"/>
              </w:rPr>
              <w:t>bonds issued by a credit institution eligible for the treatment set out in Article 129(4) or (5)</w:t>
            </w:r>
          </w:p>
          <w:p w:rsidR="001965A1" w:rsidRDefault="001965A1" w:rsidP="00BC43F3">
            <w:pPr>
              <w:pStyle w:val="InstructionsText"/>
              <w:rPr>
                <w:rStyle w:val="FormatvorlageInstructionsTabelleText"/>
                <w:lang w:val="en-US"/>
              </w:rPr>
            </w:pPr>
          </w:p>
          <w:p w:rsidR="001965A1" w:rsidRDefault="001965A1" w:rsidP="00BC43F3">
            <w:pPr>
              <w:pStyle w:val="InstructionsText"/>
              <w:rPr>
                <w:rStyle w:val="FormatvorlageInstructionsTabelleText"/>
                <w:lang w:val="en-US"/>
              </w:rPr>
            </w:pPr>
            <w:r w:rsidRPr="00B37090">
              <w:rPr>
                <w:rStyle w:val="FormatvorlageInstructionsTabelleText"/>
              </w:rPr>
              <w:t>Article 4</w:t>
            </w:r>
            <w:r>
              <w:rPr>
                <w:rStyle w:val="FormatvorlageInstructionsTabelleText"/>
              </w:rPr>
              <w:t>16(2)</w:t>
            </w:r>
            <w:r w:rsidRPr="00B37090">
              <w:rPr>
                <w:rStyle w:val="FormatvorlageInstructionsTabelleText"/>
              </w:rPr>
              <w:t>(a)(</w:t>
            </w:r>
            <w:proofErr w:type="spellStart"/>
            <w:r w:rsidRPr="00B37090">
              <w:rPr>
                <w:rStyle w:val="FormatvorlageInstructionsTabelleText"/>
              </w:rPr>
              <w:t>i</w:t>
            </w:r>
            <w:proofErr w:type="spellEnd"/>
            <w:r w:rsidRPr="00B37090">
              <w:rPr>
                <w:rStyle w:val="FormatvorlageInstructionsTabelleText"/>
              </w:rPr>
              <w:t>)</w:t>
            </w:r>
            <w:r w:rsidR="00AA6BC0">
              <w:rPr>
                <w:rStyle w:val="FormatvorlageInstructionsTabelleText"/>
              </w:rPr>
              <w:t>REGULATION (EU) NO 575/2013</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b w:val="0"/>
                <w:u w:val="none"/>
              </w:rPr>
            </w:pPr>
            <w:r>
              <w:rPr>
                <w:rStyle w:val="InstructionsTabelleberschrift"/>
                <w:b w:val="0"/>
                <w:u w:val="none"/>
              </w:rPr>
              <w:t>B</w:t>
            </w:r>
            <w:r w:rsidRPr="00B37090">
              <w:rPr>
                <w:rStyle w:val="InstructionsTabelleberschrift"/>
                <w:b w:val="0"/>
                <w:u w:val="none"/>
              </w:rPr>
              <w:t>onds eligible for the treatment set out in article 1</w:t>
            </w:r>
            <w:r>
              <w:rPr>
                <w:rStyle w:val="InstructionsTabelleberschrift"/>
                <w:b w:val="0"/>
                <w:u w:val="none"/>
              </w:rPr>
              <w:t>29</w:t>
            </w:r>
            <w:r w:rsidRPr="00B37090">
              <w:rPr>
                <w:rStyle w:val="InstructionsTabelleberschrift"/>
                <w:b w:val="0"/>
                <w:u w:val="none"/>
              </w:rPr>
              <w:t xml:space="preserve"> (</w:t>
            </w:r>
            <w:r>
              <w:rPr>
                <w:rStyle w:val="InstructionsTabelleberschrift"/>
                <w:b w:val="0"/>
                <w:u w:val="none"/>
              </w:rPr>
              <w:t>4</w:t>
            </w:r>
            <w:r w:rsidRPr="00B37090">
              <w:rPr>
                <w:rStyle w:val="InstructionsTabelleberschrift"/>
                <w:b w:val="0"/>
                <w:u w:val="none"/>
              </w:rPr>
              <w:t xml:space="preserve">) </w:t>
            </w:r>
            <w:r>
              <w:rPr>
                <w:rStyle w:val="InstructionsTabelleberschrift"/>
                <w:b w:val="0"/>
                <w:u w:val="none"/>
              </w:rPr>
              <w:t>or</w:t>
            </w:r>
            <w:r w:rsidRPr="00B37090">
              <w:rPr>
                <w:rStyle w:val="InstructionsTabelleberschrift"/>
                <w:b w:val="0"/>
                <w:u w:val="none"/>
              </w:rPr>
              <w:t xml:space="preserve"> (</w:t>
            </w:r>
            <w:r>
              <w:rPr>
                <w:rStyle w:val="InstructionsTabelleberschrift"/>
                <w:b w:val="0"/>
                <w:u w:val="none"/>
              </w:rPr>
              <w:t>5</w:t>
            </w:r>
            <w:r w:rsidRPr="00B37090">
              <w:rPr>
                <w:rStyle w:val="InstructionsTabelleberschrift"/>
                <w:b w:val="0"/>
                <w:u w:val="none"/>
              </w:rPr>
              <w:t xml:space="preserve">) </w:t>
            </w:r>
            <w:r>
              <w:rPr>
                <w:rStyle w:val="InstructionsTabelleberschrift"/>
                <w:b w:val="0"/>
                <w:u w:val="none"/>
              </w:rPr>
              <w:t xml:space="preserve">shall be reported according to their credit quality as per Article 129(4) or (5) </w:t>
            </w:r>
            <w:r w:rsidR="00AA6BC0">
              <w:rPr>
                <w:rStyle w:val="InstructionsTabelleberschrift"/>
                <w:b w:val="0"/>
                <w:u w:val="none"/>
              </w:rPr>
              <w:t>REGULATION (EU) NO 575/2013</w:t>
            </w:r>
            <w:r w:rsidR="004137FC">
              <w:rPr>
                <w:rStyle w:val="InstructionsTabelleberschrift"/>
                <w:b w:val="0"/>
                <w:u w:val="none"/>
              </w:rPr>
              <w:t xml:space="preserve">, and in </w:t>
            </w:r>
            <w:r w:rsidR="004137FC" w:rsidRPr="004137FC">
              <w:rPr>
                <w:rStyle w:val="InstructionsTabelleberschrift"/>
                <w:b w:val="0"/>
                <w:szCs w:val="20"/>
                <w:u w:val="none"/>
              </w:rPr>
              <w:t>accordance with 1.2.2 above, in the appropriate sub-category</w:t>
            </w:r>
          </w:p>
          <w:p w:rsidR="001965A1" w:rsidRPr="00B37090" w:rsidRDefault="001965A1" w:rsidP="00BC43F3">
            <w:pPr>
              <w:autoSpaceDE w:val="0"/>
              <w:autoSpaceDN w:val="0"/>
              <w:adjustRightInd w:val="0"/>
              <w:spacing w:before="0" w:after="0"/>
              <w:rPr>
                <w:rStyle w:val="InstructionsTabelleberschrift"/>
                <w:b w:val="0"/>
                <w:u w:val="none"/>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lastRenderedPageBreak/>
              <w:t>270</w:t>
            </w:r>
          </w:p>
        </w:tc>
        <w:tc>
          <w:tcPr>
            <w:tcW w:w="7371" w:type="dxa"/>
            <w:gridSpan w:val="3"/>
          </w:tcPr>
          <w:p w:rsidR="001965A1" w:rsidRDefault="00103CBB" w:rsidP="00BC43F3">
            <w:pPr>
              <w:pStyle w:val="InstructionsText"/>
              <w:rPr>
                <w:rStyle w:val="InstructionsTabelleberschrift"/>
              </w:rPr>
            </w:pPr>
            <w:r w:rsidRPr="00494E1C">
              <w:rPr>
                <w:rStyle w:val="InstructionsTabelleberschrift"/>
              </w:rPr>
              <w:t>1.2.2.5.1</w:t>
            </w:r>
            <w:r w:rsidR="00494E1C">
              <w:rPr>
                <w:rStyle w:val="InstructionsTabelleberschrift"/>
              </w:rPr>
              <w:t xml:space="preserve"> </w:t>
            </w:r>
            <w:r w:rsidR="001965A1" w:rsidRPr="00B37090">
              <w:rPr>
                <w:rStyle w:val="InstructionsTabelleberschrift"/>
              </w:rPr>
              <w:t>credit quality step 1</w:t>
            </w:r>
          </w:p>
          <w:p w:rsidR="001965A1" w:rsidRDefault="001965A1" w:rsidP="00BC43F3">
            <w:pPr>
              <w:pStyle w:val="InstructionsText"/>
              <w:rPr>
                <w:rStyle w:val="InstructionsTabelleberschrift"/>
                <w:szCs w:val="24"/>
                <w:u w:val="none"/>
                <w:lang w:eastAsia="en-US"/>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280</w:t>
            </w:r>
          </w:p>
        </w:tc>
        <w:tc>
          <w:tcPr>
            <w:tcW w:w="7371" w:type="dxa"/>
            <w:gridSpan w:val="3"/>
          </w:tcPr>
          <w:p w:rsidR="001965A1" w:rsidRDefault="00103CBB" w:rsidP="00BC43F3">
            <w:pPr>
              <w:pStyle w:val="InstructionsText"/>
              <w:rPr>
                <w:rStyle w:val="InstructionsTabelleberschrift"/>
                <w:lang w:val="en-US"/>
              </w:rPr>
            </w:pPr>
            <w:r w:rsidRPr="00494E1C">
              <w:rPr>
                <w:rStyle w:val="InstructionsTabelleberschrift"/>
              </w:rPr>
              <w:t>1.2.2.5.2</w:t>
            </w:r>
            <w:r w:rsidR="00494E1C">
              <w:rPr>
                <w:rStyle w:val="InstructionsTabelleberschrift"/>
              </w:rPr>
              <w:t xml:space="preserve"> </w:t>
            </w:r>
            <w:r w:rsidR="001965A1" w:rsidRPr="00B37090">
              <w:rPr>
                <w:rStyle w:val="InstructionsTabelleberschrift"/>
              </w:rPr>
              <w:t>credit quality step 2</w:t>
            </w: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290</w:t>
            </w:r>
          </w:p>
        </w:tc>
        <w:tc>
          <w:tcPr>
            <w:tcW w:w="7371" w:type="dxa"/>
            <w:gridSpan w:val="3"/>
          </w:tcPr>
          <w:p w:rsidR="001965A1" w:rsidRPr="00494E1C" w:rsidRDefault="00103CBB" w:rsidP="00BC43F3">
            <w:pPr>
              <w:pStyle w:val="InstructionsText"/>
              <w:rPr>
                <w:rStyle w:val="InstructionsTabelleberschrift"/>
              </w:rPr>
            </w:pPr>
            <w:r w:rsidRPr="00494E1C">
              <w:rPr>
                <w:rStyle w:val="InstructionsTabelleberschrift"/>
              </w:rPr>
              <w:t>1.2.2.5.3</w:t>
            </w:r>
            <w:r w:rsidR="00494E1C">
              <w:rPr>
                <w:rStyle w:val="InstructionsTabelleberschrift"/>
              </w:rPr>
              <w:t xml:space="preserve"> </w:t>
            </w:r>
            <w:r w:rsidR="001965A1" w:rsidRPr="00B37090">
              <w:rPr>
                <w:rStyle w:val="InstructionsTabelleberschrift"/>
              </w:rPr>
              <w:t>credit quality step 3</w:t>
            </w:r>
          </w:p>
          <w:p w:rsidR="001965A1" w:rsidRDefault="001965A1" w:rsidP="00BC43F3">
            <w:pPr>
              <w:pStyle w:val="InstructionsText"/>
              <w:rPr>
                <w:rStyle w:val="InstructionsTabelleberschrift"/>
              </w:rPr>
            </w:pPr>
          </w:p>
        </w:tc>
      </w:tr>
      <w:tr w:rsidR="001965A1" w:rsidRPr="00B37090" w:rsidTr="00C652C1">
        <w:tc>
          <w:tcPr>
            <w:tcW w:w="1412" w:type="dxa"/>
            <w:gridSpan w:val="2"/>
            <w:shd w:val="clear" w:color="auto" w:fill="F2F2F2" w:themeFill="background1" w:themeFillShade="F2"/>
          </w:tcPr>
          <w:p w:rsidR="001965A1" w:rsidRDefault="00252EB7">
            <w:pPr>
              <w:rPr>
                <w:rFonts w:cs="Arial"/>
                <w:sz w:val="16"/>
                <w:szCs w:val="16"/>
              </w:rPr>
            </w:pPr>
            <w:r>
              <w:rPr>
                <w:rFonts w:cs="Arial"/>
                <w:sz w:val="16"/>
                <w:szCs w:val="16"/>
              </w:rPr>
              <w:t>300-320</w:t>
            </w:r>
          </w:p>
        </w:tc>
        <w:tc>
          <w:tcPr>
            <w:tcW w:w="7371" w:type="dxa"/>
            <w:gridSpan w:val="3"/>
            <w:shd w:val="clear" w:color="auto" w:fill="F2F2F2" w:themeFill="background1" w:themeFillShade="F2"/>
          </w:tcPr>
          <w:p w:rsidR="001965A1" w:rsidRDefault="00103CBB" w:rsidP="00BC43F3">
            <w:pPr>
              <w:pStyle w:val="InstructionsText"/>
              <w:rPr>
                <w:rStyle w:val="FormatvorlageInstructionsTabelleText"/>
                <w:lang w:val="en-US"/>
              </w:rPr>
            </w:pPr>
            <w:r w:rsidRPr="00494E1C">
              <w:rPr>
                <w:rStyle w:val="InstructionsTabelleberschrift"/>
              </w:rPr>
              <w:t>1.2.2.6</w:t>
            </w:r>
            <w:r w:rsidR="00494E1C">
              <w:rPr>
                <w:rStyle w:val="InstructionsTabelleberschrift"/>
              </w:rPr>
              <w:t xml:space="preserve"> </w:t>
            </w:r>
            <w:r w:rsidR="001965A1" w:rsidRPr="00BD6444">
              <w:rPr>
                <w:rStyle w:val="InstructionsTabelleberschrift"/>
              </w:rPr>
              <w:t>asset backed instruments issued by a credit institution if demonstrated to be of the highest credit quality as established by EBA pursuant to the criteria in Article 509</w:t>
            </w:r>
            <w:r w:rsidR="001965A1">
              <w:rPr>
                <w:rStyle w:val="InstructionsTabelleberschrift"/>
              </w:rPr>
              <w:t xml:space="preserve"> (3), </w:t>
            </w:r>
            <w:r w:rsidR="001965A1" w:rsidRPr="00BD6444">
              <w:rPr>
                <w:rStyle w:val="InstructionsTabelleberschrift"/>
              </w:rPr>
              <w:t>(4)</w:t>
            </w:r>
            <w:r w:rsidR="001965A1">
              <w:rPr>
                <w:rStyle w:val="InstructionsTabelleberschrift"/>
              </w:rPr>
              <w:t xml:space="preserve"> and (5)</w:t>
            </w:r>
            <w:r w:rsidR="001965A1" w:rsidRPr="00BD6444">
              <w:rPr>
                <w:rStyle w:val="InstructionsTabelleberschrift"/>
              </w:rPr>
              <w:t xml:space="preserve"> </w:t>
            </w:r>
          </w:p>
          <w:p w:rsidR="001965A1" w:rsidRDefault="001965A1" w:rsidP="00BC43F3">
            <w:pPr>
              <w:pStyle w:val="InstructionsText"/>
              <w:rPr>
                <w:rStyle w:val="FormatvorlageInstructionsTabelleText"/>
                <w:lang w:val="en-US"/>
              </w:rPr>
            </w:pPr>
          </w:p>
          <w:p w:rsidR="001965A1" w:rsidRDefault="001965A1" w:rsidP="00BC43F3">
            <w:pPr>
              <w:pStyle w:val="InstructionsText"/>
              <w:rPr>
                <w:rStyle w:val="FormatvorlageInstructionsTabelleText"/>
                <w:lang w:val="en-US"/>
              </w:rPr>
            </w:pPr>
            <w:r w:rsidRPr="00B37090">
              <w:rPr>
                <w:rStyle w:val="FormatvorlageInstructionsTabelleText"/>
              </w:rPr>
              <w:t>Article 4</w:t>
            </w:r>
            <w:r>
              <w:rPr>
                <w:rStyle w:val="FormatvorlageInstructionsTabelleText"/>
              </w:rPr>
              <w:t>16(2)</w:t>
            </w:r>
            <w:r w:rsidRPr="00B37090">
              <w:rPr>
                <w:rStyle w:val="FormatvorlageInstructionsTabelleText"/>
              </w:rPr>
              <w:t>(a)(</w:t>
            </w:r>
            <w:proofErr w:type="spellStart"/>
            <w:r w:rsidRPr="00B37090">
              <w:rPr>
                <w:rStyle w:val="FormatvorlageInstructionsTabelleText"/>
              </w:rPr>
              <w:t>i</w:t>
            </w:r>
            <w:proofErr w:type="spellEnd"/>
            <w:r w:rsidRPr="00B37090">
              <w:rPr>
                <w:rStyle w:val="FormatvorlageInstructionsTabelleText"/>
              </w:rPr>
              <w:t>)</w:t>
            </w:r>
            <w:r w:rsidR="00AA6BC0">
              <w:rPr>
                <w:rStyle w:val="FormatvorlageInstructionsTabelleText"/>
              </w:rPr>
              <w:t>REGULATION (EU) NO 575/2013</w:t>
            </w:r>
          </w:p>
          <w:p w:rsidR="001965A1" w:rsidRDefault="001965A1" w:rsidP="00BC43F3">
            <w:pPr>
              <w:pStyle w:val="InstructionsText"/>
              <w:rPr>
                <w:rStyle w:val="InstructionsTabelleberschrift"/>
              </w:rPr>
            </w:pPr>
          </w:p>
          <w:p w:rsidR="001965A1" w:rsidRDefault="001965A1" w:rsidP="00BC43F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221C50">
              <w:rPr>
                <w:rStyle w:val="InstructionsTabelleberschrift"/>
                <w:b w:val="0"/>
                <w:u w:val="none"/>
              </w:rPr>
              <w:t>Chapter 5,</w:t>
            </w:r>
            <w:r>
              <w:rPr>
                <w:rStyle w:val="InstructionsTabelleberschrift"/>
                <w:b w:val="0"/>
                <w:u w:val="none"/>
              </w:rPr>
              <w:t xml:space="preserve"> </w:t>
            </w:r>
            <w:r w:rsidRPr="00221C50">
              <w:rPr>
                <w:rStyle w:val="InstructionsTabelleberschrift"/>
                <w:b w:val="0"/>
                <w:u w:val="none"/>
              </w:rPr>
              <w:t>Title 2</w:t>
            </w:r>
            <w:r>
              <w:rPr>
                <w:rStyle w:val="InstructionsTabelleberschrift"/>
                <w:b w:val="0"/>
                <w:u w:val="none"/>
              </w:rPr>
              <w:t xml:space="preserve"> </w:t>
            </w:r>
            <w:r w:rsidRPr="00221C50">
              <w:rPr>
                <w:rStyle w:val="InstructionsTabelleberschrift"/>
                <w:b w:val="0"/>
                <w:u w:val="none"/>
              </w:rPr>
              <w:t xml:space="preserve">and Article 123, 124, 125, 126 of </w:t>
            </w:r>
            <w:r w:rsidR="00AA6BC0">
              <w:rPr>
                <w:rStyle w:val="InstructionsTabelleberschrift"/>
                <w:b w:val="0"/>
                <w:u w:val="none"/>
              </w:rPr>
              <w:t>REGULATION (EU) NO 575/2013</w:t>
            </w:r>
            <w:r w:rsidR="004137FC">
              <w:rPr>
                <w:rStyle w:val="InstructionsTabelleberschrift"/>
                <w:b w:val="0"/>
                <w:u w:val="none"/>
              </w:rPr>
              <w:t xml:space="preserve">, and in </w:t>
            </w:r>
            <w:r w:rsidR="004137FC" w:rsidRPr="004137FC">
              <w:rPr>
                <w:rStyle w:val="InstructionsTabelleberschrift"/>
                <w:b w:val="0"/>
                <w:szCs w:val="20"/>
                <w:u w:val="none"/>
              </w:rPr>
              <w:t>accordance with 1.2.2 above, in the appropriate sub-category</w:t>
            </w: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300</w:t>
            </w:r>
          </w:p>
        </w:tc>
        <w:tc>
          <w:tcPr>
            <w:tcW w:w="7371" w:type="dxa"/>
            <w:gridSpan w:val="3"/>
          </w:tcPr>
          <w:p w:rsidR="001965A1" w:rsidRPr="00494E1C" w:rsidRDefault="00103CBB" w:rsidP="00BC43F3">
            <w:pPr>
              <w:pStyle w:val="InstructionsText"/>
              <w:rPr>
                <w:rStyle w:val="InstructionsTabelleberschrift"/>
              </w:rPr>
            </w:pPr>
            <w:r w:rsidRPr="00494E1C">
              <w:rPr>
                <w:rStyle w:val="InstructionsTabelleberschrift"/>
              </w:rPr>
              <w:t>1.2.2.6.1</w:t>
            </w:r>
            <w:r w:rsidR="00494E1C">
              <w:rPr>
                <w:rStyle w:val="InstructionsTabelleberschrift"/>
              </w:rPr>
              <w:t xml:space="preserve"> </w:t>
            </w:r>
            <w:r w:rsidR="001965A1" w:rsidRPr="00B37090">
              <w:rPr>
                <w:rStyle w:val="InstructionsTabelleberschrift"/>
              </w:rPr>
              <w:t>credit quality step 1</w:t>
            </w: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310</w:t>
            </w:r>
          </w:p>
        </w:tc>
        <w:tc>
          <w:tcPr>
            <w:tcW w:w="7371" w:type="dxa"/>
            <w:gridSpan w:val="3"/>
          </w:tcPr>
          <w:p w:rsidR="001965A1" w:rsidRPr="00494E1C" w:rsidRDefault="00103CBB" w:rsidP="00BC43F3">
            <w:pPr>
              <w:pStyle w:val="InstructionsText"/>
              <w:rPr>
                <w:rStyle w:val="InstructionsTabelleberschrift"/>
              </w:rPr>
            </w:pPr>
            <w:r w:rsidRPr="00494E1C">
              <w:rPr>
                <w:rStyle w:val="InstructionsTabelleberschrift"/>
              </w:rPr>
              <w:t>1.2.2.6.2</w:t>
            </w:r>
            <w:r w:rsidR="00494E1C">
              <w:rPr>
                <w:rStyle w:val="InstructionsTabelleberschrift"/>
              </w:rPr>
              <w:t xml:space="preserve"> </w:t>
            </w:r>
            <w:r w:rsidR="001965A1" w:rsidRPr="00B37090">
              <w:rPr>
                <w:rStyle w:val="InstructionsTabelleberschrift"/>
              </w:rPr>
              <w:t>credit quality step 2</w:t>
            </w: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252EB7">
            <w:pPr>
              <w:rPr>
                <w:rFonts w:cs="Arial"/>
                <w:sz w:val="16"/>
                <w:szCs w:val="16"/>
              </w:rPr>
            </w:pPr>
            <w:r>
              <w:rPr>
                <w:rFonts w:cs="Arial"/>
                <w:sz w:val="16"/>
                <w:szCs w:val="16"/>
              </w:rPr>
              <w:t>320</w:t>
            </w:r>
          </w:p>
        </w:tc>
        <w:tc>
          <w:tcPr>
            <w:tcW w:w="7371" w:type="dxa"/>
            <w:gridSpan w:val="3"/>
          </w:tcPr>
          <w:p w:rsidR="001965A1" w:rsidRPr="00494E1C" w:rsidRDefault="00103CBB" w:rsidP="00BC43F3">
            <w:pPr>
              <w:pStyle w:val="InstructionsText"/>
              <w:rPr>
                <w:rStyle w:val="InstructionsTabelleberschrift"/>
              </w:rPr>
            </w:pPr>
            <w:r w:rsidRPr="00494E1C">
              <w:rPr>
                <w:rStyle w:val="InstructionsTabelleberschrift"/>
              </w:rPr>
              <w:t>1.2.2.6.3</w:t>
            </w:r>
            <w:r w:rsidR="00494E1C">
              <w:rPr>
                <w:rStyle w:val="InstructionsTabelleberschrift"/>
              </w:rPr>
              <w:t xml:space="preserve"> </w:t>
            </w:r>
            <w:r w:rsidR="001965A1" w:rsidRPr="00B37090">
              <w:rPr>
                <w:rStyle w:val="InstructionsTabelleberschrift"/>
              </w:rPr>
              <w:t>credit quality step 3</w:t>
            </w:r>
          </w:p>
          <w:p w:rsidR="001965A1" w:rsidRDefault="001965A1" w:rsidP="00BC43F3">
            <w:pPr>
              <w:pStyle w:val="InstructionsText"/>
              <w:rPr>
                <w:rStyle w:val="InstructionsTabelleberschrift"/>
              </w:rPr>
            </w:pPr>
          </w:p>
        </w:tc>
      </w:tr>
      <w:tr w:rsidR="001965A1" w:rsidRPr="00B37090" w:rsidTr="00C652C1">
        <w:trPr>
          <w:trHeight w:val="449"/>
        </w:trPr>
        <w:tc>
          <w:tcPr>
            <w:tcW w:w="1412" w:type="dxa"/>
            <w:gridSpan w:val="2"/>
            <w:shd w:val="clear" w:color="auto" w:fill="F2F2F2" w:themeFill="background1" w:themeFillShade="F2"/>
          </w:tcPr>
          <w:p w:rsidR="001965A1" w:rsidRDefault="003F4293">
            <w:pPr>
              <w:rPr>
                <w:rFonts w:cs="Arial"/>
                <w:sz w:val="16"/>
                <w:szCs w:val="16"/>
              </w:rPr>
            </w:pPr>
            <w:r>
              <w:rPr>
                <w:rFonts w:cs="Arial"/>
                <w:sz w:val="16"/>
                <w:szCs w:val="16"/>
              </w:rPr>
              <w:t>330-350</w:t>
            </w:r>
          </w:p>
        </w:tc>
        <w:tc>
          <w:tcPr>
            <w:tcW w:w="7371" w:type="dxa"/>
            <w:gridSpan w:val="3"/>
            <w:shd w:val="clear" w:color="auto" w:fill="F2F2F2" w:themeFill="background1" w:themeFillShade="F2"/>
          </w:tcPr>
          <w:p w:rsidR="001965A1" w:rsidRDefault="00103CBB" w:rsidP="00BC43F3">
            <w:pPr>
              <w:pStyle w:val="InstructionsText"/>
              <w:rPr>
                <w:rStyle w:val="FormatvorlageInstructionsTabelleText"/>
              </w:rPr>
            </w:pPr>
            <w:r w:rsidRPr="00494E1C">
              <w:rPr>
                <w:rStyle w:val="InstructionsTabelleberschrift"/>
              </w:rPr>
              <w:t>1.2.2.7</w:t>
            </w:r>
            <w:r w:rsidR="00494E1C">
              <w:rPr>
                <w:rStyle w:val="InstructionsTabelleberschrift"/>
              </w:rPr>
              <w:t xml:space="preserve"> </w:t>
            </w:r>
            <w:r w:rsidR="001965A1" w:rsidRPr="00221C50">
              <w:rPr>
                <w:rStyle w:val="InstructionsTabelleberschrift"/>
              </w:rPr>
              <w:t>Residential mortgage backed instruments of the instruments reported in lines 1.10.1, 1.10.2, 1.10.3</w:t>
            </w:r>
            <w:r w:rsidR="00F26BB9">
              <w:rPr>
                <w:rStyle w:val="InstructionsTabelleberschrift"/>
              </w:rPr>
              <w:t xml:space="preserve"> of the liquid assets template </w:t>
            </w:r>
            <w:r w:rsidR="001965A1" w:rsidRPr="00A42447">
              <w:rPr>
                <w:rStyle w:val="InstructionsTabelleberschrift"/>
              </w:rPr>
              <w:t xml:space="preserve"> </w:t>
            </w:r>
          </w:p>
          <w:p w:rsidR="001965A1" w:rsidRDefault="001965A1" w:rsidP="00BC43F3">
            <w:pPr>
              <w:pStyle w:val="InstructionsText"/>
              <w:rPr>
                <w:rStyle w:val="FormatvorlageInstructionsTabelleText"/>
              </w:rPr>
            </w:pPr>
            <w:r>
              <w:rPr>
                <w:rStyle w:val="FormatvorlageInstructionsTabelleText"/>
              </w:rPr>
              <w:t>Article 416(2)(a)(</w:t>
            </w:r>
            <w:proofErr w:type="spellStart"/>
            <w:r>
              <w:rPr>
                <w:rStyle w:val="FormatvorlageInstructionsTabelleText"/>
              </w:rPr>
              <w:t>i</w:t>
            </w:r>
            <w:proofErr w:type="spellEnd"/>
            <w:r>
              <w:rPr>
                <w:rStyle w:val="FormatvorlageInstructionsTabelleText"/>
              </w:rPr>
              <w:t>)</w:t>
            </w:r>
            <w:r w:rsidR="00AA6BC0">
              <w:rPr>
                <w:rStyle w:val="FormatvorlageInstructionsTabelleText"/>
              </w:rPr>
              <w:t>REGULATION (EU) NO 575/2013</w:t>
            </w:r>
          </w:p>
          <w:p w:rsidR="001965A1" w:rsidRDefault="001965A1" w:rsidP="00BC43F3">
            <w:pPr>
              <w:pStyle w:val="InstructionsText"/>
              <w:rPr>
                <w:rStyle w:val="InstructionsTabelleberschrift"/>
                <w:b w:val="0"/>
                <w:szCs w:val="24"/>
                <w:u w:val="none"/>
                <w:lang w:eastAsia="en-US"/>
              </w:rPr>
            </w:pPr>
          </w:p>
          <w:p w:rsidR="001965A1" w:rsidRDefault="001965A1" w:rsidP="00BC43F3">
            <w:pPr>
              <w:pStyle w:val="InstructionsText"/>
              <w:rPr>
                <w:rStyle w:val="InstructionsTabelleberschrift"/>
                <w:b w:val="0"/>
                <w:szCs w:val="24"/>
                <w:u w:val="none"/>
                <w:lang w:eastAsia="en-US"/>
              </w:rPr>
            </w:pPr>
            <w:r>
              <w:rPr>
                <w:rStyle w:val="InstructionsTabelleberschrift"/>
                <w:b w:val="0"/>
                <w:u w:val="none"/>
              </w:rPr>
              <w:t xml:space="preserve">Those items shall be reported according to their credit quality as per </w:t>
            </w:r>
            <w:r w:rsidRPr="00221C50">
              <w:rPr>
                <w:rStyle w:val="InstructionsTabelleberschrift"/>
                <w:b w:val="0"/>
                <w:u w:val="none"/>
              </w:rPr>
              <w:t>Chapter 5,</w:t>
            </w:r>
            <w:r>
              <w:rPr>
                <w:rStyle w:val="InstructionsTabelleberschrift"/>
                <w:b w:val="0"/>
                <w:u w:val="none"/>
              </w:rPr>
              <w:t xml:space="preserve"> </w:t>
            </w:r>
            <w:r w:rsidRPr="00221C50">
              <w:rPr>
                <w:rStyle w:val="InstructionsTabelleberschrift"/>
                <w:b w:val="0"/>
                <w:u w:val="none"/>
              </w:rPr>
              <w:t>Title 2</w:t>
            </w:r>
            <w:r>
              <w:rPr>
                <w:rStyle w:val="InstructionsTabelleberschrift"/>
                <w:b w:val="0"/>
                <w:u w:val="none"/>
              </w:rPr>
              <w:t xml:space="preserve"> </w:t>
            </w:r>
            <w:r w:rsidRPr="00221C50">
              <w:rPr>
                <w:rStyle w:val="InstructionsTabelleberschrift"/>
                <w:b w:val="0"/>
                <w:u w:val="none"/>
              </w:rPr>
              <w:t xml:space="preserve">and Article 123, 124, 125, 126 of </w:t>
            </w:r>
            <w:r w:rsidR="00AA6BC0">
              <w:rPr>
                <w:rStyle w:val="InstructionsTabelleberschrift"/>
                <w:b w:val="0"/>
                <w:u w:val="none"/>
              </w:rPr>
              <w:t>REGULATION (EU) NO 575/2013</w:t>
            </w:r>
            <w:r w:rsidR="004137FC">
              <w:rPr>
                <w:rStyle w:val="InstructionsTabelleberschrift"/>
                <w:b w:val="0"/>
                <w:u w:val="none"/>
              </w:rPr>
              <w:t xml:space="preserve">, and in </w:t>
            </w:r>
            <w:r w:rsidR="004137FC" w:rsidRPr="004137FC">
              <w:rPr>
                <w:rStyle w:val="InstructionsTabelleberschrift"/>
                <w:b w:val="0"/>
                <w:szCs w:val="20"/>
                <w:u w:val="none"/>
              </w:rPr>
              <w:t>accordance with 1.2.2 above, in the appropriate sub-category</w:t>
            </w:r>
          </w:p>
          <w:p w:rsidR="001965A1" w:rsidRDefault="001965A1" w:rsidP="00BC43F3">
            <w:pPr>
              <w:pStyle w:val="InstructionsText"/>
              <w:rPr>
                <w:rStyle w:val="InstructionsTabelleberschrift"/>
                <w:szCs w:val="24"/>
                <w:lang w:eastAsia="en-US"/>
              </w:rPr>
            </w:pPr>
          </w:p>
        </w:tc>
      </w:tr>
      <w:tr w:rsidR="001965A1" w:rsidRPr="00B37090" w:rsidTr="00C652C1">
        <w:trPr>
          <w:trHeight w:val="449"/>
        </w:trPr>
        <w:tc>
          <w:tcPr>
            <w:tcW w:w="1412" w:type="dxa"/>
            <w:gridSpan w:val="2"/>
            <w:shd w:val="clear" w:color="auto" w:fill="FFFFFF" w:themeFill="background1"/>
          </w:tcPr>
          <w:p w:rsidR="001965A1" w:rsidRDefault="003F4293">
            <w:pPr>
              <w:rPr>
                <w:rFonts w:cs="Arial"/>
                <w:sz w:val="16"/>
                <w:szCs w:val="16"/>
              </w:rPr>
            </w:pPr>
            <w:r>
              <w:rPr>
                <w:rFonts w:cs="Arial"/>
                <w:sz w:val="16"/>
                <w:szCs w:val="16"/>
              </w:rPr>
              <w:t>330</w:t>
            </w:r>
          </w:p>
        </w:tc>
        <w:tc>
          <w:tcPr>
            <w:tcW w:w="7371" w:type="dxa"/>
            <w:gridSpan w:val="3"/>
            <w:shd w:val="clear" w:color="auto" w:fill="FFFFFF" w:themeFill="background1"/>
          </w:tcPr>
          <w:p w:rsidR="001965A1" w:rsidRPr="00494E1C" w:rsidRDefault="00103CBB" w:rsidP="00BC43F3">
            <w:pPr>
              <w:pStyle w:val="InstructionsText"/>
              <w:rPr>
                <w:rStyle w:val="InstructionsTabelleberschrift"/>
              </w:rPr>
            </w:pPr>
            <w:r w:rsidRPr="00494E1C">
              <w:rPr>
                <w:rStyle w:val="InstructionsTabelleberschrift"/>
              </w:rPr>
              <w:t>1.2.2.7.1</w:t>
            </w:r>
            <w:r w:rsidR="00494E1C">
              <w:rPr>
                <w:rStyle w:val="InstructionsTabelleberschrift"/>
              </w:rPr>
              <w:t xml:space="preserve"> </w:t>
            </w:r>
            <w:r w:rsidR="001965A1" w:rsidRPr="00B37090">
              <w:rPr>
                <w:rStyle w:val="InstructionsTabelleberschrift"/>
              </w:rPr>
              <w:t>credit quality step 1</w:t>
            </w:r>
          </w:p>
          <w:p w:rsidR="001965A1" w:rsidRPr="00494E1C" w:rsidRDefault="001965A1" w:rsidP="00BC43F3">
            <w:pPr>
              <w:pStyle w:val="InstructionsText"/>
              <w:rPr>
                <w:rStyle w:val="InstructionsTabelleberschrift"/>
              </w:rPr>
            </w:pPr>
          </w:p>
        </w:tc>
      </w:tr>
      <w:tr w:rsidR="001965A1" w:rsidRPr="00B37090" w:rsidTr="00C652C1">
        <w:trPr>
          <w:trHeight w:val="449"/>
        </w:trPr>
        <w:tc>
          <w:tcPr>
            <w:tcW w:w="1412" w:type="dxa"/>
            <w:gridSpan w:val="2"/>
            <w:shd w:val="clear" w:color="auto" w:fill="FFFFFF" w:themeFill="background1"/>
          </w:tcPr>
          <w:p w:rsidR="001965A1" w:rsidRDefault="003F4293">
            <w:pPr>
              <w:rPr>
                <w:rFonts w:cs="Arial"/>
                <w:sz w:val="16"/>
                <w:szCs w:val="16"/>
              </w:rPr>
            </w:pPr>
            <w:r>
              <w:rPr>
                <w:rFonts w:cs="Arial"/>
                <w:sz w:val="16"/>
                <w:szCs w:val="16"/>
              </w:rPr>
              <w:t>340</w:t>
            </w:r>
          </w:p>
        </w:tc>
        <w:tc>
          <w:tcPr>
            <w:tcW w:w="7371" w:type="dxa"/>
            <w:gridSpan w:val="3"/>
            <w:shd w:val="clear" w:color="auto" w:fill="FFFFFF" w:themeFill="background1"/>
          </w:tcPr>
          <w:p w:rsidR="001965A1" w:rsidRPr="00494E1C" w:rsidRDefault="00103CBB" w:rsidP="00BC43F3">
            <w:pPr>
              <w:pStyle w:val="InstructionsText"/>
              <w:rPr>
                <w:rStyle w:val="InstructionsTabelleberschrift"/>
              </w:rPr>
            </w:pPr>
            <w:r w:rsidRPr="00494E1C">
              <w:rPr>
                <w:rStyle w:val="InstructionsTabelleberschrift"/>
              </w:rPr>
              <w:t>1.2.2.7.2</w:t>
            </w:r>
            <w:r w:rsidR="00494E1C">
              <w:rPr>
                <w:rStyle w:val="InstructionsTabelleberschrift"/>
              </w:rPr>
              <w:t xml:space="preserve"> </w:t>
            </w:r>
            <w:r w:rsidR="001965A1" w:rsidRPr="00B37090">
              <w:rPr>
                <w:rStyle w:val="InstructionsTabelleberschrift"/>
              </w:rPr>
              <w:t>credit quality step 2</w:t>
            </w:r>
          </w:p>
          <w:p w:rsidR="001965A1" w:rsidRPr="00494E1C" w:rsidRDefault="001965A1" w:rsidP="00BC43F3">
            <w:pPr>
              <w:pStyle w:val="InstructionsText"/>
              <w:rPr>
                <w:rStyle w:val="InstructionsTabelleberschrift"/>
              </w:rPr>
            </w:pPr>
          </w:p>
        </w:tc>
      </w:tr>
      <w:tr w:rsidR="001965A1" w:rsidRPr="00B37090" w:rsidTr="00C652C1">
        <w:trPr>
          <w:trHeight w:val="449"/>
        </w:trPr>
        <w:tc>
          <w:tcPr>
            <w:tcW w:w="1412" w:type="dxa"/>
            <w:gridSpan w:val="2"/>
            <w:shd w:val="clear" w:color="auto" w:fill="FFFFFF" w:themeFill="background1"/>
          </w:tcPr>
          <w:p w:rsidR="001965A1" w:rsidRDefault="003F4293">
            <w:pPr>
              <w:rPr>
                <w:rFonts w:cs="Arial"/>
                <w:sz w:val="16"/>
                <w:szCs w:val="16"/>
              </w:rPr>
            </w:pPr>
            <w:r>
              <w:rPr>
                <w:rFonts w:cs="Arial"/>
                <w:sz w:val="16"/>
                <w:szCs w:val="16"/>
              </w:rPr>
              <w:t>350</w:t>
            </w:r>
          </w:p>
        </w:tc>
        <w:tc>
          <w:tcPr>
            <w:tcW w:w="7371" w:type="dxa"/>
            <w:gridSpan w:val="3"/>
            <w:shd w:val="clear" w:color="auto" w:fill="FFFFFF" w:themeFill="background1"/>
          </w:tcPr>
          <w:p w:rsidR="001965A1" w:rsidRPr="00494E1C" w:rsidRDefault="00103CBB" w:rsidP="00BC43F3">
            <w:pPr>
              <w:pStyle w:val="InstructionsText"/>
              <w:rPr>
                <w:rStyle w:val="InstructionsTabelleberschrift"/>
              </w:rPr>
            </w:pPr>
            <w:r w:rsidRPr="00494E1C">
              <w:rPr>
                <w:rStyle w:val="InstructionsTabelleberschrift"/>
              </w:rPr>
              <w:t>1.2.2.7.3</w:t>
            </w:r>
            <w:r w:rsidR="00494E1C">
              <w:rPr>
                <w:rStyle w:val="InstructionsTabelleberschrift"/>
              </w:rPr>
              <w:t xml:space="preserve"> </w:t>
            </w:r>
            <w:r w:rsidR="001965A1" w:rsidRPr="00B37090">
              <w:rPr>
                <w:rStyle w:val="InstructionsTabelleberschrift"/>
              </w:rPr>
              <w:t>credit quality step 3</w:t>
            </w:r>
          </w:p>
          <w:p w:rsidR="001965A1" w:rsidRPr="00494E1C" w:rsidRDefault="001965A1" w:rsidP="00BC43F3">
            <w:pPr>
              <w:pStyle w:val="InstructionsText"/>
              <w:rPr>
                <w:rStyle w:val="InstructionsTabelleberschrift"/>
              </w:rPr>
            </w:pPr>
          </w:p>
        </w:tc>
      </w:tr>
      <w:tr w:rsidR="001965A1" w:rsidRPr="00B37090" w:rsidTr="00C652C1">
        <w:tc>
          <w:tcPr>
            <w:tcW w:w="1412" w:type="dxa"/>
            <w:gridSpan w:val="2"/>
            <w:shd w:val="clear" w:color="auto" w:fill="E6E6E6"/>
          </w:tcPr>
          <w:p w:rsidR="001965A1" w:rsidRDefault="003F4293">
            <w:pPr>
              <w:rPr>
                <w:rFonts w:cs="Arial"/>
                <w:sz w:val="16"/>
                <w:szCs w:val="16"/>
              </w:rPr>
            </w:pPr>
            <w:r>
              <w:rPr>
                <w:rFonts w:cs="Arial"/>
                <w:sz w:val="16"/>
                <w:szCs w:val="16"/>
              </w:rPr>
              <w:t>360-380</w:t>
            </w:r>
          </w:p>
        </w:tc>
        <w:tc>
          <w:tcPr>
            <w:tcW w:w="7371" w:type="dxa"/>
            <w:gridSpan w:val="3"/>
            <w:shd w:val="clear" w:color="auto" w:fill="E6E6E6"/>
          </w:tcPr>
          <w:p w:rsidR="001965A1" w:rsidRDefault="00103CBB" w:rsidP="00BC43F3">
            <w:pPr>
              <w:pStyle w:val="InstructionsText"/>
              <w:rPr>
                <w:rStyle w:val="InstructionsTabelleberschrift"/>
                <w:lang w:val="en-US"/>
              </w:rPr>
            </w:pPr>
            <w:r w:rsidRPr="00494E1C">
              <w:rPr>
                <w:rStyle w:val="InstructionsTabelleberschrift"/>
              </w:rPr>
              <w:t xml:space="preserve">1.2.2.8 </w:t>
            </w:r>
            <w:r w:rsidR="001965A1" w:rsidRPr="00B37090">
              <w:rPr>
                <w:rStyle w:val="InstructionsTabelleberschrift"/>
              </w:rPr>
              <w:t>bonds as defined in Article 52(4) of Directive 2009/65/EC other than those referred to in 1.9</w:t>
            </w:r>
          </w:p>
          <w:p w:rsidR="001965A1" w:rsidRDefault="001965A1" w:rsidP="00BC43F3">
            <w:pPr>
              <w:pStyle w:val="InstructionsText"/>
              <w:rPr>
                <w:rStyle w:val="FormatvorlageInstructionsTabelleText"/>
                <w:lang w:val="en-US"/>
              </w:rPr>
            </w:pPr>
          </w:p>
          <w:p w:rsidR="001965A1" w:rsidRDefault="001965A1" w:rsidP="00BC43F3">
            <w:pPr>
              <w:pStyle w:val="InstructionsText"/>
              <w:rPr>
                <w:rStyle w:val="FormatvorlageInstructionsTabelleText"/>
                <w:lang w:val="en-US"/>
              </w:rPr>
            </w:pPr>
            <w:r w:rsidRPr="00B37090">
              <w:rPr>
                <w:rStyle w:val="FormatvorlageInstructionsTabelleText"/>
              </w:rPr>
              <w:t>Article 4</w:t>
            </w:r>
            <w:r>
              <w:rPr>
                <w:rStyle w:val="FormatvorlageInstructionsTabelleText"/>
              </w:rPr>
              <w:t>16(2)</w:t>
            </w:r>
            <w:r w:rsidRPr="00B37090">
              <w:rPr>
                <w:rStyle w:val="FormatvorlageInstructionsTabelleText"/>
              </w:rPr>
              <w:t>(a)(i</w:t>
            </w:r>
            <w:r>
              <w:rPr>
                <w:rStyle w:val="FormatvorlageInstructionsTabelleText"/>
              </w:rPr>
              <w:t>i</w:t>
            </w:r>
            <w:r w:rsidRPr="00B37090">
              <w:rPr>
                <w:rStyle w:val="FormatvorlageInstructionsTabelleText"/>
              </w:rPr>
              <w:t xml:space="preserve">) </w:t>
            </w:r>
            <w:r w:rsidR="00AA6BC0">
              <w:rPr>
                <w:rStyle w:val="FormatvorlageInstructionsTabelleText"/>
              </w:rPr>
              <w:t>REGULATION (EU) NO 575/2013</w:t>
            </w:r>
          </w:p>
          <w:p w:rsidR="001965A1" w:rsidRDefault="001965A1" w:rsidP="00BC43F3">
            <w:pPr>
              <w:pStyle w:val="InstructionsText"/>
              <w:rPr>
                <w:rStyle w:val="InstructionsTabelleberschrift"/>
                <w:szCs w:val="24"/>
                <w:lang w:eastAsia="en-US"/>
              </w:rPr>
            </w:pPr>
          </w:p>
          <w:p w:rsidR="001965A1" w:rsidRDefault="001965A1" w:rsidP="00BC43F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Article </w:t>
            </w:r>
            <w:r w:rsidRPr="00CA3217">
              <w:rPr>
                <w:rStyle w:val="InstructionsTabelleberschrift"/>
                <w:b w:val="0"/>
                <w:u w:val="none"/>
              </w:rPr>
              <w:t xml:space="preserve">129(4) or 129(5) of </w:t>
            </w:r>
            <w:r w:rsidR="00AA6BC0">
              <w:rPr>
                <w:rStyle w:val="InstructionsTabelleberschrift"/>
                <w:b w:val="0"/>
                <w:u w:val="none"/>
              </w:rPr>
              <w:t>REGULATION (EU) NO 575/2013</w:t>
            </w:r>
            <w:r w:rsidR="004137FC">
              <w:rPr>
                <w:rStyle w:val="InstructionsTabelleberschrift"/>
                <w:b w:val="0"/>
                <w:u w:val="none"/>
              </w:rPr>
              <w:t xml:space="preserve">, and in </w:t>
            </w:r>
            <w:r w:rsidR="004137FC" w:rsidRPr="004137FC">
              <w:rPr>
                <w:rStyle w:val="InstructionsTabelleberschrift"/>
                <w:b w:val="0"/>
                <w:szCs w:val="20"/>
                <w:u w:val="none"/>
              </w:rPr>
              <w:t>accordance with 1.2.2 above, in the appropriate sub-category</w:t>
            </w:r>
          </w:p>
          <w:p w:rsidR="001965A1" w:rsidRPr="00B37090" w:rsidRDefault="001965A1" w:rsidP="00BC43F3">
            <w:pPr>
              <w:autoSpaceDE w:val="0"/>
              <w:autoSpaceDN w:val="0"/>
              <w:adjustRightInd w:val="0"/>
              <w:spacing w:before="0" w:after="0"/>
              <w:rPr>
                <w:rStyle w:val="InstructionsTabelleberschrift"/>
                <w:b w:val="0"/>
                <w:u w:val="none"/>
              </w:rPr>
            </w:pPr>
          </w:p>
        </w:tc>
      </w:tr>
      <w:tr w:rsidR="001965A1" w:rsidRPr="00B37090" w:rsidTr="00C652C1">
        <w:tc>
          <w:tcPr>
            <w:tcW w:w="1412" w:type="dxa"/>
            <w:gridSpan w:val="2"/>
          </w:tcPr>
          <w:p w:rsidR="001965A1" w:rsidRDefault="003F4293">
            <w:pPr>
              <w:rPr>
                <w:rFonts w:cs="Arial"/>
                <w:sz w:val="16"/>
                <w:szCs w:val="16"/>
              </w:rPr>
            </w:pPr>
            <w:r>
              <w:rPr>
                <w:rFonts w:cs="Arial"/>
                <w:sz w:val="16"/>
                <w:szCs w:val="16"/>
              </w:rPr>
              <w:t>360</w:t>
            </w:r>
          </w:p>
        </w:tc>
        <w:tc>
          <w:tcPr>
            <w:tcW w:w="7371" w:type="dxa"/>
            <w:gridSpan w:val="3"/>
          </w:tcPr>
          <w:p w:rsidR="001965A1" w:rsidRDefault="00103CBB" w:rsidP="00BC43F3">
            <w:pPr>
              <w:pStyle w:val="InstructionsText"/>
              <w:rPr>
                <w:rStyle w:val="InstructionsTabelleberschrift"/>
              </w:rPr>
            </w:pPr>
            <w:r w:rsidRPr="00494E1C">
              <w:rPr>
                <w:rStyle w:val="InstructionsTabelleberschrift"/>
              </w:rPr>
              <w:t>1.2.2.8.1</w:t>
            </w:r>
            <w:r w:rsidR="00494E1C">
              <w:rPr>
                <w:rStyle w:val="InstructionsTabelleberschrift"/>
              </w:rPr>
              <w:t xml:space="preserve"> </w:t>
            </w:r>
            <w:r w:rsidR="001965A1" w:rsidRPr="00B37090">
              <w:rPr>
                <w:rStyle w:val="InstructionsTabelleberschrift"/>
              </w:rPr>
              <w:t>credit quality step 1</w:t>
            </w:r>
          </w:p>
          <w:p w:rsidR="001965A1" w:rsidRPr="00494E1C" w:rsidRDefault="001965A1" w:rsidP="00BC43F3">
            <w:pPr>
              <w:pStyle w:val="InstructionsText"/>
              <w:rPr>
                <w:rStyle w:val="InstructionsTabelleberschrift"/>
              </w:rPr>
            </w:pPr>
          </w:p>
          <w:p w:rsidR="001965A1" w:rsidRPr="00494E1C" w:rsidRDefault="001965A1" w:rsidP="00BC43F3">
            <w:pPr>
              <w:pStyle w:val="InstructionsText"/>
              <w:rPr>
                <w:rStyle w:val="InstructionsTabelleberschrift"/>
              </w:rPr>
            </w:pPr>
          </w:p>
        </w:tc>
      </w:tr>
      <w:tr w:rsidR="001965A1" w:rsidRPr="00B37090" w:rsidTr="00C652C1">
        <w:tc>
          <w:tcPr>
            <w:tcW w:w="1412" w:type="dxa"/>
            <w:gridSpan w:val="2"/>
          </w:tcPr>
          <w:p w:rsidR="001965A1" w:rsidRDefault="003F4293">
            <w:pPr>
              <w:rPr>
                <w:rFonts w:cs="Arial"/>
                <w:sz w:val="16"/>
                <w:szCs w:val="16"/>
              </w:rPr>
            </w:pPr>
            <w:r>
              <w:rPr>
                <w:rFonts w:cs="Arial"/>
                <w:sz w:val="16"/>
                <w:szCs w:val="16"/>
              </w:rPr>
              <w:t>370</w:t>
            </w:r>
          </w:p>
        </w:tc>
        <w:tc>
          <w:tcPr>
            <w:tcW w:w="7371" w:type="dxa"/>
            <w:gridSpan w:val="3"/>
          </w:tcPr>
          <w:p w:rsidR="001965A1" w:rsidRPr="00494E1C" w:rsidRDefault="00103CBB" w:rsidP="00BC43F3">
            <w:pPr>
              <w:pStyle w:val="InstructionsText"/>
              <w:rPr>
                <w:rStyle w:val="InstructionsTabelleberschrift"/>
              </w:rPr>
            </w:pPr>
            <w:r w:rsidRPr="00494E1C">
              <w:rPr>
                <w:rStyle w:val="InstructionsTabelleberschrift"/>
              </w:rPr>
              <w:t>1.2.2.8.2</w:t>
            </w:r>
            <w:r w:rsidR="00494E1C">
              <w:rPr>
                <w:rStyle w:val="InstructionsTabelleberschrift"/>
              </w:rPr>
              <w:t xml:space="preserve"> </w:t>
            </w:r>
            <w:r w:rsidR="001965A1" w:rsidRPr="00B37090">
              <w:rPr>
                <w:rStyle w:val="InstructionsTabelleberschrift"/>
              </w:rPr>
              <w:t>credit quality step 2</w:t>
            </w:r>
          </w:p>
          <w:p w:rsidR="001965A1" w:rsidRPr="00494E1C"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C652C1">
        <w:tc>
          <w:tcPr>
            <w:tcW w:w="1412" w:type="dxa"/>
            <w:gridSpan w:val="2"/>
          </w:tcPr>
          <w:p w:rsidR="001965A1" w:rsidRDefault="003F4293">
            <w:pPr>
              <w:rPr>
                <w:rFonts w:cs="Arial"/>
                <w:sz w:val="16"/>
                <w:szCs w:val="16"/>
              </w:rPr>
            </w:pPr>
            <w:r>
              <w:rPr>
                <w:rFonts w:cs="Arial"/>
                <w:sz w:val="16"/>
                <w:szCs w:val="16"/>
              </w:rPr>
              <w:lastRenderedPageBreak/>
              <w:t>380</w:t>
            </w:r>
          </w:p>
        </w:tc>
        <w:tc>
          <w:tcPr>
            <w:tcW w:w="7371" w:type="dxa"/>
            <w:gridSpan w:val="3"/>
          </w:tcPr>
          <w:p w:rsidR="001965A1" w:rsidRPr="00494E1C" w:rsidRDefault="00103CBB" w:rsidP="00BC43F3">
            <w:pPr>
              <w:pStyle w:val="InstructionsText"/>
              <w:rPr>
                <w:rStyle w:val="InstructionsTabelleberschrift"/>
              </w:rPr>
            </w:pPr>
            <w:r w:rsidRPr="00494E1C">
              <w:rPr>
                <w:rStyle w:val="InstructionsTabelleberschrift"/>
              </w:rPr>
              <w:t>1.2.2.8.3</w:t>
            </w:r>
            <w:r w:rsidR="00494E1C">
              <w:rPr>
                <w:rStyle w:val="InstructionsTabelleberschrift"/>
              </w:rPr>
              <w:t xml:space="preserve"> </w:t>
            </w:r>
            <w:r w:rsidR="001965A1" w:rsidRPr="00B37090">
              <w:rPr>
                <w:rStyle w:val="InstructionsTabelleberschrift"/>
              </w:rPr>
              <w:t>credit quality step 3</w:t>
            </w:r>
          </w:p>
          <w:p w:rsidR="001965A1" w:rsidRPr="00494E1C"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4137FC">
        <w:tc>
          <w:tcPr>
            <w:tcW w:w="1412" w:type="dxa"/>
            <w:gridSpan w:val="2"/>
            <w:shd w:val="clear" w:color="auto" w:fill="D9D9D9" w:themeFill="background1" w:themeFillShade="D9"/>
          </w:tcPr>
          <w:p w:rsidR="001965A1" w:rsidRDefault="003F4293">
            <w:pPr>
              <w:rPr>
                <w:rFonts w:cs="Arial"/>
                <w:sz w:val="16"/>
                <w:szCs w:val="16"/>
              </w:rPr>
            </w:pPr>
            <w:r>
              <w:rPr>
                <w:rFonts w:cs="Arial"/>
                <w:sz w:val="16"/>
                <w:szCs w:val="16"/>
              </w:rPr>
              <w:t>390-410</w:t>
            </w:r>
          </w:p>
        </w:tc>
        <w:tc>
          <w:tcPr>
            <w:tcW w:w="7371" w:type="dxa"/>
            <w:gridSpan w:val="3"/>
            <w:shd w:val="clear" w:color="auto" w:fill="D9D9D9" w:themeFill="background1" w:themeFillShade="D9"/>
          </w:tcPr>
          <w:p w:rsidR="001965A1" w:rsidRDefault="00103CBB" w:rsidP="00BC43F3">
            <w:pPr>
              <w:pStyle w:val="InstructionsText"/>
              <w:rPr>
                <w:rStyle w:val="InstructionsTabelleberschrift"/>
              </w:rPr>
            </w:pPr>
            <w:r w:rsidRPr="00494E1C">
              <w:rPr>
                <w:rStyle w:val="InstructionsTabelleberschrift"/>
              </w:rPr>
              <w:t>1.2.2.9</w:t>
            </w:r>
            <w:r w:rsidR="00494E1C">
              <w:rPr>
                <w:rStyle w:val="InstructionsTabelleberschrift"/>
              </w:rPr>
              <w:t xml:space="preserve"> </w:t>
            </w:r>
            <w:r w:rsidR="001965A1" w:rsidRPr="001A4BC9">
              <w:rPr>
                <w:rStyle w:val="InstructionsTabelleberschrift"/>
              </w:rPr>
              <w:t>Other transferable assets that are of extremely high liquidity and credit quality</w:t>
            </w:r>
          </w:p>
          <w:p w:rsidR="001965A1" w:rsidRDefault="001965A1" w:rsidP="00BC43F3">
            <w:pPr>
              <w:pStyle w:val="InstructionsText"/>
              <w:rPr>
                <w:rStyle w:val="FormatvorlageInstructionsTabelleText"/>
              </w:rPr>
            </w:pPr>
          </w:p>
          <w:p w:rsidR="001965A1" w:rsidRDefault="001965A1" w:rsidP="00BC43F3">
            <w:pPr>
              <w:pStyle w:val="InstructionsText"/>
              <w:rPr>
                <w:rStyle w:val="FormatvorlageInstructionsTabelleText"/>
              </w:rPr>
            </w:pPr>
            <w:r w:rsidRPr="001A4BC9">
              <w:rPr>
                <w:rStyle w:val="FormatvorlageInstructionsTabelleText"/>
              </w:rPr>
              <w:t xml:space="preserve">Article 416.1(b) of </w:t>
            </w:r>
            <w:r w:rsidR="00AA6BC0">
              <w:rPr>
                <w:rStyle w:val="FormatvorlageInstructionsTabelleText"/>
              </w:rPr>
              <w:t>REGULATION (EU) NO 575/2013</w:t>
            </w:r>
          </w:p>
          <w:p w:rsidR="001965A1" w:rsidRDefault="001965A1" w:rsidP="00BC43F3">
            <w:pPr>
              <w:pStyle w:val="InstructionsText"/>
              <w:rPr>
                <w:rStyle w:val="FormatvorlageInstructionsTabelleText"/>
                <w:szCs w:val="24"/>
                <w:lang w:eastAsia="en-US"/>
              </w:rPr>
            </w:pPr>
          </w:p>
          <w:p w:rsidR="001965A1" w:rsidRDefault="001965A1" w:rsidP="00BC43F3">
            <w:pPr>
              <w:pStyle w:val="InstructionsText"/>
              <w:rPr>
                <w:rStyle w:val="FormatvorlageInstructionsTabelleText"/>
                <w:szCs w:val="24"/>
                <w:lang w:eastAsia="en-US"/>
              </w:rPr>
            </w:pPr>
            <w:r>
              <w:rPr>
                <w:rStyle w:val="InstructionsTabelleberschrift"/>
                <w:b w:val="0"/>
                <w:u w:val="none"/>
              </w:rPr>
              <w:t xml:space="preserve">Those items shall be reported according to their credit quality as per </w:t>
            </w:r>
            <w:r w:rsidRPr="00F87F89">
              <w:rPr>
                <w:rStyle w:val="InstructionsTabelleberschrift"/>
                <w:b w:val="0"/>
                <w:u w:val="none"/>
              </w:rPr>
              <w:t xml:space="preserve">Chapter 2,Title 2, Part III of </w:t>
            </w:r>
            <w:r w:rsidR="00AA6BC0">
              <w:rPr>
                <w:rStyle w:val="InstructionsTabelleberschrift"/>
                <w:b w:val="0"/>
                <w:u w:val="none"/>
              </w:rPr>
              <w:t>REGULATION (EU) NO 575/2013</w:t>
            </w:r>
            <w:r w:rsidR="004137FC">
              <w:rPr>
                <w:rStyle w:val="InstructionsTabelleberschrift"/>
                <w:b w:val="0"/>
                <w:u w:val="none"/>
              </w:rPr>
              <w:t xml:space="preserve">, and in </w:t>
            </w:r>
            <w:r w:rsidR="004137FC" w:rsidRPr="004137FC">
              <w:rPr>
                <w:rStyle w:val="InstructionsTabelleberschrift"/>
                <w:b w:val="0"/>
                <w:szCs w:val="20"/>
                <w:u w:val="none"/>
              </w:rPr>
              <w:t>accordance with 1.2.2 above, in the appropriate sub-category</w:t>
            </w:r>
          </w:p>
          <w:p w:rsidR="001965A1" w:rsidRDefault="001965A1" w:rsidP="00BC43F3">
            <w:pPr>
              <w:pStyle w:val="InstructionsText"/>
              <w:rPr>
                <w:rStyle w:val="FormatvorlageInstructionsTabelleText"/>
                <w:szCs w:val="24"/>
                <w:lang w:eastAsia="en-US"/>
              </w:rPr>
            </w:pPr>
          </w:p>
          <w:p w:rsidR="001965A1" w:rsidRDefault="001965A1" w:rsidP="00BC43F3">
            <w:pPr>
              <w:pStyle w:val="InstructionsText"/>
              <w:rPr>
                <w:rStyle w:val="FormatvorlageInstructionsTabelleText"/>
              </w:rPr>
            </w:pPr>
            <w:r>
              <w:rPr>
                <w:rStyle w:val="FormatvorlageInstructionsTabelleText"/>
              </w:rPr>
              <w:t>Only items that are not specified in the rows above shall be reported here.</w:t>
            </w:r>
          </w:p>
          <w:p w:rsidR="004137FC" w:rsidRDefault="004137FC" w:rsidP="00BC43F3">
            <w:pPr>
              <w:pStyle w:val="InstructionsText"/>
              <w:rPr>
                <w:rStyle w:val="FormatvorlageInstructionsTabelleText"/>
              </w:rPr>
            </w:pPr>
          </w:p>
          <w:p w:rsidR="001965A1" w:rsidRDefault="001965A1" w:rsidP="004137FC">
            <w:pPr>
              <w:pStyle w:val="InstructionsText"/>
              <w:ind w:left="0"/>
              <w:rPr>
                <w:rStyle w:val="InstructionsTabelleberschrift"/>
                <w:szCs w:val="24"/>
                <w:lang w:eastAsia="en-US"/>
              </w:rPr>
            </w:pPr>
          </w:p>
        </w:tc>
      </w:tr>
      <w:tr w:rsidR="001965A1" w:rsidRPr="00B37090" w:rsidTr="00C652C1">
        <w:tc>
          <w:tcPr>
            <w:tcW w:w="1412" w:type="dxa"/>
            <w:gridSpan w:val="2"/>
            <w:shd w:val="clear" w:color="auto" w:fill="FFFFFF" w:themeFill="background1"/>
          </w:tcPr>
          <w:p w:rsidR="001965A1" w:rsidRPr="00494E1C" w:rsidRDefault="003F4293">
            <w:pPr>
              <w:rPr>
                <w:rStyle w:val="InstructionsTabelleberschrift"/>
                <w:szCs w:val="17"/>
                <w:lang w:eastAsia="de-DE"/>
              </w:rPr>
            </w:pPr>
            <w:r>
              <w:rPr>
                <w:rStyle w:val="InstructionsTabelleberschrift"/>
                <w:szCs w:val="17"/>
                <w:lang w:eastAsia="de-DE"/>
              </w:rPr>
              <w:t>390</w:t>
            </w:r>
          </w:p>
        </w:tc>
        <w:tc>
          <w:tcPr>
            <w:tcW w:w="7371" w:type="dxa"/>
            <w:gridSpan w:val="3"/>
            <w:shd w:val="clear" w:color="auto" w:fill="FFFFFF" w:themeFill="background1"/>
          </w:tcPr>
          <w:p w:rsidR="001965A1" w:rsidRDefault="00103CBB" w:rsidP="00BC43F3">
            <w:pPr>
              <w:pStyle w:val="InstructionsText"/>
              <w:rPr>
                <w:rStyle w:val="InstructionsTabelleberschrift"/>
              </w:rPr>
            </w:pPr>
            <w:r w:rsidRPr="00494E1C">
              <w:rPr>
                <w:rStyle w:val="InstructionsTabelleberschrift"/>
              </w:rPr>
              <w:t>1.2.2.9.1</w:t>
            </w:r>
            <w:r w:rsidR="00494E1C">
              <w:rPr>
                <w:rStyle w:val="InstructionsTabelleberschrift"/>
              </w:rPr>
              <w:t xml:space="preserve"> </w:t>
            </w:r>
            <w:r w:rsidR="001965A1" w:rsidRPr="00B37090">
              <w:rPr>
                <w:rStyle w:val="InstructionsTabelleberschrift"/>
              </w:rPr>
              <w:t>credit quality step 1</w:t>
            </w:r>
          </w:p>
          <w:p w:rsidR="001965A1" w:rsidRPr="00494E1C"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C652C1">
        <w:tc>
          <w:tcPr>
            <w:tcW w:w="1412" w:type="dxa"/>
            <w:gridSpan w:val="2"/>
            <w:shd w:val="clear" w:color="auto" w:fill="FFFFFF" w:themeFill="background1"/>
          </w:tcPr>
          <w:p w:rsidR="001965A1" w:rsidRPr="00494E1C" w:rsidRDefault="003F4293">
            <w:pPr>
              <w:rPr>
                <w:rStyle w:val="InstructionsTabelleberschrift"/>
                <w:szCs w:val="17"/>
                <w:lang w:eastAsia="de-DE"/>
              </w:rPr>
            </w:pPr>
            <w:r>
              <w:rPr>
                <w:rStyle w:val="InstructionsTabelleberschrift"/>
                <w:szCs w:val="17"/>
                <w:lang w:eastAsia="de-DE"/>
              </w:rPr>
              <w:t>400</w:t>
            </w:r>
          </w:p>
        </w:tc>
        <w:tc>
          <w:tcPr>
            <w:tcW w:w="7371" w:type="dxa"/>
            <w:gridSpan w:val="3"/>
            <w:shd w:val="clear" w:color="auto" w:fill="FFFFFF" w:themeFill="background1"/>
          </w:tcPr>
          <w:p w:rsidR="001965A1" w:rsidRDefault="00103CBB" w:rsidP="00BC43F3">
            <w:pPr>
              <w:pStyle w:val="InstructionsText"/>
              <w:rPr>
                <w:rStyle w:val="InstructionsTabelleberschrift"/>
              </w:rPr>
            </w:pPr>
            <w:r w:rsidRPr="00494E1C">
              <w:rPr>
                <w:rStyle w:val="InstructionsTabelleberschrift"/>
              </w:rPr>
              <w:t>1.2.2.9.2</w:t>
            </w:r>
            <w:r w:rsidR="00494E1C">
              <w:rPr>
                <w:rStyle w:val="InstructionsTabelleberschrift"/>
              </w:rPr>
              <w:t xml:space="preserve"> </w:t>
            </w:r>
            <w:r w:rsidR="001965A1" w:rsidRPr="00B37090">
              <w:rPr>
                <w:rStyle w:val="InstructionsTabelleberschrift"/>
              </w:rPr>
              <w:t>credit quality step 2</w:t>
            </w:r>
          </w:p>
          <w:p w:rsidR="001965A1" w:rsidRPr="00494E1C"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C652C1">
        <w:tc>
          <w:tcPr>
            <w:tcW w:w="1412" w:type="dxa"/>
            <w:gridSpan w:val="2"/>
            <w:shd w:val="clear" w:color="auto" w:fill="FFFFFF" w:themeFill="background1"/>
          </w:tcPr>
          <w:p w:rsidR="001965A1" w:rsidRPr="00494E1C" w:rsidRDefault="003F4293">
            <w:pPr>
              <w:rPr>
                <w:rStyle w:val="InstructionsTabelleberschrift"/>
                <w:szCs w:val="17"/>
                <w:lang w:eastAsia="de-DE"/>
              </w:rPr>
            </w:pPr>
            <w:r>
              <w:rPr>
                <w:rStyle w:val="InstructionsTabelleberschrift"/>
                <w:szCs w:val="17"/>
                <w:lang w:eastAsia="de-DE"/>
              </w:rPr>
              <w:t>410</w:t>
            </w:r>
          </w:p>
        </w:tc>
        <w:tc>
          <w:tcPr>
            <w:tcW w:w="7371" w:type="dxa"/>
            <w:gridSpan w:val="3"/>
            <w:shd w:val="clear" w:color="auto" w:fill="FFFFFF" w:themeFill="background1"/>
          </w:tcPr>
          <w:p w:rsidR="001965A1" w:rsidRDefault="00103CBB" w:rsidP="00BC43F3">
            <w:pPr>
              <w:pStyle w:val="InstructionsText"/>
              <w:rPr>
                <w:rStyle w:val="InstructionsTabelleberschrift"/>
              </w:rPr>
            </w:pPr>
            <w:r w:rsidRPr="00494E1C">
              <w:rPr>
                <w:rStyle w:val="InstructionsTabelleberschrift"/>
              </w:rPr>
              <w:t>1.2.2.9.3</w:t>
            </w:r>
            <w:r w:rsidR="00494E1C">
              <w:rPr>
                <w:rStyle w:val="InstructionsTabelleberschrift"/>
              </w:rPr>
              <w:t xml:space="preserve"> </w:t>
            </w:r>
            <w:r w:rsidR="001965A1" w:rsidRPr="00B37090">
              <w:rPr>
                <w:rStyle w:val="InstructionsTabelleberschrift"/>
              </w:rPr>
              <w:t>credit quality step 3</w:t>
            </w:r>
          </w:p>
          <w:p w:rsidR="001965A1" w:rsidRPr="00494E1C"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4137FC">
        <w:tc>
          <w:tcPr>
            <w:tcW w:w="1412" w:type="dxa"/>
            <w:gridSpan w:val="2"/>
            <w:shd w:val="clear" w:color="auto" w:fill="D9D9D9" w:themeFill="background1" w:themeFillShade="D9"/>
          </w:tcPr>
          <w:p w:rsidR="001965A1" w:rsidRDefault="003F4293">
            <w:pPr>
              <w:rPr>
                <w:rFonts w:cs="Arial"/>
                <w:sz w:val="16"/>
                <w:szCs w:val="16"/>
              </w:rPr>
            </w:pPr>
            <w:r>
              <w:rPr>
                <w:rFonts w:cs="Arial"/>
                <w:sz w:val="16"/>
                <w:szCs w:val="16"/>
              </w:rPr>
              <w:t>420-440</w:t>
            </w:r>
          </w:p>
        </w:tc>
        <w:tc>
          <w:tcPr>
            <w:tcW w:w="7371" w:type="dxa"/>
            <w:gridSpan w:val="3"/>
            <w:shd w:val="clear" w:color="auto" w:fill="D9D9D9" w:themeFill="background1" w:themeFillShade="D9"/>
          </w:tcPr>
          <w:p w:rsidR="001965A1" w:rsidRDefault="00103CBB" w:rsidP="00BC43F3">
            <w:pPr>
              <w:pStyle w:val="InstructionsText"/>
              <w:rPr>
                <w:rStyle w:val="InstructionsTabelleberschrift"/>
              </w:rPr>
            </w:pPr>
            <w:r w:rsidRPr="00494E1C">
              <w:rPr>
                <w:rStyle w:val="InstructionsTabelleberschrift"/>
              </w:rPr>
              <w:t>1.2.2.10</w:t>
            </w:r>
            <w:r w:rsidR="00494E1C">
              <w:rPr>
                <w:rStyle w:val="InstructionsTabelleberschrift"/>
              </w:rPr>
              <w:t xml:space="preserve"> </w:t>
            </w:r>
            <w:r w:rsidR="001965A1" w:rsidRPr="001A4BC9">
              <w:rPr>
                <w:rStyle w:val="InstructionsTabelleberschrift"/>
              </w:rPr>
              <w:t>Other transferable assets that are of high liquidity and credit quality</w:t>
            </w:r>
          </w:p>
          <w:p w:rsidR="001965A1" w:rsidRDefault="001965A1" w:rsidP="00BC43F3">
            <w:pPr>
              <w:pStyle w:val="InstructionsText"/>
              <w:rPr>
                <w:rStyle w:val="FormatvorlageInstructionsTabelleText"/>
              </w:rPr>
            </w:pPr>
          </w:p>
          <w:p w:rsidR="001965A1" w:rsidRDefault="001965A1" w:rsidP="00BC43F3">
            <w:pPr>
              <w:pStyle w:val="InstructionsText"/>
              <w:rPr>
                <w:rStyle w:val="FormatvorlageInstructionsTabelleText"/>
              </w:rPr>
            </w:pPr>
            <w:r w:rsidRPr="001A4BC9">
              <w:rPr>
                <w:rStyle w:val="FormatvorlageInstructionsTabelleText"/>
              </w:rPr>
              <w:t xml:space="preserve">Article 416.1(d) of </w:t>
            </w:r>
            <w:r w:rsidR="00AA6BC0">
              <w:rPr>
                <w:rStyle w:val="FormatvorlageInstructionsTabelleText"/>
              </w:rPr>
              <w:t>REGULATION (EU) NO 575/2013</w:t>
            </w:r>
          </w:p>
          <w:p w:rsidR="001965A1" w:rsidRDefault="001965A1" w:rsidP="00BC43F3">
            <w:pPr>
              <w:pStyle w:val="InstructionsText"/>
              <w:rPr>
                <w:rStyle w:val="InstructionsTabelleberschrift"/>
                <w:b w:val="0"/>
                <w:szCs w:val="24"/>
                <w:u w:val="none"/>
                <w:lang w:eastAsia="en-US"/>
              </w:rPr>
            </w:pPr>
          </w:p>
          <w:p w:rsidR="001965A1" w:rsidRDefault="001965A1" w:rsidP="00BC43F3">
            <w:pPr>
              <w:pStyle w:val="InstructionsText"/>
              <w:rPr>
                <w:rStyle w:val="FormatvorlageInstructionsTabelleText"/>
                <w:szCs w:val="24"/>
                <w:lang w:eastAsia="en-US"/>
              </w:rPr>
            </w:pPr>
            <w:r>
              <w:rPr>
                <w:rStyle w:val="InstructionsTabelleberschrift"/>
                <w:b w:val="0"/>
                <w:u w:val="none"/>
              </w:rPr>
              <w:t xml:space="preserve">Those items shall be reported according to their credit quality as per </w:t>
            </w:r>
            <w:r w:rsidRPr="00F87F89">
              <w:rPr>
                <w:rStyle w:val="InstructionsTabelleberschrift"/>
                <w:b w:val="0"/>
                <w:u w:val="none"/>
              </w:rPr>
              <w:t>Chapter 2</w:t>
            </w:r>
            <w:proofErr w:type="gramStart"/>
            <w:r w:rsidRPr="00F87F89">
              <w:rPr>
                <w:rStyle w:val="InstructionsTabelleberschrift"/>
                <w:b w:val="0"/>
                <w:u w:val="none"/>
              </w:rPr>
              <w:t>,Title</w:t>
            </w:r>
            <w:proofErr w:type="gramEnd"/>
            <w:r w:rsidRPr="00F87F89">
              <w:rPr>
                <w:rStyle w:val="InstructionsTabelleberschrift"/>
                <w:b w:val="0"/>
                <w:u w:val="none"/>
              </w:rPr>
              <w:t xml:space="preserve"> 2, Part III of </w:t>
            </w:r>
            <w:r w:rsidR="00AA6BC0">
              <w:rPr>
                <w:rStyle w:val="InstructionsTabelleberschrift"/>
                <w:b w:val="0"/>
                <w:u w:val="none"/>
              </w:rPr>
              <w:t>REGULATION (EU) NO 575/2013</w:t>
            </w:r>
            <w:r w:rsidR="004137FC">
              <w:rPr>
                <w:rStyle w:val="InstructionsTabelleberschrift"/>
                <w:b w:val="0"/>
                <w:u w:val="none"/>
              </w:rPr>
              <w:t xml:space="preserve">, and in </w:t>
            </w:r>
            <w:r w:rsidR="004137FC" w:rsidRPr="004137FC">
              <w:rPr>
                <w:rStyle w:val="InstructionsTabelleberschrift"/>
                <w:b w:val="0"/>
                <w:szCs w:val="20"/>
                <w:u w:val="none"/>
              </w:rPr>
              <w:t>accordance with 1.2.2 above, in the appropriate sub-category</w:t>
            </w:r>
            <w:r w:rsidR="004137FC">
              <w:rPr>
                <w:rStyle w:val="InstructionsTabelleberschrift"/>
                <w:b w:val="0"/>
                <w:szCs w:val="20"/>
                <w:u w:val="none"/>
              </w:rPr>
              <w:t>.</w:t>
            </w:r>
          </w:p>
          <w:p w:rsidR="001965A1" w:rsidRDefault="001965A1" w:rsidP="00BC43F3">
            <w:pPr>
              <w:pStyle w:val="InstructionsText"/>
              <w:rPr>
                <w:rStyle w:val="FormatvorlageInstructionsTabelleText"/>
              </w:rPr>
            </w:pPr>
          </w:p>
          <w:p w:rsidR="001965A1" w:rsidRDefault="001965A1" w:rsidP="00BC43F3">
            <w:pPr>
              <w:pStyle w:val="InstructionsText"/>
              <w:rPr>
                <w:rStyle w:val="FormatvorlageInstructionsTabelleText"/>
                <w:szCs w:val="24"/>
                <w:lang w:eastAsia="en-US"/>
              </w:rPr>
            </w:pPr>
          </w:p>
          <w:p w:rsidR="001965A1" w:rsidRDefault="001965A1" w:rsidP="00BC43F3">
            <w:pPr>
              <w:pStyle w:val="InstructionsText"/>
              <w:rPr>
                <w:rStyle w:val="FormatvorlageInstructionsTabelleText"/>
                <w:szCs w:val="24"/>
                <w:lang w:eastAsia="en-US"/>
              </w:rPr>
            </w:pPr>
            <w:r>
              <w:rPr>
                <w:rStyle w:val="FormatvorlageInstructionsTabelleText"/>
              </w:rPr>
              <w:t>Only items that are not specified in the rows above shall be reported here.</w:t>
            </w:r>
          </w:p>
          <w:p w:rsidR="001965A1" w:rsidRDefault="001965A1" w:rsidP="00BC43F3">
            <w:pPr>
              <w:pStyle w:val="InstructionsText"/>
              <w:rPr>
                <w:rStyle w:val="InstructionsTabelleberschrift"/>
                <w:szCs w:val="24"/>
                <w:lang w:eastAsia="en-US"/>
              </w:rPr>
            </w:pPr>
          </w:p>
          <w:p w:rsidR="001965A1" w:rsidRDefault="001965A1" w:rsidP="00BC43F3">
            <w:pPr>
              <w:pStyle w:val="InstructionsText"/>
              <w:rPr>
                <w:rStyle w:val="InstructionsTabelleberschrift"/>
                <w:szCs w:val="24"/>
                <w:lang w:eastAsia="en-US"/>
              </w:rPr>
            </w:pPr>
          </w:p>
        </w:tc>
      </w:tr>
      <w:tr w:rsidR="001965A1" w:rsidRPr="00B37090" w:rsidTr="00C652C1">
        <w:tc>
          <w:tcPr>
            <w:tcW w:w="1412" w:type="dxa"/>
            <w:gridSpan w:val="2"/>
            <w:shd w:val="clear" w:color="auto" w:fill="FFFFFF" w:themeFill="background1"/>
          </w:tcPr>
          <w:p w:rsidR="001965A1" w:rsidRDefault="003F4293">
            <w:pPr>
              <w:rPr>
                <w:rFonts w:cs="Arial"/>
                <w:sz w:val="16"/>
                <w:szCs w:val="16"/>
              </w:rPr>
            </w:pPr>
            <w:r>
              <w:rPr>
                <w:rFonts w:cs="Arial"/>
                <w:sz w:val="16"/>
                <w:szCs w:val="16"/>
              </w:rPr>
              <w:t>420</w:t>
            </w:r>
          </w:p>
        </w:tc>
        <w:tc>
          <w:tcPr>
            <w:tcW w:w="7371" w:type="dxa"/>
            <w:gridSpan w:val="3"/>
            <w:shd w:val="clear" w:color="auto" w:fill="FFFFFF" w:themeFill="background1"/>
          </w:tcPr>
          <w:p w:rsidR="001965A1" w:rsidRDefault="00103CBB" w:rsidP="00BC43F3">
            <w:pPr>
              <w:pStyle w:val="InstructionsText"/>
              <w:rPr>
                <w:rStyle w:val="InstructionsTabelleberschrift"/>
              </w:rPr>
            </w:pPr>
            <w:r w:rsidRPr="00494E1C">
              <w:rPr>
                <w:rStyle w:val="InstructionsTabelleberschrift"/>
              </w:rPr>
              <w:t>1.2.2.10.1</w:t>
            </w:r>
            <w:r w:rsidR="00494E1C">
              <w:rPr>
                <w:rStyle w:val="InstructionsTabelleberschrift"/>
              </w:rPr>
              <w:t xml:space="preserve"> </w:t>
            </w:r>
            <w:r w:rsidR="001965A1" w:rsidRPr="00B37090">
              <w:rPr>
                <w:rStyle w:val="InstructionsTabelleberschrift"/>
              </w:rPr>
              <w:t>credit quality step 1</w:t>
            </w:r>
          </w:p>
          <w:p w:rsidR="001965A1" w:rsidRPr="00494E1C"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C652C1">
        <w:tc>
          <w:tcPr>
            <w:tcW w:w="1412" w:type="dxa"/>
            <w:gridSpan w:val="2"/>
            <w:shd w:val="clear" w:color="auto" w:fill="FFFFFF" w:themeFill="background1"/>
          </w:tcPr>
          <w:p w:rsidR="001965A1" w:rsidRDefault="003F4293">
            <w:pPr>
              <w:rPr>
                <w:rFonts w:cs="Arial"/>
                <w:sz w:val="16"/>
                <w:szCs w:val="16"/>
              </w:rPr>
            </w:pPr>
            <w:r>
              <w:rPr>
                <w:rFonts w:cs="Arial"/>
                <w:sz w:val="16"/>
                <w:szCs w:val="16"/>
              </w:rPr>
              <w:t>430</w:t>
            </w:r>
          </w:p>
        </w:tc>
        <w:tc>
          <w:tcPr>
            <w:tcW w:w="7371" w:type="dxa"/>
            <w:gridSpan w:val="3"/>
            <w:shd w:val="clear" w:color="auto" w:fill="FFFFFF" w:themeFill="background1"/>
          </w:tcPr>
          <w:p w:rsidR="001965A1" w:rsidRDefault="00103CBB" w:rsidP="00BC43F3">
            <w:pPr>
              <w:pStyle w:val="InstructionsText"/>
              <w:rPr>
                <w:rStyle w:val="InstructionsTabelleberschrift"/>
              </w:rPr>
            </w:pPr>
            <w:r w:rsidRPr="00494E1C">
              <w:rPr>
                <w:rStyle w:val="InstructionsTabelleberschrift"/>
              </w:rPr>
              <w:t>1.2.2.10.2</w:t>
            </w:r>
            <w:r w:rsidR="00494E1C">
              <w:rPr>
                <w:rStyle w:val="InstructionsTabelleberschrift"/>
              </w:rPr>
              <w:t xml:space="preserve"> </w:t>
            </w:r>
            <w:r w:rsidR="001965A1" w:rsidRPr="00B37090">
              <w:rPr>
                <w:rStyle w:val="InstructionsTabelleberschrift"/>
              </w:rPr>
              <w:t>credit quality step 2</w:t>
            </w:r>
          </w:p>
          <w:p w:rsidR="001965A1" w:rsidRPr="00494E1C" w:rsidRDefault="001965A1" w:rsidP="00BC43F3">
            <w:pPr>
              <w:pStyle w:val="InstructionsText"/>
              <w:rPr>
                <w:rStyle w:val="InstructionsTabelleberschrift"/>
              </w:rPr>
            </w:pPr>
          </w:p>
          <w:p w:rsidR="001965A1" w:rsidRDefault="001965A1" w:rsidP="00BC43F3">
            <w:pPr>
              <w:pStyle w:val="InstructionsText"/>
              <w:rPr>
                <w:rStyle w:val="InstructionsTabelleberschrift"/>
              </w:rPr>
            </w:pPr>
          </w:p>
        </w:tc>
      </w:tr>
      <w:tr w:rsidR="001965A1" w:rsidRPr="00B37090" w:rsidTr="00C652C1">
        <w:tc>
          <w:tcPr>
            <w:tcW w:w="1412" w:type="dxa"/>
            <w:gridSpan w:val="2"/>
            <w:shd w:val="clear" w:color="auto" w:fill="FFFFFF" w:themeFill="background1"/>
          </w:tcPr>
          <w:p w:rsidR="001965A1" w:rsidRDefault="003F4293">
            <w:pPr>
              <w:rPr>
                <w:rFonts w:cs="Arial"/>
                <w:sz w:val="16"/>
                <w:szCs w:val="16"/>
              </w:rPr>
            </w:pPr>
            <w:r>
              <w:rPr>
                <w:rFonts w:cs="Arial"/>
                <w:sz w:val="16"/>
                <w:szCs w:val="16"/>
              </w:rPr>
              <w:t>440</w:t>
            </w:r>
          </w:p>
        </w:tc>
        <w:tc>
          <w:tcPr>
            <w:tcW w:w="7371" w:type="dxa"/>
            <w:gridSpan w:val="3"/>
            <w:shd w:val="clear" w:color="auto" w:fill="FFFFFF" w:themeFill="background1"/>
          </w:tcPr>
          <w:p w:rsidR="001965A1" w:rsidRDefault="00103CBB" w:rsidP="00BC43F3">
            <w:pPr>
              <w:pStyle w:val="InstructionsText"/>
              <w:rPr>
                <w:rStyle w:val="InstructionsTabelleberschrift"/>
              </w:rPr>
            </w:pPr>
            <w:r w:rsidRPr="00494E1C">
              <w:rPr>
                <w:rStyle w:val="InstructionsTabelleberschrift"/>
              </w:rPr>
              <w:t>1.2.2.10.3</w:t>
            </w:r>
            <w:r w:rsidR="00494E1C">
              <w:rPr>
                <w:rStyle w:val="InstructionsTabelleberschrift"/>
              </w:rPr>
              <w:t xml:space="preserve"> </w:t>
            </w:r>
            <w:r w:rsidR="001965A1" w:rsidRPr="00B37090">
              <w:rPr>
                <w:rStyle w:val="InstructionsTabelleberschrift"/>
              </w:rPr>
              <w:t>credit quality step 3</w:t>
            </w:r>
          </w:p>
          <w:p w:rsidR="001965A1" w:rsidRDefault="001965A1" w:rsidP="00BC43F3">
            <w:pPr>
              <w:pStyle w:val="InstructionsText"/>
              <w:rPr>
                <w:rStyle w:val="InstructionsTabelleberschrift"/>
                <w:u w:val="none"/>
              </w:rPr>
            </w:pPr>
          </w:p>
          <w:p w:rsidR="001965A1" w:rsidRDefault="001965A1" w:rsidP="00BC43F3">
            <w:pPr>
              <w:pStyle w:val="InstructionsText"/>
              <w:rPr>
                <w:rStyle w:val="InstructionsTabelleberschrift"/>
              </w:rPr>
            </w:pPr>
          </w:p>
        </w:tc>
      </w:tr>
      <w:tr w:rsidR="0032689B" w:rsidRPr="00B37090" w:rsidTr="0032689B">
        <w:tc>
          <w:tcPr>
            <w:tcW w:w="1412" w:type="dxa"/>
            <w:gridSpan w:val="2"/>
            <w:shd w:val="clear" w:color="auto" w:fill="E6E6E6"/>
            <w:vAlign w:val="bottom"/>
          </w:tcPr>
          <w:p w:rsidR="0032689B" w:rsidRDefault="00E24601" w:rsidP="00BC43F3">
            <w:pPr>
              <w:pStyle w:val="InstructionsText"/>
              <w:rPr>
                <w:rStyle w:val="FormatvorlageInstructionsTabelleText"/>
                <w:b/>
                <w:u w:val="single"/>
                <w:lang w:val="en-US"/>
              </w:rPr>
            </w:pPr>
            <w:r>
              <w:rPr>
                <w:rStyle w:val="FormatvorlageInstructionsTabelleText"/>
                <w:b/>
                <w:u w:val="single"/>
                <w:lang w:val="en-US"/>
              </w:rPr>
              <w:t>450-460</w:t>
            </w:r>
          </w:p>
        </w:tc>
        <w:tc>
          <w:tcPr>
            <w:tcW w:w="7371" w:type="dxa"/>
            <w:gridSpan w:val="3"/>
            <w:shd w:val="clear" w:color="auto" w:fill="E6E6E6"/>
            <w:vAlign w:val="bottom"/>
          </w:tcPr>
          <w:p w:rsidR="00103CBB" w:rsidRPr="00494E1C" w:rsidRDefault="00103CBB" w:rsidP="00103CBB">
            <w:pPr>
              <w:rPr>
                <w:rStyle w:val="InstructionsTabelleberschrift"/>
                <w:szCs w:val="17"/>
                <w:lang w:eastAsia="de-DE"/>
              </w:rPr>
            </w:pPr>
            <w:r w:rsidRPr="00494E1C">
              <w:rPr>
                <w:rStyle w:val="InstructionsTabelleberschrift"/>
                <w:szCs w:val="17"/>
                <w:lang w:eastAsia="de-DE"/>
              </w:rPr>
              <w:t>1.2.2.</w:t>
            </w:r>
            <w:r w:rsidR="00E24601">
              <w:rPr>
                <w:rStyle w:val="InstructionsTabelleberschrift"/>
                <w:szCs w:val="17"/>
                <w:lang w:eastAsia="de-DE"/>
              </w:rPr>
              <w:t>11</w:t>
            </w:r>
          </w:p>
          <w:p w:rsidR="0032689B" w:rsidRDefault="0032689B" w:rsidP="0032689B">
            <w:pPr>
              <w:pStyle w:val="InstructionsText"/>
              <w:rPr>
                <w:rStyle w:val="FormatvorlageInstructionsTabelleText"/>
              </w:rPr>
            </w:pPr>
            <w:r w:rsidRPr="00494E1C">
              <w:rPr>
                <w:rStyle w:val="InstructionsTabelleberschrift"/>
                <w:b w:val="0"/>
              </w:rPr>
              <w:t>ASSETS</w:t>
            </w:r>
            <w:r w:rsidRPr="00F10471">
              <w:rPr>
                <w:rStyle w:val="FormatvorlageInstructionsTabelleText"/>
                <w:b/>
                <w:u w:val="single"/>
              </w:rPr>
              <w:t xml:space="preserve"> MEET</w:t>
            </w:r>
            <w:r>
              <w:rPr>
                <w:rStyle w:val="FormatvorlageInstructionsTabelleText"/>
                <w:b/>
                <w:u w:val="single"/>
              </w:rPr>
              <w:t>ING</w:t>
            </w:r>
            <w:r w:rsidRPr="00F10471">
              <w:rPr>
                <w:rStyle w:val="FormatvorlageInstructionsTabelleText"/>
                <w:b/>
                <w:u w:val="single"/>
              </w:rPr>
              <w:t xml:space="preserve"> THE REQUIREMENTS OF ARTICLE 4</w:t>
            </w:r>
            <w:r>
              <w:rPr>
                <w:rStyle w:val="FormatvorlageInstructionsTabelleText"/>
                <w:b/>
                <w:u w:val="single"/>
              </w:rPr>
              <w:t>16 (1)</w:t>
            </w:r>
            <w:r w:rsidRPr="00F10471">
              <w:rPr>
                <w:rStyle w:val="FormatvorlageInstructionsTabelleText"/>
                <w:b/>
                <w:u w:val="single"/>
              </w:rPr>
              <w:t xml:space="preserve"> </w:t>
            </w:r>
            <w:r>
              <w:rPr>
                <w:rStyle w:val="FormatvorlageInstructionsTabelleText"/>
                <w:b/>
                <w:u w:val="single"/>
              </w:rPr>
              <w:t xml:space="preserve">(b) and (d) </w:t>
            </w:r>
            <w:r w:rsidRPr="00F10471">
              <w:rPr>
                <w:rStyle w:val="FormatvorlageInstructionsTabelleText"/>
                <w:b/>
                <w:u w:val="single"/>
              </w:rPr>
              <w:t>BUT DO NOT MEE</w:t>
            </w:r>
            <w:r>
              <w:rPr>
                <w:rStyle w:val="FormatvorlageInstructionsTabelleText"/>
                <w:b/>
                <w:u w:val="single"/>
              </w:rPr>
              <w:t>T</w:t>
            </w:r>
            <w:r w:rsidRPr="00F10471">
              <w:rPr>
                <w:rStyle w:val="FormatvorlageInstructionsTabelleText"/>
                <w:b/>
                <w:u w:val="single"/>
              </w:rPr>
              <w:t xml:space="preserve"> THE REQUIREMENTS OF ARTICLE 4</w:t>
            </w:r>
            <w:r>
              <w:rPr>
                <w:rStyle w:val="FormatvorlageInstructionsTabelleText"/>
                <w:b/>
                <w:u w:val="single"/>
              </w:rPr>
              <w:t>17</w:t>
            </w:r>
            <w:r w:rsidRPr="00F10471">
              <w:rPr>
                <w:rStyle w:val="FormatvorlageInstructionsTabelleText"/>
                <w:b/>
                <w:u w:val="single"/>
              </w:rPr>
              <w:t xml:space="preserve"> (</w:t>
            </w:r>
            <w:r>
              <w:rPr>
                <w:rStyle w:val="FormatvorlageInstructionsTabelleText"/>
                <w:b/>
                <w:u w:val="single"/>
              </w:rPr>
              <w:t>b</w:t>
            </w:r>
            <w:r w:rsidRPr="00F10471">
              <w:rPr>
                <w:rStyle w:val="FormatvorlageInstructionsTabelleText"/>
                <w:b/>
                <w:u w:val="single"/>
              </w:rPr>
              <w:t>) AND (</w:t>
            </w:r>
            <w:r>
              <w:rPr>
                <w:rStyle w:val="FormatvorlageInstructionsTabelleText"/>
                <w:b/>
                <w:u w:val="single"/>
              </w:rPr>
              <w:t>c</w:t>
            </w:r>
            <w:r w:rsidRPr="00F10471">
              <w:rPr>
                <w:rStyle w:val="FormatvorlageInstructionsTabelleText"/>
                <w:b/>
                <w:u w:val="single"/>
              </w:rPr>
              <w:t xml:space="preserve">) </w:t>
            </w:r>
            <w:r w:rsidR="00AA6BC0">
              <w:rPr>
                <w:rStyle w:val="FormatvorlageInstructionsTabelleText"/>
                <w:b/>
                <w:u w:val="single"/>
              </w:rPr>
              <w:t>REGULATION (EU) NO 575/2013</w:t>
            </w:r>
          </w:p>
          <w:p w:rsidR="0032689B" w:rsidRDefault="0032689B" w:rsidP="00BC43F3">
            <w:pPr>
              <w:jc w:val="right"/>
              <w:rPr>
                <w:rFonts w:ascii="Arial" w:hAnsi="Arial" w:cs="Arial"/>
                <w:szCs w:val="20"/>
              </w:rPr>
            </w:pPr>
          </w:p>
          <w:p w:rsidR="004137FC" w:rsidRDefault="004137FC" w:rsidP="004137FC">
            <w:pPr>
              <w:rPr>
                <w:rFonts w:ascii="Arial" w:hAnsi="Arial" w:cs="Arial"/>
                <w:szCs w:val="20"/>
              </w:rPr>
            </w:pPr>
            <w:r>
              <w:rPr>
                <w:rFonts w:cs="Arial"/>
                <w:szCs w:val="20"/>
              </w:rPr>
              <w:t xml:space="preserve">These items </w:t>
            </w:r>
            <w:r w:rsidRPr="004137FC">
              <w:rPr>
                <w:rFonts w:cs="Arial"/>
                <w:szCs w:val="20"/>
              </w:rPr>
              <w:t xml:space="preserve">shall be reported here in accordance with 1.2.2 above, in </w:t>
            </w:r>
            <w:r w:rsidRPr="004137FC">
              <w:rPr>
                <w:rFonts w:cs="Arial"/>
                <w:szCs w:val="20"/>
              </w:rPr>
              <w:lastRenderedPageBreak/>
              <w:t>the appropriate sub-category.</w:t>
            </w: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E24601">
            <w:pPr>
              <w:rPr>
                <w:rFonts w:cs="Arial"/>
                <w:sz w:val="16"/>
                <w:szCs w:val="16"/>
              </w:rPr>
            </w:pPr>
            <w:r>
              <w:rPr>
                <w:rFonts w:cs="Arial"/>
                <w:sz w:val="16"/>
                <w:szCs w:val="16"/>
              </w:rPr>
              <w:lastRenderedPageBreak/>
              <w:t>450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Pr="00B37090" w:rsidRDefault="00103CBB" w:rsidP="00BC43F3">
            <w:pPr>
              <w:spacing w:before="0" w:after="0"/>
              <w:jc w:val="left"/>
              <w:rPr>
                <w:rStyle w:val="InstructionsTabelleberschrift"/>
                <w:szCs w:val="17"/>
                <w:lang w:eastAsia="de-DE"/>
              </w:rPr>
            </w:pPr>
            <w:r w:rsidRPr="00494E1C">
              <w:rPr>
                <w:rStyle w:val="InstructionsTabelleberschrift"/>
                <w:szCs w:val="17"/>
                <w:lang w:eastAsia="de-DE"/>
              </w:rPr>
              <w:t>1.2.2.1</w:t>
            </w:r>
            <w:r w:rsidR="00E24601">
              <w:rPr>
                <w:rStyle w:val="InstructionsTabelleberschrift"/>
                <w:szCs w:val="17"/>
                <w:lang w:eastAsia="de-DE"/>
              </w:rPr>
              <w:t>1.1</w:t>
            </w:r>
            <w:r w:rsidRPr="00494E1C">
              <w:rPr>
                <w:rStyle w:val="InstructionsTabelleberschrift"/>
                <w:szCs w:val="17"/>
                <w:lang w:eastAsia="de-DE"/>
              </w:rPr>
              <w:t xml:space="preserve"> </w:t>
            </w:r>
            <w:r w:rsidR="0032689B">
              <w:rPr>
                <w:rStyle w:val="InstructionsTabelleberschrift"/>
                <w:szCs w:val="17"/>
                <w:lang w:eastAsia="de-DE"/>
              </w:rPr>
              <w:t>A</w:t>
            </w:r>
            <w:r w:rsidR="0032689B" w:rsidRPr="00B37090">
              <w:rPr>
                <w:rStyle w:val="InstructionsTabelleberschrift"/>
                <w:szCs w:val="17"/>
                <w:lang w:eastAsia="de-DE"/>
              </w:rPr>
              <w:t>ssets not controlled by a liquidity management function</w:t>
            </w:r>
          </w:p>
          <w:p w:rsidR="0032689B" w:rsidRPr="00B37090" w:rsidRDefault="0032689B" w:rsidP="00BC43F3">
            <w:pPr>
              <w:spacing w:before="0" w:after="0"/>
              <w:jc w:val="left"/>
              <w:rPr>
                <w:rStyle w:val="InstructionsTabelleberschrift"/>
                <w:szCs w:val="17"/>
                <w:lang w:eastAsia="de-DE"/>
              </w:rPr>
            </w:pPr>
          </w:p>
          <w:p w:rsidR="0032689B" w:rsidRDefault="0032689B" w:rsidP="00BC43F3">
            <w:pPr>
              <w:pStyle w:val="InstructionsText"/>
              <w:rPr>
                <w:rStyle w:val="FormatvorlageInstructionsTabelleText"/>
              </w:rPr>
            </w:pPr>
            <w:r w:rsidRPr="00B37090">
              <w:rPr>
                <w:rStyle w:val="FormatvorlageInstructionsTabelleText"/>
              </w:rPr>
              <w:t>Article 4</w:t>
            </w:r>
            <w:r>
              <w:rPr>
                <w:rStyle w:val="FormatvorlageInstructionsTabelleText"/>
              </w:rPr>
              <w:t>17</w:t>
            </w:r>
            <w:r w:rsidRPr="00B37090">
              <w:rPr>
                <w:rStyle w:val="FormatvorlageInstructionsTabelleText"/>
              </w:rPr>
              <w:t>(</w:t>
            </w:r>
            <w:r>
              <w:rPr>
                <w:rStyle w:val="FormatvorlageInstructionsTabelleText"/>
              </w:rPr>
              <w:t>c</w:t>
            </w:r>
            <w:r w:rsidRPr="00B37090">
              <w:rPr>
                <w:rStyle w:val="FormatvorlageInstructionsTabelleText"/>
              </w:rPr>
              <w:t xml:space="preserve">) of </w:t>
            </w:r>
            <w:r w:rsidR="00AA6BC0">
              <w:rPr>
                <w:rStyle w:val="FormatvorlageInstructionsTabelleText"/>
              </w:rPr>
              <w:t>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E24601">
            <w:pPr>
              <w:rPr>
                <w:rFonts w:cs="Arial"/>
                <w:sz w:val="16"/>
                <w:szCs w:val="16"/>
              </w:rPr>
            </w:pPr>
            <w:r>
              <w:rPr>
                <w:rFonts w:cs="Arial"/>
                <w:sz w:val="16"/>
                <w:szCs w:val="16"/>
              </w:rPr>
              <w:t>460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Pr="00B37090" w:rsidRDefault="00103CBB" w:rsidP="00BC43F3">
            <w:pPr>
              <w:spacing w:before="0" w:after="0"/>
              <w:jc w:val="left"/>
              <w:rPr>
                <w:rStyle w:val="InstructionsTabelleberschrift"/>
                <w:szCs w:val="17"/>
                <w:lang w:eastAsia="de-DE"/>
              </w:rPr>
            </w:pPr>
            <w:r w:rsidRPr="00494E1C">
              <w:rPr>
                <w:rStyle w:val="InstructionsTabelleberschrift"/>
                <w:szCs w:val="17"/>
                <w:lang w:eastAsia="de-DE"/>
              </w:rPr>
              <w:t>1.2.2.</w:t>
            </w:r>
            <w:r w:rsidR="00E24601">
              <w:rPr>
                <w:rStyle w:val="InstructionsTabelleberschrift"/>
                <w:szCs w:val="17"/>
                <w:lang w:eastAsia="de-DE"/>
              </w:rPr>
              <w:t>11</w:t>
            </w:r>
            <w:r w:rsidRPr="00494E1C">
              <w:rPr>
                <w:rStyle w:val="InstructionsTabelleberschrift"/>
                <w:szCs w:val="17"/>
                <w:lang w:eastAsia="de-DE"/>
              </w:rPr>
              <w:t>.2</w:t>
            </w:r>
            <w:r w:rsidR="00494E1C">
              <w:rPr>
                <w:rStyle w:val="InstructionsTabelleberschrift"/>
                <w:szCs w:val="17"/>
                <w:lang w:eastAsia="de-DE"/>
              </w:rPr>
              <w:t xml:space="preserve"> </w:t>
            </w:r>
            <w:r w:rsidR="0032689B" w:rsidRPr="00CA3217">
              <w:rPr>
                <w:rStyle w:val="InstructionsTabelleberschrift"/>
                <w:szCs w:val="17"/>
                <w:lang w:eastAsia="de-DE"/>
              </w:rPr>
              <w:t>assets not legally and practically readily available at any time during the next 30 days to be liquidated via outright sale via a simple repurchase agreements on an approved repurchase markets</w:t>
            </w:r>
          </w:p>
          <w:p w:rsidR="0032689B" w:rsidRDefault="0032689B" w:rsidP="00BC43F3">
            <w:pPr>
              <w:pStyle w:val="InstructionsText"/>
              <w:rPr>
                <w:rStyle w:val="FormatvorlageInstructionsTabelleText"/>
                <w:lang w:val="en-US"/>
              </w:rPr>
            </w:pPr>
          </w:p>
          <w:p w:rsidR="0032689B" w:rsidRDefault="0032689B" w:rsidP="00BC43F3">
            <w:pPr>
              <w:pStyle w:val="InstructionsText"/>
              <w:rPr>
                <w:rStyle w:val="FormatvorlageInstructionsTabelleText"/>
                <w:lang w:val="en-US"/>
              </w:rPr>
            </w:pPr>
            <w:r w:rsidRPr="00B37090">
              <w:rPr>
                <w:rStyle w:val="FormatvorlageInstructionsTabelleText"/>
              </w:rPr>
              <w:t>Article 4</w:t>
            </w:r>
            <w:r>
              <w:rPr>
                <w:rStyle w:val="FormatvorlageInstructionsTabelleText"/>
              </w:rPr>
              <w:t>17</w:t>
            </w:r>
            <w:r w:rsidRPr="00B37090">
              <w:rPr>
                <w:rStyle w:val="FormatvorlageInstructionsTabelleText"/>
              </w:rPr>
              <w:t>(</w:t>
            </w:r>
            <w:r>
              <w:rPr>
                <w:rStyle w:val="FormatvorlageInstructionsTabelleText"/>
              </w:rPr>
              <w:t>b</w:t>
            </w:r>
            <w:r w:rsidRPr="00B37090">
              <w:rPr>
                <w:rStyle w:val="FormatvorlageInstructionsTabelleText"/>
              </w:rPr>
              <w:t xml:space="preserve">) of </w:t>
            </w:r>
            <w:r w:rsidR="00AA6BC0">
              <w:rPr>
                <w:rStyle w:val="FormatvorlageInstructionsTabelleText"/>
              </w:rPr>
              <w:t>REGULATION (EU) NO 575/2013</w:t>
            </w:r>
          </w:p>
          <w:p w:rsidR="0032689B" w:rsidRDefault="0032689B" w:rsidP="00BC43F3">
            <w:pPr>
              <w:pStyle w:val="InstructionsText"/>
              <w:rPr>
                <w:rStyle w:val="FormatvorlageInstructionsTabelleText"/>
              </w:rPr>
            </w:pPr>
          </w:p>
          <w:p w:rsidR="0032689B" w:rsidRDefault="0032689B" w:rsidP="00BC43F3">
            <w:pPr>
              <w:pStyle w:val="InstructionsText"/>
              <w:rPr>
                <w:rStyle w:val="InstructionsTabelleberschrift"/>
                <w:lang w:val="en-US"/>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689B" w:rsidRDefault="00E24601">
            <w:pPr>
              <w:rPr>
                <w:rFonts w:cs="Arial"/>
                <w:sz w:val="16"/>
                <w:szCs w:val="16"/>
              </w:rPr>
            </w:pPr>
            <w:r>
              <w:rPr>
                <w:rFonts w:cs="Arial"/>
                <w:sz w:val="16"/>
                <w:szCs w:val="16"/>
              </w:rPr>
              <w:t>480-680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0A85" w:rsidRDefault="007E49D6">
            <w:pPr>
              <w:spacing w:before="0" w:after="0"/>
              <w:rPr>
                <w:rStyle w:val="InstructionsTabelleberschrift"/>
                <w:b w:val="0"/>
                <w:szCs w:val="17"/>
                <w:lang w:eastAsia="de-DE"/>
              </w:rPr>
            </w:pPr>
            <w:r>
              <w:rPr>
                <w:rStyle w:val="InstructionsTabelleberschrift"/>
                <w:szCs w:val="17"/>
                <w:lang w:eastAsia="de-DE"/>
              </w:rPr>
              <w:t xml:space="preserve">1.2.2.12 </w:t>
            </w:r>
            <w:r w:rsidR="0032689B" w:rsidRPr="00E24601">
              <w:rPr>
                <w:rStyle w:val="InstructionsTabelleberschrift"/>
                <w:szCs w:val="17"/>
                <w:lang w:eastAsia="de-DE"/>
              </w:rPr>
              <w:t>Items subject to supplementary reporting of liquid assets</w:t>
            </w:r>
          </w:p>
          <w:p w:rsidR="0032689B" w:rsidRPr="00494E1C" w:rsidRDefault="0032689B" w:rsidP="0032689B">
            <w:pPr>
              <w:spacing w:before="0" w:after="0"/>
              <w:rPr>
                <w:rStyle w:val="InstructionsTabelleberschrift"/>
                <w:b w:val="0"/>
                <w:szCs w:val="17"/>
                <w:lang w:eastAsia="de-DE"/>
              </w:rPr>
            </w:pPr>
          </w:p>
          <w:p w:rsidR="0032689B" w:rsidRDefault="0032689B" w:rsidP="0032689B">
            <w:pPr>
              <w:pStyle w:val="InstructionsText"/>
              <w:rPr>
                <w:rStyle w:val="FormatvorlageInstructionsTabelleText"/>
                <w:lang w:val="en-US"/>
              </w:rPr>
            </w:pPr>
            <w:r>
              <w:rPr>
                <w:rStyle w:val="FormatvorlageInstructionsTabelleText"/>
              </w:rPr>
              <w:t>I</w:t>
            </w:r>
            <w:proofErr w:type="spellStart"/>
            <w:r w:rsidR="004137FC" w:rsidRPr="007F6686">
              <w:rPr>
                <w:rStyle w:val="FormatvorlageInstructionsTabelleText"/>
                <w:lang w:val="en-US"/>
              </w:rPr>
              <w:t>nstitutions</w:t>
            </w:r>
            <w:proofErr w:type="spellEnd"/>
            <w:r w:rsidRPr="007F6686">
              <w:rPr>
                <w:rStyle w:val="FormatvorlageInstructionsTabelleText"/>
                <w:lang w:val="en-US"/>
              </w:rPr>
              <w:t xml:space="preserve"> shall only report assets subject to supplementary reporting of liquid assets in accordance with Annex III </w:t>
            </w:r>
            <w:r w:rsidR="00AA6BC0">
              <w:rPr>
                <w:rStyle w:val="FormatvorlageInstructionsTabelleText"/>
                <w:lang w:val="en-US"/>
              </w:rPr>
              <w:t>REGULATION (EU) NO 575/2013</w:t>
            </w:r>
            <w:r w:rsidRPr="007F6686">
              <w:rPr>
                <w:rStyle w:val="FormatvorlageInstructionsTabelleText"/>
                <w:lang w:val="en-US"/>
              </w:rPr>
              <w:t>. All items, with the exception of those referred to in sections 3.1, 3.2 and 3.9, must satisfy the conditions as set out in the last paragraph of that Annex.</w:t>
            </w:r>
            <w:r w:rsidR="004137FC">
              <w:rPr>
                <w:rStyle w:val="FormatvorlageInstructionsTabelleText"/>
                <w:lang w:val="en-US"/>
              </w:rPr>
              <w:t xml:space="preserve"> </w:t>
            </w:r>
          </w:p>
          <w:p w:rsidR="004137FC" w:rsidRDefault="004137FC" w:rsidP="0032689B">
            <w:pPr>
              <w:pStyle w:val="InstructionsText"/>
              <w:rPr>
                <w:rStyle w:val="FormatvorlageInstructionsTabelleText"/>
                <w:lang w:val="en-US"/>
              </w:rPr>
            </w:pPr>
          </w:p>
          <w:p w:rsidR="004137FC" w:rsidRPr="004137FC" w:rsidRDefault="004137FC" w:rsidP="0032689B">
            <w:pPr>
              <w:pStyle w:val="InstructionsText"/>
              <w:rPr>
                <w:rStyle w:val="FormatvorlageInstructionsTabelleText"/>
                <w:lang w:val="en-US"/>
              </w:rPr>
            </w:pPr>
            <w:r w:rsidRPr="004137FC">
              <w:rPr>
                <w:rStyle w:val="FormatvorlageInstructionsTabelleText"/>
                <w:lang w:val="en-US"/>
              </w:rPr>
              <w:t>These items shall be reported here in accordance with 1.2.2 above, in the appropriate sub-category.</w:t>
            </w:r>
          </w:p>
          <w:p w:rsidR="0032689B" w:rsidRPr="004137FC" w:rsidRDefault="0032689B" w:rsidP="00BC43F3">
            <w:pPr>
              <w:pStyle w:val="InstructionsText"/>
              <w:rPr>
                <w:rStyle w:val="FormatvorlageInstructionsTabelleText"/>
                <w:lang w:val="en-US"/>
              </w:rPr>
            </w:pPr>
            <w:r w:rsidRPr="004137FC">
              <w:rPr>
                <w:rStyle w:val="FormatvorlageInstructionsTabelleText"/>
                <w:lang w:val="en-US"/>
              </w:rPr>
              <w:t xml:space="preserve"> </w:t>
            </w:r>
          </w:p>
          <w:p w:rsidR="0032689B" w:rsidRDefault="0032689B" w:rsidP="00BC43F3">
            <w:pPr>
              <w:pStyle w:val="InstructionsText"/>
              <w:rPr>
                <w:rStyle w:val="FormatvorlageInstructionsTabelleText"/>
                <w:lang w:val="en-US"/>
              </w:rPr>
            </w:pPr>
            <w:r>
              <w:rPr>
                <w:rStyle w:val="FormatvorlageInstructionsTabelleText"/>
              </w:rPr>
              <w:t>Only items that are not specified elsewhere in the template shall be reported here.</w:t>
            </w:r>
          </w:p>
          <w:p w:rsidR="0032689B" w:rsidRPr="0051259E" w:rsidRDefault="0032689B" w:rsidP="00BC43F3">
            <w:pPr>
              <w:pStyle w:val="InstructionsText"/>
              <w:rPr>
                <w:rStyle w:val="FormatvorlageInstructionsTabelleText"/>
              </w:rPr>
            </w:pPr>
          </w:p>
          <w:p w:rsidR="0032689B" w:rsidRDefault="0032689B" w:rsidP="00BC43F3">
            <w:pPr>
              <w:spacing w:before="0" w:after="0"/>
              <w:rPr>
                <w:rFonts w:cs="Arial"/>
                <w:szCs w:val="20"/>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2689B" w:rsidRDefault="00851343">
            <w:pPr>
              <w:rPr>
                <w:rFonts w:cs="Arial"/>
                <w:sz w:val="16"/>
                <w:szCs w:val="16"/>
              </w:rPr>
            </w:pPr>
            <w:r>
              <w:rPr>
                <w:rFonts w:cs="Arial"/>
                <w:sz w:val="16"/>
                <w:szCs w:val="16"/>
              </w:rPr>
              <w:t>480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689B" w:rsidRDefault="00103CBB" w:rsidP="00BC43F3">
            <w:pPr>
              <w:pStyle w:val="InstructionsText"/>
              <w:rPr>
                <w:rStyle w:val="InstructionsTabelleberschrift"/>
              </w:rPr>
            </w:pPr>
            <w:r w:rsidRPr="00494E1C">
              <w:rPr>
                <w:rStyle w:val="InstructionsTabelleberschrift"/>
              </w:rPr>
              <w:t>1.2.2.</w:t>
            </w:r>
            <w:r w:rsidR="00851343">
              <w:rPr>
                <w:rStyle w:val="InstructionsTabelleberschrift"/>
              </w:rPr>
              <w:t>12</w:t>
            </w:r>
            <w:r w:rsidRPr="00494E1C">
              <w:rPr>
                <w:rStyle w:val="InstructionsTabelleberschrift"/>
              </w:rPr>
              <w:t>.1</w:t>
            </w:r>
            <w:r w:rsidR="00494E1C">
              <w:rPr>
                <w:rStyle w:val="InstructionsTabelleberschrift"/>
              </w:rPr>
              <w:t xml:space="preserve"> </w:t>
            </w:r>
            <w:r w:rsidR="0032689B">
              <w:rPr>
                <w:rStyle w:val="InstructionsTabelleberschrift"/>
              </w:rPr>
              <w:t>C</w:t>
            </w:r>
            <w:r w:rsidR="0032689B" w:rsidRPr="00B37090">
              <w:rPr>
                <w:rStyle w:val="InstructionsTabelleberschrift"/>
              </w:rPr>
              <w:t>ash</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sidRPr="00B37090">
              <w:rPr>
                <w:rStyle w:val="FormatvorlageInstructionsTabelleText"/>
              </w:rPr>
              <w:t>A</w:t>
            </w:r>
            <w:r>
              <w:rPr>
                <w:rStyle w:val="FormatvorlageInstructionsTabelleText"/>
              </w:rPr>
              <w:t>nnex III</w:t>
            </w:r>
            <w:r w:rsidR="00F6092E">
              <w:rPr>
                <w:rStyle w:val="FormatvorlageInstructionsTabelleText"/>
              </w:rPr>
              <w:t>,</w:t>
            </w:r>
            <w:r>
              <w:rPr>
                <w:rStyle w:val="FormatvorlageInstructionsTabelleText"/>
              </w:rPr>
              <w:t xml:space="preserve"> </w:t>
            </w:r>
            <w:r w:rsidR="00F6092E">
              <w:rPr>
                <w:rStyle w:val="FormatvorlageInstructionsTabelleText"/>
              </w:rPr>
              <w:t>P</w:t>
            </w:r>
            <w:r w:rsidR="007E49D6">
              <w:rPr>
                <w:rStyle w:val="FormatvorlageInstructionsTabelleText"/>
              </w:rPr>
              <w:t xml:space="preserve">oint </w:t>
            </w:r>
            <w:r>
              <w:rPr>
                <w:rStyle w:val="FormatvorlageInstructionsTabelleText"/>
              </w:rPr>
              <w:t xml:space="preserve">1 </w:t>
            </w:r>
            <w:r w:rsidR="00AA6BC0">
              <w:rPr>
                <w:rStyle w:val="FormatvorlageInstructionsTabelleText"/>
              </w:rPr>
              <w:t>of REGULATION (EU) NO 575/2013</w:t>
            </w:r>
            <w:r>
              <w:rPr>
                <w:rStyle w:val="FormatvorlageInstructionsTabelleText"/>
              </w:rPr>
              <w:t xml:space="preserve"> </w:t>
            </w:r>
            <w:r w:rsidRPr="00B37090">
              <w:rPr>
                <w:rStyle w:val="FormatvorlageInstructionsTabelleText"/>
              </w:rPr>
              <w:t xml:space="preserve"> </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sidRPr="00B37090">
              <w:rPr>
                <w:rStyle w:val="FormatvorlageInstructionsTabelleText"/>
              </w:rPr>
              <w:t>Total amount of cash including coins and banknotes/currency</w:t>
            </w:r>
            <w:r>
              <w:rPr>
                <w:rStyle w:val="FormatvorlageInstructionsTabelleText"/>
              </w:rPr>
              <w:t>. Only cash shall be reported that does not satisfy at least one of the conditions set out in points (c), (d) and (e) and can thus not be reported under reporting item 1.1.</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Note cash on deposit with other institutions shall not be reported here and shall instead be reported in the collateral category of template </w:t>
            </w:r>
            <w:r w:rsidR="00825257">
              <w:rPr>
                <w:rStyle w:val="FormatvorlageInstructionsTabelleText"/>
                <w:highlight w:val="yellow"/>
              </w:rPr>
              <w:t>‘</w:t>
            </w:r>
            <w:r w:rsidR="008C0CFE" w:rsidRPr="008C0CFE">
              <w:rPr>
                <w:rStyle w:val="FormatvorlageInstructionsTabelleText"/>
              </w:rPr>
              <w:t>Inflows</w:t>
            </w:r>
            <w:r w:rsidR="00825257">
              <w:rPr>
                <w:rStyle w:val="FormatvorlageInstructionsTabelleText"/>
                <w:highlight w:val="yellow"/>
              </w:rPr>
              <w:t>’</w:t>
            </w:r>
            <w:r w:rsidRPr="0079262F">
              <w:rPr>
                <w:rStyle w:val="FormatvorlageInstructionsTabelleText"/>
              </w:rPr>
              <w:t xml:space="preserve"> if it</w:t>
            </w:r>
            <w:r>
              <w:rPr>
                <w:rStyle w:val="FormatvorlageInstructionsTabelleText"/>
              </w:rPr>
              <w:t xml:space="preserve"> qualifies as monies due over the next 30 days.</w:t>
            </w:r>
          </w:p>
          <w:p w:rsidR="0032689B" w:rsidRPr="004137FC" w:rsidRDefault="0032689B" w:rsidP="004137FC">
            <w:pPr>
              <w:spacing w:before="0" w:after="0"/>
              <w:rPr>
                <w:rFonts w:cs="Arial"/>
                <w:b/>
                <w:szCs w:val="20"/>
                <w:u w:val="single"/>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851343">
            <w:pPr>
              <w:rPr>
                <w:rFonts w:cs="Arial"/>
                <w:sz w:val="16"/>
                <w:szCs w:val="16"/>
              </w:rPr>
            </w:pPr>
            <w:r>
              <w:rPr>
                <w:rFonts w:cs="Arial"/>
                <w:sz w:val="16"/>
                <w:szCs w:val="16"/>
              </w:rPr>
              <w:t>490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851343">
              <w:rPr>
                <w:rStyle w:val="InstructionsTabelleberschrift"/>
              </w:rPr>
              <w:t>12</w:t>
            </w:r>
            <w:r w:rsidRPr="00494E1C">
              <w:rPr>
                <w:rStyle w:val="InstructionsTabelleberschrift"/>
              </w:rPr>
              <w:t>.2</w:t>
            </w:r>
            <w:r w:rsidR="00494E1C">
              <w:rPr>
                <w:rStyle w:val="InstructionsTabelleberschrift"/>
              </w:rPr>
              <w:t xml:space="preserve"> </w:t>
            </w:r>
            <w:r w:rsidR="0032689B">
              <w:rPr>
                <w:rStyle w:val="InstructionsTabelleberschrift"/>
              </w:rPr>
              <w:t>Central bank exposures, to the extent that these exposures can be drawn down in times of  stress</w:t>
            </w:r>
          </w:p>
          <w:p w:rsidR="0032689B" w:rsidRDefault="0032689B" w:rsidP="00BC43F3">
            <w:pPr>
              <w:pStyle w:val="InstructionsText"/>
              <w:rPr>
                <w:rStyle w:val="InstructionsTabelleberschrift"/>
                <w:szCs w:val="24"/>
                <w:lang w:eastAsia="en-US"/>
              </w:rPr>
            </w:pPr>
          </w:p>
          <w:p w:rsidR="0032689B" w:rsidRDefault="0032689B" w:rsidP="00BC43F3">
            <w:pPr>
              <w:pStyle w:val="InstructionsText"/>
              <w:rPr>
                <w:rStyle w:val="FormatvorlageInstructionsTabelleText"/>
                <w:szCs w:val="24"/>
                <w:lang w:eastAsia="en-US"/>
              </w:rPr>
            </w:pPr>
            <w:r w:rsidRPr="00B37090">
              <w:rPr>
                <w:rStyle w:val="FormatvorlageInstructionsTabelleText"/>
              </w:rPr>
              <w:t>A</w:t>
            </w:r>
            <w:r>
              <w:rPr>
                <w:rStyle w:val="FormatvorlageInstructionsTabelleText"/>
              </w:rPr>
              <w:t xml:space="preserve">nnex III, </w:t>
            </w:r>
            <w:r w:rsidR="00F6092E">
              <w:rPr>
                <w:rStyle w:val="FormatvorlageInstructionsTabelleText"/>
              </w:rPr>
              <w:t>Point</w:t>
            </w:r>
            <w:r>
              <w:rPr>
                <w:rStyle w:val="FormatvorlageInstructionsTabelleText"/>
              </w:rPr>
              <w:t xml:space="preserve"> 2</w:t>
            </w:r>
            <w:r w:rsidRPr="00B37090">
              <w:rPr>
                <w:rStyle w:val="FormatvorlageInstructionsTabelleText"/>
              </w:rPr>
              <w:t xml:space="preserve"> </w:t>
            </w:r>
            <w:r w:rsidR="00AA6BC0">
              <w:rPr>
                <w:rStyle w:val="FormatvorlageInstructionsTabelleText"/>
              </w:rPr>
              <w:t xml:space="preserve">of </w:t>
            </w:r>
            <w:r w:rsidR="00AA6BC0">
              <w:rPr>
                <w:rStyle w:val="InstructionsTabelleberschrift"/>
                <w:b w:val="0"/>
                <w:u w:val="none"/>
              </w:rPr>
              <w:t>REGULATION (EU) NO 575/2013</w:t>
            </w:r>
            <w:r w:rsidRPr="00B37090">
              <w:rPr>
                <w:rStyle w:val="FormatvorlageInstructionsTabelleText"/>
              </w:rPr>
              <w:t xml:space="preserve"> </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pPr>
            <w:r w:rsidRPr="00B37090">
              <w:rPr>
                <w:rStyle w:val="FormatvorlageInstructionsTabelleText"/>
              </w:rPr>
              <w:t xml:space="preserve">Total amount of </w:t>
            </w:r>
            <w:r>
              <w:rPr>
                <w:rStyle w:val="FormatvorlageInstructionsTabelleText"/>
              </w:rPr>
              <w:t>exposures to</w:t>
            </w:r>
            <w:r w:rsidRPr="00B37090">
              <w:rPr>
                <w:rStyle w:val="FormatvorlageInstructionsTabelleText"/>
              </w:rPr>
              <w:t xml:space="preserve"> central bank</w:t>
            </w:r>
            <w:r>
              <w:rPr>
                <w:rStyle w:val="FormatvorlageInstructionsTabelleText"/>
              </w:rPr>
              <w:t>s, to the extent that these exposures can be drawn down in times of stress. These exposures shall only be reported that does not satisfy at least one of the conditions set out in points (c), (d) and (e) and can thus not be reported under reporting item 1.3.</w:t>
            </w:r>
          </w:p>
          <w:p w:rsidR="0032689B" w:rsidRPr="00B37090" w:rsidRDefault="0032689B" w:rsidP="00BC43F3">
            <w:pPr>
              <w:spacing w:before="0" w:after="0"/>
              <w:jc w:val="left"/>
              <w:rPr>
                <w:rStyle w:val="InstructionsTabelleberschrift"/>
                <w:szCs w:val="17"/>
                <w:lang w:eastAsia="de-DE"/>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A4CD8">
            <w:pPr>
              <w:rPr>
                <w:rFonts w:cs="Arial"/>
                <w:sz w:val="16"/>
                <w:szCs w:val="16"/>
              </w:rPr>
            </w:pPr>
            <w:r>
              <w:rPr>
                <w:rFonts w:cs="Arial"/>
                <w:sz w:val="16"/>
                <w:szCs w:val="16"/>
              </w:rPr>
              <w:t>500-540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FA4CD8">
              <w:rPr>
                <w:rStyle w:val="InstructionsTabelleberschrift"/>
              </w:rPr>
              <w:t>12</w:t>
            </w:r>
            <w:r w:rsidRPr="00494E1C">
              <w:rPr>
                <w:rStyle w:val="InstructionsTabelleberschrift"/>
              </w:rPr>
              <w:t>.3</w:t>
            </w:r>
            <w:r w:rsidR="00494E1C">
              <w:rPr>
                <w:rStyle w:val="InstructionsTabelleberschrift"/>
              </w:rPr>
              <w:t xml:space="preserve"> </w:t>
            </w:r>
            <w:r w:rsidR="0032689B">
              <w:rPr>
                <w:rStyle w:val="InstructionsTabelleberschrift"/>
              </w:rPr>
              <w:t xml:space="preserve">transferable </w:t>
            </w:r>
            <w:r w:rsidR="0032689B" w:rsidRPr="00B37090">
              <w:rPr>
                <w:rStyle w:val="InstructionsTabelleberschrift"/>
              </w:rPr>
              <w:t>securities with a 0% risk weight</w:t>
            </w:r>
            <w:r w:rsidR="0032689B">
              <w:rPr>
                <w:rStyle w:val="InstructionsTabelleberschrift"/>
              </w:rPr>
              <w:t xml:space="preserve"> and not an obligation of an institution or any of its affiliated </w:t>
            </w:r>
            <w:r w:rsidR="0032689B">
              <w:rPr>
                <w:rStyle w:val="InstructionsTabelleberschrift"/>
              </w:rPr>
              <w:lastRenderedPageBreak/>
              <w:t>entities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3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b w:val="0"/>
                <w:szCs w:val="24"/>
                <w:u w:val="none"/>
                <w:lang w:eastAsia="en-US"/>
              </w:rPr>
            </w:pPr>
            <w:r>
              <w:rPr>
                <w:rStyle w:val="InstructionsTabelleberschrift"/>
                <w:b w:val="0"/>
                <w:u w:val="none"/>
              </w:rPr>
              <w:t>S</w:t>
            </w:r>
            <w:r w:rsidRPr="00B37090">
              <w:rPr>
                <w:rStyle w:val="InstructionsTabelleberschrift"/>
                <w:b w:val="0"/>
                <w:u w:val="none"/>
              </w:rPr>
              <w:t xml:space="preserve">ecurities with a </w:t>
            </w:r>
            <w:r w:rsidR="00033FE9">
              <w:rPr>
                <w:rStyle w:val="InstructionsTabelleberschrift"/>
                <w:b w:val="0"/>
                <w:u w:val="none"/>
              </w:rPr>
              <w:t>0</w:t>
            </w:r>
            <w:r w:rsidRPr="00B37090">
              <w:rPr>
                <w:rStyle w:val="InstructionsTabelleberschrift"/>
                <w:b w:val="0"/>
                <w:u w:val="none"/>
              </w:rPr>
              <w:t xml:space="preserve">% risk-weight representing claims on or guaranteed by the central government of a </w:t>
            </w:r>
            <w:r>
              <w:rPr>
                <w:rStyle w:val="InstructionsTabelleberschrift"/>
                <w:b w:val="0"/>
                <w:u w:val="none"/>
              </w:rPr>
              <w:t>Member State</w:t>
            </w:r>
            <w:r w:rsidRPr="00B37090">
              <w:rPr>
                <w:rStyle w:val="InstructionsTabelleberschrift"/>
                <w:b w:val="0"/>
                <w:u w:val="none"/>
              </w:rPr>
              <w:t xml:space="preserve"> or a third country </w:t>
            </w:r>
            <w:r>
              <w:rPr>
                <w:rStyle w:val="InstructionsTabelleberschrift"/>
                <w:b w:val="0"/>
                <w:u w:val="none"/>
              </w:rPr>
              <w:t>as referred to in Point 5 of Annex III. Of which:</w:t>
            </w:r>
          </w:p>
          <w:p w:rsidR="0032689B" w:rsidRDefault="0032689B" w:rsidP="00BC43F3">
            <w:pPr>
              <w:pStyle w:val="InstructionsText"/>
              <w:rPr>
                <w:rStyle w:val="InstructionsTabelleberschrift"/>
                <w:szCs w:val="24"/>
                <w:lang w:eastAsia="en-US"/>
              </w:rPr>
            </w:pPr>
          </w:p>
        </w:tc>
      </w:tr>
      <w:tr w:rsidR="0032689B"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C4007">
            <w:pPr>
              <w:rPr>
                <w:rFonts w:cs="Arial"/>
                <w:sz w:val="16"/>
                <w:szCs w:val="16"/>
              </w:rPr>
            </w:pPr>
            <w:r>
              <w:rPr>
                <w:rFonts w:cs="Arial"/>
                <w:sz w:val="16"/>
                <w:szCs w:val="16"/>
              </w:rPr>
              <w:lastRenderedPageBreak/>
              <w:t>500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b/>
                <w:u w:val="single"/>
              </w:rPr>
            </w:pPr>
            <w:r w:rsidRPr="00494E1C">
              <w:rPr>
                <w:rStyle w:val="InstructionsTabelleberschrift"/>
              </w:rPr>
              <w:t>1.2.2.</w:t>
            </w:r>
            <w:r w:rsidR="00FC4007">
              <w:rPr>
                <w:rStyle w:val="InstructionsTabelleberschrift"/>
              </w:rPr>
              <w:t>12</w:t>
            </w:r>
            <w:r w:rsidRPr="00494E1C">
              <w:rPr>
                <w:rStyle w:val="InstructionsTabelleberschrift"/>
              </w:rPr>
              <w:t>.3.1</w:t>
            </w:r>
            <w:r w:rsidR="00494E1C">
              <w:rPr>
                <w:rStyle w:val="InstructionsTabelleberschrift"/>
              </w:rPr>
              <w:t xml:space="preserve"> </w:t>
            </w:r>
            <w:r w:rsidR="0032689B" w:rsidRPr="00494E1C">
              <w:rPr>
                <w:rStyle w:val="InstructionsTabelleberschrift"/>
                <w:b w:val="0"/>
              </w:rPr>
              <w:t>representing</w:t>
            </w:r>
            <w:r w:rsidR="0032689B" w:rsidRPr="00B37090">
              <w:rPr>
                <w:rStyle w:val="FormatvorlageInstructionsTabelleText"/>
                <w:b/>
                <w:u w:val="single"/>
              </w:rPr>
              <w:t xml:space="preserve"> claims on sovereigns </w:t>
            </w:r>
          </w:p>
          <w:p w:rsidR="0032689B" w:rsidRDefault="0032689B" w:rsidP="00BC43F3">
            <w:pPr>
              <w:pStyle w:val="InstructionsText"/>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3 </w:t>
            </w:r>
            <w:r w:rsidR="00AA6BC0">
              <w:rPr>
                <w:rStyle w:val="FormatvorlageInstructionsTabelleText"/>
              </w:rPr>
              <w:t>of REGULATION (EU) NO 575/2013</w:t>
            </w:r>
          </w:p>
          <w:p w:rsidR="0032689B" w:rsidRDefault="0032689B" w:rsidP="00BC43F3">
            <w:pPr>
              <w:pStyle w:val="InstructionsText"/>
            </w:pPr>
          </w:p>
        </w:tc>
      </w:tr>
      <w:tr w:rsidR="0032689B" w:rsidTr="00103CBB">
        <w:trPr>
          <w:trHeight w:val="956"/>
        </w:trPr>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C4007">
            <w:pPr>
              <w:rPr>
                <w:rFonts w:cs="Arial"/>
                <w:sz w:val="16"/>
                <w:szCs w:val="16"/>
              </w:rPr>
            </w:pPr>
            <w:r>
              <w:rPr>
                <w:rFonts w:cs="Arial"/>
                <w:sz w:val="16"/>
                <w:szCs w:val="16"/>
              </w:rPr>
              <w:t>510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rPr>
            </w:pPr>
            <w:r w:rsidRPr="00494E1C">
              <w:rPr>
                <w:rStyle w:val="InstructionsTabelleberschrift"/>
              </w:rPr>
              <w:t>1.2.2.</w:t>
            </w:r>
            <w:r w:rsidR="00FC4007">
              <w:rPr>
                <w:rStyle w:val="InstructionsTabelleberschrift"/>
              </w:rPr>
              <w:t>12.</w:t>
            </w:r>
            <w:r w:rsidRPr="00494E1C">
              <w:rPr>
                <w:rStyle w:val="InstructionsTabelleberschrift"/>
              </w:rPr>
              <w:t>3.2</w:t>
            </w:r>
            <w:r w:rsidR="00494E1C">
              <w:rPr>
                <w:rStyle w:val="InstructionsTabelleberschrift"/>
              </w:rPr>
              <w:t xml:space="preserve"> </w:t>
            </w:r>
            <w:r w:rsidR="0032689B">
              <w:rPr>
                <w:rStyle w:val="InstructionsTabelleberschrift"/>
              </w:rPr>
              <w:t>claims g</w:t>
            </w:r>
            <w:r w:rsidR="0032689B" w:rsidRPr="00B37090">
              <w:rPr>
                <w:rStyle w:val="InstructionsTabelleberschrift"/>
              </w:rPr>
              <w:t>uaranteed by sovereigns</w:t>
            </w:r>
            <w:r w:rsidR="0032689B" w:rsidRPr="00B37090">
              <w:rPr>
                <w:rStyle w:val="FormatvorlageInstructionsTabelleText"/>
              </w:rPr>
              <w:t xml:space="preserve"> </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lang w:val="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3 </w:t>
            </w:r>
            <w:r w:rsidR="00AA6BC0">
              <w:rPr>
                <w:rStyle w:val="FormatvorlageInstructionsTabelleText"/>
              </w:rPr>
              <w:t>of REGULATION (EU) NO 575/2013</w:t>
            </w:r>
          </w:p>
          <w:p w:rsidR="0032689B" w:rsidRDefault="0032689B" w:rsidP="00BC43F3">
            <w:pPr>
              <w:pStyle w:val="InstructionsText"/>
              <w:rPr>
                <w:lang w:val="en-US"/>
              </w:rPr>
            </w:pPr>
          </w:p>
        </w:tc>
      </w:tr>
      <w:tr w:rsidR="0032689B"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B2ABB">
            <w:pPr>
              <w:rPr>
                <w:rFonts w:cs="Arial"/>
                <w:sz w:val="16"/>
                <w:szCs w:val="16"/>
              </w:rPr>
            </w:pPr>
            <w:r>
              <w:rPr>
                <w:rFonts w:cs="Arial"/>
                <w:sz w:val="16"/>
                <w:szCs w:val="16"/>
              </w:rPr>
              <w:t>520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lang w:val="en-US"/>
              </w:rPr>
            </w:pPr>
            <w:r w:rsidRPr="00494E1C">
              <w:rPr>
                <w:rStyle w:val="InstructionsTabelleberschrift"/>
              </w:rPr>
              <w:t>1.2.2.</w:t>
            </w:r>
            <w:r w:rsidR="00FB2ABB">
              <w:rPr>
                <w:rStyle w:val="InstructionsTabelleberschrift"/>
              </w:rPr>
              <w:t>12</w:t>
            </w:r>
            <w:r w:rsidRPr="00494E1C">
              <w:rPr>
                <w:rStyle w:val="InstructionsTabelleberschrift"/>
              </w:rPr>
              <w:t>.3.3</w:t>
            </w:r>
            <w:r w:rsidR="00494E1C">
              <w:rPr>
                <w:rStyle w:val="InstructionsTabelleberschrift"/>
              </w:rPr>
              <w:t xml:space="preserve"> </w:t>
            </w:r>
            <w:r w:rsidR="0032689B" w:rsidRPr="00B37090">
              <w:rPr>
                <w:rStyle w:val="InstructionsTabelleberschrift"/>
              </w:rPr>
              <w:t>representing claims on or guaranteed by central banks</w:t>
            </w:r>
            <w:r w:rsidR="0032689B" w:rsidRPr="00B37090">
              <w:rPr>
                <w:rStyle w:val="FormatvorlageInstructionsTabelleText"/>
              </w:rPr>
              <w:t xml:space="preserve"> </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lang w:val="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3 </w:t>
            </w:r>
            <w:r w:rsidR="00AA6BC0">
              <w:rPr>
                <w:rStyle w:val="FormatvorlageInstructionsTabelleText"/>
              </w:rPr>
              <w:t>REGULATION (EU) NO 575/2013</w:t>
            </w:r>
          </w:p>
          <w:p w:rsidR="0032689B" w:rsidRDefault="0032689B" w:rsidP="00BC43F3">
            <w:pPr>
              <w:pStyle w:val="InstructionsText"/>
              <w:rPr>
                <w:lang w:val="en-US"/>
              </w:rPr>
            </w:pPr>
          </w:p>
        </w:tc>
      </w:tr>
      <w:tr w:rsidR="0032689B"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B2ABB">
            <w:pPr>
              <w:rPr>
                <w:rFonts w:cs="Arial"/>
                <w:sz w:val="16"/>
                <w:szCs w:val="16"/>
              </w:rPr>
            </w:pPr>
            <w:r>
              <w:rPr>
                <w:rFonts w:cs="Arial"/>
                <w:sz w:val="16"/>
                <w:szCs w:val="16"/>
              </w:rPr>
              <w:t>530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lang w:val="en-US"/>
              </w:rPr>
            </w:pPr>
            <w:r w:rsidRPr="00494E1C">
              <w:rPr>
                <w:rStyle w:val="InstructionsTabelleberschrift"/>
              </w:rPr>
              <w:t>1.2.2.</w:t>
            </w:r>
            <w:r w:rsidR="00FB2ABB">
              <w:rPr>
                <w:rStyle w:val="InstructionsTabelleberschrift"/>
              </w:rPr>
              <w:t>12</w:t>
            </w:r>
            <w:r w:rsidRPr="00494E1C">
              <w:rPr>
                <w:rStyle w:val="InstructionsTabelleberschrift"/>
              </w:rPr>
              <w:t>.3.4</w:t>
            </w:r>
            <w:r w:rsidR="00494E1C">
              <w:rPr>
                <w:rStyle w:val="InstructionsTabelleberschrift"/>
              </w:rPr>
              <w:t xml:space="preserve"> </w:t>
            </w:r>
            <w:r w:rsidR="0032689B">
              <w:rPr>
                <w:rStyle w:val="InstructionsTabelleberschrift"/>
              </w:rPr>
              <w:t>representing claims on or claims guaranteed by non-central government public sector entities, regions with fiscal autonomy to raise and collect taxes and local authorities</w:t>
            </w:r>
            <w:r w:rsidR="0032689B" w:rsidRPr="00B37090">
              <w:rPr>
                <w:rStyle w:val="FormatvorlageInstructionsTabelleText"/>
              </w:rPr>
              <w:t xml:space="preserve"> </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3 </w:t>
            </w:r>
            <w:r w:rsidR="00AA6BC0">
              <w:rPr>
                <w:rStyle w:val="FormatvorlageInstructionsTabelleText"/>
              </w:rPr>
              <w:t>of 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540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rPr>
            </w:pPr>
            <w:r w:rsidRPr="00494E1C">
              <w:rPr>
                <w:rStyle w:val="InstructionsTabelleberschrift"/>
              </w:rPr>
              <w:t>1.2.2.</w:t>
            </w:r>
            <w:r w:rsidR="00F669C9">
              <w:rPr>
                <w:rStyle w:val="InstructionsTabelleberschrift"/>
              </w:rPr>
              <w:t>12</w:t>
            </w:r>
            <w:r w:rsidRPr="00494E1C">
              <w:rPr>
                <w:rStyle w:val="InstructionsTabelleberschrift"/>
              </w:rPr>
              <w:t>.3.5</w:t>
            </w:r>
            <w:r w:rsidR="00494E1C">
              <w:rPr>
                <w:rStyle w:val="InstructionsTabelleberschrift"/>
              </w:rPr>
              <w:t xml:space="preserve"> </w:t>
            </w:r>
            <w:r w:rsidR="0032689B" w:rsidRPr="00B37090">
              <w:rPr>
                <w:rStyle w:val="InstructionsTabelleberschrift"/>
              </w:rPr>
              <w:t>re</w:t>
            </w:r>
            <w:r w:rsidR="0032689B">
              <w:rPr>
                <w:rStyle w:val="InstructionsTabelleberschrift"/>
              </w:rPr>
              <w:t>presenting claims on or claims guaranteed by Bank for International Settlements, the International Monetary Fund, the European Union, the European Financial Stability Facility, the European Stability Mechanism or multilateral development bank</w:t>
            </w:r>
            <w:r w:rsidR="0032689B" w:rsidRPr="00B37090">
              <w:rPr>
                <w:rStyle w:val="FormatvorlageInstructionsTabelleText"/>
              </w:rPr>
              <w:t xml:space="preserve"> </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3 </w:t>
            </w:r>
            <w:r w:rsidR="00AA6BC0">
              <w:rPr>
                <w:rStyle w:val="FormatvorlageInstructionsTabelleText"/>
              </w:rPr>
              <w:t>of 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550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F669C9">
              <w:rPr>
                <w:rStyle w:val="InstructionsTabelleberschrift"/>
              </w:rPr>
              <w:t>12</w:t>
            </w:r>
            <w:r w:rsidRPr="00494E1C">
              <w:rPr>
                <w:rStyle w:val="InstructionsTabelleberschrift"/>
              </w:rPr>
              <w:t>.4</w:t>
            </w:r>
            <w:r w:rsidR="00494E1C">
              <w:rPr>
                <w:rStyle w:val="InstructionsTabelleberschrift"/>
              </w:rPr>
              <w:t xml:space="preserve"> </w:t>
            </w:r>
            <w:r w:rsidR="0032689B">
              <w:rPr>
                <w:rStyle w:val="InstructionsTabelleberschrift"/>
              </w:rPr>
              <w:t xml:space="preserve">transferable </w:t>
            </w:r>
            <w:r w:rsidR="0032689B" w:rsidRPr="00B37090">
              <w:rPr>
                <w:rStyle w:val="InstructionsTabelleberschrift"/>
              </w:rPr>
              <w:t xml:space="preserve">securities </w:t>
            </w:r>
            <w:r w:rsidR="0032689B">
              <w:rPr>
                <w:rStyle w:val="InstructionsTabelleberschrift"/>
              </w:rPr>
              <w:t xml:space="preserve">other than those referred to in 3.3 representing claims on or claims guaranteed by sovereigns or central banks issued in domestic currencies by the sovereign or central bank in the currency and country in which the </w:t>
            </w:r>
            <w:proofErr w:type="spellStart"/>
            <w:r w:rsidR="0032689B">
              <w:rPr>
                <w:rStyle w:val="InstructionsTabelleberschrift"/>
              </w:rPr>
              <w:t>liquidty</w:t>
            </w:r>
            <w:proofErr w:type="spellEnd"/>
            <w:r w:rsidR="0032689B">
              <w:rPr>
                <w:rStyle w:val="InstructionsTabelleberschrift"/>
              </w:rPr>
              <w:t xml:space="preserve"> risk is being taken or issued in foreign currencies, to the extent that holding of such debt matches the liquidity needs of the bank’s operations in that third country</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4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570-610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F669C9">
              <w:rPr>
                <w:rStyle w:val="InstructionsTabelleberschrift"/>
              </w:rPr>
              <w:t>12</w:t>
            </w:r>
            <w:r w:rsidRPr="00494E1C">
              <w:rPr>
                <w:rStyle w:val="InstructionsTabelleberschrift"/>
              </w:rPr>
              <w:t>.5</w:t>
            </w:r>
            <w:r w:rsidR="00494E1C">
              <w:rPr>
                <w:rStyle w:val="InstructionsTabelleberschrift"/>
              </w:rPr>
              <w:t xml:space="preserve"> </w:t>
            </w:r>
            <w:r w:rsidR="0032689B">
              <w:rPr>
                <w:rStyle w:val="InstructionsTabelleberschrift"/>
              </w:rPr>
              <w:t xml:space="preserve">transferable </w:t>
            </w:r>
            <w:r w:rsidR="0032689B" w:rsidRPr="00B37090">
              <w:rPr>
                <w:rStyle w:val="InstructionsTabelleberschrift"/>
              </w:rPr>
              <w:t xml:space="preserve">securities with a </w:t>
            </w:r>
            <w:r w:rsidR="0032689B">
              <w:rPr>
                <w:rStyle w:val="InstructionsTabelleberschrift"/>
              </w:rPr>
              <w:t>20</w:t>
            </w:r>
            <w:r w:rsidR="0032689B" w:rsidRPr="00B37090">
              <w:rPr>
                <w:rStyle w:val="InstructionsTabelleberschrift"/>
              </w:rPr>
              <w:t>% risk weight</w:t>
            </w:r>
            <w:r w:rsidR="0032689B">
              <w:rPr>
                <w:rStyle w:val="InstructionsTabelleberschrift"/>
              </w:rPr>
              <w:t xml:space="preserve"> and not an obligation of an institution or any of its affiliated entities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5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b w:val="0"/>
                <w:szCs w:val="24"/>
                <w:u w:val="none"/>
                <w:lang w:eastAsia="en-US"/>
              </w:rPr>
            </w:pPr>
            <w:r>
              <w:rPr>
                <w:rStyle w:val="InstructionsTabelleberschrift"/>
                <w:b w:val="0"/>
                <w:u w:val="none"/>
              </w:rPr>
              <w:t>S</w:t>
            </w:r>
            <w:r w:rsidRPr="00B37090">
              <w:rPr>
                <w:rStyle w:val="InstructionsTabelleberschrift"/>
                <w:b w:val="0"/>
                <w:u w:val="none"/>
              </w:rPr>
              <w:t xml:space="preserve">ecurities with a 20% risk-weight representing claims on or guaranteed by the central government of a </w:t>
            </w:r>
            <w:r>
              <w:rPr>
                <w:rStyle w:val="InstructionsTabelleberschrift"/>
                <w:b w:val="0"/>
                <w:u w:val="none"/>
              </w:rPr>
              <w:t>Member State</w:t>
            </w:r>
            <w:r w:rsidRPr="00B37090">
              <w:rPr>
                <w:rStyle w:val="InstructionsTabelleberschrift"/>
                <w:b w:val="0"/>
                <w:u w:val="none"/>
              </w:rPr>
              <w:t xml:space="preserve"> or a third country </w:t>
            </w:r>
            <w:r>
              <w:rPr>
                <w:rStyle w:val="InstructionsTabelleberschrift"/>
                <w:b w:val="0"/>
                <w:u w:val="none"/>
              </w:rPr>
              <w:t>as referred to in Point 5 of Annex III. Of which:</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lastRenderedPageBreak/>
              <w:t>570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b/>
                <w:u w:val="single"/>
              </w:rPr>
            </w:pPr>
            <w:r w:rsidRPr="00494E1C">
              <w:rPr>
                <w:rStyle w:val="InstructionsTabelleberschrift"/>
              </w:rPr>
              <w:t>1.2.2.</w:t>
            </w:r>
            <w:r w:rsidR="00F669C9">
              <w:rPr>
                <w:rStyle w:val="InstructionsTabelleberschrift"/>
              </w:rPr>
              <w:t>12</w:t>
            </w:r>
            <w:r w:rsidRPr="00494E1C">
              <w:rPr>
                <w:rStyle w:val="InstructionsTabelleberschrift"/>
              </w:rPr>
              <w:t>.5.1</w:t>
            </w:r>
            <w:r w:rsidR="00494E1C">
              <w:rPr>
                <w:rStyle w:val="InstructionsTabelleberschrift"/>
              </w:rPr>
              <w:t xml:space="preserve"> </w:t>
            </w:r>
            <w:r w:rsidR="0032689B" w:rsidRPr="00494E1C">
              <w:rPr>
                <w:rStyle w:val="InstructionsTabelleberschrift"/>
              </w:rPr>
              <w:t>representing claims</w:t>
            </w:r>
            <w:r w:rsidR="0032689B" w:rsidRPr="00494E1C">
              <w:rPr>
                <w:rStyle w:val="InstructionsTabelleberschrift"/>
                <w:b w:val="0"/>
              </w:rPr>
              <w:t xml:space="preserve"> </w:t>
            </w:r>
            <w:r w:rsidR="0032689B" w:rsidRPr="00494E1C">
              <w:rPr>
                <w:rStyle w:val="InstructionsTabelleberschrift"/>
              </w:rPr>
              <w:t>on sovereigns</w:t>
            </w:r>
            <w:r w:rsidR="0032689B" w:rsidRPr="00494E1C">
              <w:rPr>
                <w:rStyle w:val="InstructionsTabelleberschrift"/>
                <w:b w:val="0"/>
              </w:rPr>
              <w:t xml:space="preserve"> </w:t>
            </w:r>
          </w:p>
          <w:p w:rsidR="0032689B" w:rsidRDefault="0032689B" w:rsidP="00BC43F3">
            <w:pPr>
              <w:pStyle w:val="InstructionsText"/>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5 </w:t>
            </w:r>
            <w:r w:rsidR="00AA6BC0">
              <w:rPr>
                <w:rStyle w:val="FormatvorlageInstructionsTabelleText"/>
              </w:rPr>
              <w:t>of 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580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rPr>
            </w:pPr>
            <w:r w:rsidRPr="00494E1C">
              <w:rPr>
                <w:rStyle w:val="InstructionsTabelleberschrift"/>
              </w:rPr>
              <w:t>1.2.2.</w:t>
            </w:r>
            <w:r w:rsidR="00F669C9">
              <w:rPr>
                <w:rStyle w:val="InstructionsTabelleberschrift"/>
              </w:rPr>
              <w:t>12</w:t>
            </w:r>
            <w:r w:rsidRPr="00494E1C">
              <w:rPr>
                <w:rStyle w:val="InstructionsTabelleberschrift"/>
              </w:rPr>
              <w:t>.5.2</w:t>
            </w:r>
            <w:r w:rsidR="00494E1C">
              <w:rPr>
                <w:rStyle w:val="InstructionsTabelleberschrift"/>
              </w:rPr>
              <w:t xml:space="preserve"> </w:t>
            </w:r>
            <w:r w:rsidR="0032689B">
              <w:rPr>
                <w:rStyle w:val="InstructionsTabelleberschrift"/>
              </w:rPr>
              <w:t>claims g</w:t>
            </w:r>
            <w:r w:rsidR="0032689B" w:rsidRPr="00B37090">
              <w:rPr>
                <w:rStyle w:val="InstructionsTabelleberschrift"/>
              </w:rPr>
              <w:t>uaranteed by sovereigns</w:t>
            </w:r>
            <w:r w:rsidR="0032689B" w:rsidRPr="00B37090">
              <w:rPr>
                <w:rStyle w:val="FormatvorlageInstructionsTabelleText"/>
              </w:rPr>
              <w:t xml:space="preserve"> </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5 </w:t>
            </w:r>
            <w:r w:rsidR="00AA6BC0">
              <w:rPr>
                <w:rStyle w:val="FormatvorlageInstructionsTabelleText"/>
              </w:rPr>
              <w:t>of 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590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F669C9">
              <w:rPr>
                <w:rStyle w:val="InstructionsTabelleberschrift"/>
              </w:rPr>
              <w:t>12</w:t>
            </w:r>
            <w:r w:rsidRPr="00494E1C">
              <w:rPr>
                <w:rStyle w:val="InstructionsTabelleberschrift"/>
              </w:rPr>
              <w:t>.5.3</w:t>
            </w:r>
            <w:r w:rsidR="00494E1C">
              <w:rPr>
                <w:rStyle w:val="InstructionsTabelleberschrift"/>
              </w:rPr>
              <w:t xml:space="preserve"> </w:t>
            </w:r>
            <w:r w:rsidR="0032689B" w:rsidRPr="00B37090">
              <w:rPr>
                <w:rStyle w:val="InstructionsTabelleberschrift"/>
              </w:rPr>
              <w:t>representing claims on or guaranteed by central banks</w:t>
            </w:r>
            <w:r w:rsidR="0032689B" w:rsidRPr="00494E1C">
              <w:rPr>
                <w:rStyle w:val="InstructionsTabelleberschrift"/>
              </w:rPr>
              <w:t xml:space="preserve"> </w:t>
            </w:r>
          </w:p>
          <w:p w:rsidR="0032689B" w:rsidRPr="00494E1C" w:rsidRDefault="0032689B" w:rsidP="00BC43F3">
            <w:pPr>
              <w:pStyle w:val="InstructionsText"/>
              <w:rPr>
                <w:rStyle w:val="InstructionsTabelleberschrift"/>
              </w:rPr>
            </w:pPr>
          </w:p>
          <w:p w:rsidR="0032689B" w:rsidRDefault="0032689B" w:rsidP="00BC43F3">
            <w:pPr>
              <w:pStyle w:val="InstructionsText"/>
              <w:rPr>
                <w:rStyle w:val="FormatvorlageInstructionsTabelleText"/>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5 </w:t>
            </w:r>
            <w:r w:rsidR="00AA6BC0">
              <w:rPr>
                <w:rStyle w:val="FormatvorlageInstructionsTabelleText"/>
              </w:rPr>
              <w:t>of 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600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rPr>
            </w:pPr>
            <w:r w:rsidRPr="00494E1C">
              <w:rPr>
                <w:rStyle w:val="InstructionsTabelleberschrift"/>
              </w:rPr>
              <w:t>1.2.2.</w:t>
            </w:r>
            <w:r w:rsidR="00F669C9">
              <w:rPr>
                <w:rStyle w:val="InstructionsTabelleberschrift"/>
              </w:rPr>
              <w:t>12</w:t>
            </w:r>
            <w:r w:rsidRPr="00494E1C">
              <w:rPr>
                <w:rStyle w:val="InstructionsTabelleberschrift"/>
              </w:rPr>
              <w:t>.5.4</w:t>
            </w:r>
            <w:r w:rsidR="00494E1C">
              <w:rPr>
                <w:rStyle w:val="InstructionsTabelleberschrift"/>
              </w:rPr>
              <w:t xml:space="preserve"> </w:t>
            </w:r>
            <w:r w:rsidR="0032689B">
              <w:rPr>
                <w:rStyle w:val="InstructionsTabelleberschrift"/>
              </w:rPr>
              <w:t>representing claims on or claims guaranteed by non-central government public sector entities, regions with fiscal autonomy to raise and collect taxes and local authorities</w:t>
            </w:r>
            <w:r w:rsidR="0032689B" w:rsidRPr="00B37090">
              <w:rPr>
                <w:rStyle w:val="FormatvorlageInstructionsTabelleText"/>
              </w:rPr>
              <w:t xml:space="preserve"> </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5 </w:t>
            </w:r>
            <w:r w:rsidR="00AA6BC0">
              <w:rPr>
                <w:rStyle w:val="FormatvorlageInstructionsTabelleText"/>
              </w:rPr>
              <w:t>of 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610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FormatvorlageInstructionsTabelleText"/>
              </w:rPr>
            </w:pPr>
            <w:r w:rsidRPr="00494E1C">
              <w:rPr>
                <w:rStyle w:val="InstructionsTabelleberschrift"/>
              </w:rPr>
              <w:t>1.2.2.</w:t>
            </w:r>
            <w:r w:rsidR="00F669C9">
              <w:rPr>
                <w:rStyle w:val="InstructionsTabelleberschrift"/>
              </w:rPr>
              <w:t>12</w:t>
            </w:r>
            <w:r w:rsidRPr="00494E1C">
              <w:rPr>
                <w:rStyle w:val="InstructionsTabelleberschrift"/>
              </w:rPr>
              <w:t>.5.5</w:t>
            </w:r>
            <w:r w:rsidR="00494E1C">
              <w:rPr>
                <w:rStyle w:val="InstructionsTabelleberschrift"/>
              </w:rPr>
              <w:t xml:space="preserve"> </w:t>
            </w:r>
            <w:r w:rsidR="0032689B" w:rsidRPr="00B37090">
              <w:rPr>
                <w:rStyle w:val="InstructionsTabelleberschrift"/>
              </w:rPr>
              <w:t>re</w:t>
            </w:r>
            <w:r w:rsidR="0032689B">
              <w:rPr>
                <w:rStyle w:val="InstructionsTabelleberschrift"/>
              </w:rPr>
              <w:t>presenting claims on or claims guaranteed by Bank for International Settlements, the International Monetary Fund, the European Union, the European Financial Stability Facility, the European Stability Mechanism or multilateral development bank</w:t>
            </w:r>
            <w:r w:rsidR="0032689B" w:rsidRPr="00B37090">
              <w:rPr>
                <w:rStyle w:val="FormatvorlageInstructionsTabelleText"/>
              </w:rPr>
              <w:t xml:space="preserve"> </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5 </w:t>
            </w:r>
            <w:r w:rsidR="00AA6BC0">
              <w:rPr>
                <w:rStyle w:val="FormatvorlageInstructionsTabelleText"/>
              </w:rPr>
              <w:t>of REGULATION (EU) NO 575/2013</w:t>
            </w: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F669C9">
            <w:pPr>
              <w:rPr>
                <w:rFonts w:cs="Arial"/>
                <w:sz w:val="16"/>
                <w:szCs w:val="16"/>
              </w:rPr>
            </w:pPr>
            <w:r>
              <w:rPr>
                <w:rFonts w:cs="Arial"/>
                <w:sz w:val="16"/>
                <w:szCs w:val="16"/>
              </w:rPr>
              <w:t>620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9E15AC">
              <w:rPr>
                <w:rStyle w:val="InstructionsTabelleberschrift"/>
              </w:rPr>
              <w:t>12</w:t>
            </w:r>
            <w:r w:rsidRPr="00494E1C">
              <w:rPr>
                <w:rStyle w:val="InstructionsTabelleberschrift"/>
              </w:rPr>
              <w:t>.6</w:t>
            </w:r>
            <w:r w:rsidR="00494E1C">
              <w:rPr>
                <w:rStyle w:val="InstructionsTabelleberschrift"/>
              </w:rPr>
              <w:t xml:space="preserve"> </w:t>
            </w:r>
            <w:r w:rsidR="0032689B" w:rsidRPr="00081C7A">
              <w:rPr>
                <w:rStyle w:val="InstructionsTabelleberschrift"/>
              </w:rPr>
              <w:t xml:space="preserve">transferable securities other than those referred to in point 3.3 to 3.5.6 that qualify for a 20 % or better risk weight under Chapter 2, Title II of Part Three or are internally rated as having an equivalent credit quality, and fulfil any of the conditions </w:t>
            </w:r>
            <w:proofErr w:type="spellStart"/>
            <w:r w:rsidR="0032689B" w:rsidRPr="00081C7A">
              <w:rPr>
                <w:rStyle w:val="InstructionsTabelleberschrift"/>
              </w:rPr>
              <w:t>specifed</w:t>
            </w:r>
            <w:proofErr w:type="spellEnd"/>
            <w:r w:rsidR="0032689B" w:rsidRPr="00081C7A">
              <w:rPr>
                <w:rStyle w:val="InstructionsTabelleberschrift"/>
              </w:rPr>
              <w:t xml:space="preserve"> in </w:t>
            </w:r>
            <w:r w:rsidR="00F6092E">
              <w:rPr>
                <w:rStyle w:val="InstructionsTabelleberschrift"/>
              </w:rPr>
              <w:t>Point</w:t>
            </w:r>
            <w:r w:rsidR="0032689B" w:rsidRPr="00081C7A">
              <w:rPr>
                <w:rStyle w:val="InstructionsTabelleberschrift"/>
              </w:rPr>
              <w:t xml:space="preserve"> 5 of Annex III of </w:t>
            </w:r>
            <w:r w:rsidR="00AA6BC0">
              <w:rPr>
                <w:rStyle w:val="InstructionsTabelleberschrift"/>
              </w:rPr>
              <w:t>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6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6A214C">
            <w:pPr>
              <w:rPr>
                <w:rFonts w:cs="Arial"/>
                <w:sz w:val="16"/>
                <w:szCs w:val="16"/>
              </w:rPr>
            </w:pPr>
            <w:r>
              <w:rPr>
                <w:rFonts w:cs="Arial"/>
                <w:sz w:val="16"/>
                <w:szCs w:val="16"/>
              </w:rPr>
              <w:t>630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9E15AC">
              <w:rPr>
                <w:rStyle w:val="InstructionsTabelleberschrift"/>
              </w:rPr>
              <w:t>12</w:t>
            </w:r>
            <w:r w:rsidRPr="00494E1C">
              <w:rPr>
                <w:rStyle w:val="InstructionsTabelleberschrift"/>
              </w:rPr>
              <w:t>.7</w:t>
            </w:r>
            <w:r w:rsidR="00494E1C">
              <w:rPr>
                <w:rStyle w:val="InstructionsTabelleberschrift"/>
              </w:rPr>
              <w:t xml:space="preserve"> </w:t>
            </w:r>
            <w:r w:rsidR="0032689B" w:rsidRPr="00081C7A">
              <w:rPr>
                <w:rStyle w:val="InstructionsTabelleberschrift"/>
              </w:rPr>
              <w:t>transferable securities other than those referred to in 3.3 to 3.6 that qualify for a 50 % or better risk weight under Chapter 2, Title II of Part Three or are internally rated as having an equivalent credit quality, and do not represent a claim on an SSPE, an institution or any of its affiliated entities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7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6A214C">
            <w:pPr>
              <w:rPr>
                <w:rFonts w:cs="Arial"/>
                <w:sz w:val="16"/>
                <w:szCs w:val="16"/>
              </w:rPr>
            </w:pPr>
            <w:r>
              <w:rPr>
                <w:rFonts w:cs="Arial"/>
                <w:sz w:val="16"/>
                <w:szCs w:val="16"/>
              </w:rPr>
              <w:t>640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6A214C">
              <w:rPr>
                <w:rStyle w:val="InstructionsTabelleberschrift"/>
              </w:rPr>
              <w:t>12</w:t>
            </w:r>
            <w:r w:rsidRPr="00494E1C">
              <w:rPr>
                <w:rStyle w:val="InstructionsTabelleberschrift"/>
              </w:rPr>
              <w:t>.8</w:t>
            </w:r>
            <w:r w:rsidR="00494E1C">
              <w:rPr>
                <w:rStyle w:val="InstructionsTabelleberschrift"/>
              </w:rPr>
              <w:t xml:space="preserve"> </w:t>
            </w:r>
            <w:r w:rsidR="0032689B" w:rsidRPr="00081C7A">
              <w:rPr>
                <w:rStyle w:val="InstructionsTabelleberschrift"/>
              </w:rPr>
              <w:t xml:space="preserve">transferable securities other than those referred to in 3.3 to 3.7 that are collateralised by assets that qualify for a 35 % or better risk weight under Chapter 2, Title II of Part Three or are internally rated as having an equivalent credit quality, and are fully and completely secured by mortgages on residential property in accordance with </w:t>
            </w:r>
            <w:r w:rsidR="00F6092E">
              <w:rPr>
                <w:rStyle w:val="InstructionsTabelleberschrift"/>
              </w:rPr>
              <w:t>Point</w:t>
            </w:r>
            <w:r w:rsidR="0032689B" w:rsidRPr="00081C7A">
              <w:rPr>
                <w:rStyle w:val="InstructionsTabelleberschrift"/>
              </w:rPr>
              <w:t xml:space="preserve"> 125</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8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B431A3">
            <w:pPr>
              <w:rPr>
                <w:rFonts w:cs="Arial"/>
                <w:sz w:val="16"/>
                <w:szCs w:val="16"/>
              </w:rPr>
            </w:pPr>
            <w:r>
              <w:rPr>
                <w:rFonts w:cs="Arial"/>
                <w:sz w:val="16"/>
                <w:szCs w:val="16"/>
              </w:rPr>
              <w:lastRenderedPageBreak/>
              <w:t>650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B431A3">
              <w:rPr>
                <w:rStyle w:val="InstructionsTabelleberschrift"/>
              </w:rPr>
              <w:t>12</w:t>
            </w:r>
            <w:r w:rsidRPr="00494E1C">
              <w:rPr>
                <w:rStyle w:val="InstructionsTabelleberschrift"/>
              </w:rPr>
              <w:t>.9</w:t>
            </w:r>
            <w:r w:rsidR="00494E1C">
              <w:rPr>
                <w:rStyle w:val="InstructionsTabelleberschrift"/>
              </w:rPr>
              <w:t xml:space="preserve"> </w:t>
            </w:r>
            <w:r w:rsidR="0032689B" w:rsidRPr="00081C7A">
              <w:rPr>
                <w:rStyle w:val="InstructionsTabelleberschrift"/>
              </w:rPr>
              <w:t>standby credit facilities granted by central banks within the scope of monetary policy to the extent that these facilities are not collaterali</w:t>
            </w:r>
            <w:r w:rsidR="0032689B">
              <w:rPr>
                <w:rStyle w:val="InstructionsTabelleberschrift"/>
              </w:rPr>
              <w:t>z</w:t>
            </w:r>
            <w:r w:rsidR="0032689B" w:rsidRPr="00081C7A">
              <w:rPr>
                <w:rStyle w:val="InstructionsTabelleberschrift"/>
              </w:rPr>
              <w:t xml:space="preserve">ed by liquid assets and excluding emergency liquidity assistance  </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9 </w:t>
            </w:r>
            <w:r w:rsidR="00AA6BC0">
              <w:rPr>
                <w:rStyle w:val="FormatvorlageInstructionsTabelleText"/>
              </w:rPr>
              <w:t>of REGULATION (EU) NO 575/2013</w:t>
            </w:r>
          </w:p>
          <w:p w:rsidR="0032689B" w:rsidRDefault="0032689B" w:rsidP="00BC43F3">
            <w:pPr>
              <w:pStyle w:val="InstructionsText"/>
              <w:rPr>
                <w:rStyle w:val="FormatvorlageInstructionsTabelleText"/>
              </w:rPr>
            </w:pPr>
          </w:p>
          <w:p w:rsidR="0032689B" w:rsidRDefault="0032689B" w:rsidP="00BC43F3">
            <w:pPr>
              <w:pStyle w:val="InstructionsText"/>
            </w:pPr>
            <w:r w:rsidRPr="00B37090">
              <w:rPr>
                <w:rStyle w:val="FormatvorlageInstructionsTabelleText"/>
              </w:rPr>
              <w:t xml:space="preserve">Total amount of </w:t>
            </w:r>
            <w:r w:rsidRPr="001628B5">
              <w:rPr>
                <w:rStyle w:val="FormatvorlageInstructionsTabelleText"/>
              </w:rPr>
              <w:t>standby credit facilities granted by central banks within the scope of monetary policy to the extent that these facilities are not collaterali</w:t>
            </w:r>
            <w:r>
              <w:rPr>
                <w:rStyle w:val="FormatvorlageInstructionsTabelleText"/>
              </w:rPr>
              <w:t>z</w:t>
            </w:r>
            <w:r w:rsidRPr="001628B5">
              <w:rPr>
                <w:rStyle w:val="FormatvorlageInstructionsTabelleText"/>
              </w:rPr>
              <w:t>ed by liquid assets and excluding emergency liquidity assistance</w:t>
            </w:r>
            <w:r>
              <w:rPr>
                <w:rStyle w:val="FormatvorlageInstructionsTabelleText"/>
              </w:rPr>
              <w:t>.</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B431A3">
            <w:pPr>
              <w:rPr>
                <w:rFonts w:cs="Arial"/>
                <w:sz w:val="16"/>
                <w:szCs w:val="16"/>
              </w:rPr>
            </w:pPr>
            <w:r>
              <w:rPr>
                <w:rFonts w:cs="Arial"/>
                <w:sz w:val="16"/>
                <w:szCs w:val="16"/>
              </w:rPr>
              <w:t>660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szCs w:val="24"/>
                <w:lang w:eastAsia="en-US"/>
              </w:rPr>
            </w:pPr>
            <w:r w:rsidRPr="00494E1C">
              <w:rPr>
                <w:rStyle w:val="InstructionsTabelleberschrift"/>
              </w:rPr>
              <w:t>1.2.2.</w:t>
            </w:r>
            <w:r w:rsidR="00B431A3">
              <w:rPr>
                <w:rStyle w:val="InstructionsTabelleberschrift"/>
              </w:rPr>
              <w:t>12</w:t>
            </w:r>
            <w:r w:rsidRPr="00494E1C">
              <w:rPr>
                <w:rStyle w:val="InstructionsTabelleberschrift"/>
              </w:rPr>
              <w:t>.10</w:t>
            </w:r>
            <w:r w:rsidR="00494E1C">
              <w:rPr>
                <w:rStyle w:val="InstructionsTabelleberschrift"/>
              </w:rPr>
              <w:t xml:space="preserve"> </w:t>
            </w:r>
            <w:r w:rsidR="0032689B" w:rsidRPr="00081C7A">
              <w:rPr>
                <w:rStyle w:val="InstructionsTabelleberschrift"/>
              </w:rPr>
              <w:t xml:space="preserve">Legal or statutory minimum deposits with the central credit institution and other statutory or contractually available liquid funding from the central credit institution or institutions that are members of the network referred to in Article 113(7), or eligible for the waiver provided in Article 10, to the extent that this funding is not </w:t>
            </w:r>
            <w:proofErr w:type="spellStart"/>
            <w:r w:rsidR="0032689B" w:rsidRPr="00081C7A">
              <w:rPr>
                <w:rStyle w:val="InstructionsTabelleberschrift"/>
              </w:rPr>
              <w:t>colateralised</w:t>
            </w:r>
            <w:proofErr w:type="spellEnd"/>
            <w:r w:rsidR="0032689B" w:rsidRPr="00081C7A">
              <w:rPr>
                <w:rStyle w:val="InstructionsTabelleberschrift"/>
              </w:rPr>
              <w:t xml:space="preserve"> by </w:t>
            </w:r>
            <w:proofErr w:type="spellStart"/>
            <w:r w:rsidR="0032689B" w:rsidRPr="00081C7A">
              <w:rPr>
                <w:rStyle w:val="InstructionsTabelleberschrift"/>
              </w:rPr>
              <w:t>liqduid</w:t>
            </w:r>
            <w:proofErr w:type="spellEnd"/>
            <w:r w:rsidR="0032689B" w:rsidRPr="00081C7A">
              <w:rPr>
                <w:rStyle w:val="InstructionsTabelleberschrift"/>
              </w:rPr>
              <w:t xml:space="preserve"> assets , if the credit institution belongs to a network in accordance with legal or statutory provisions.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10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szCs w:val="24"/>
                <w:lang w:eastAsia="en-US"/>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B431A3" w:rsidP="00B431A3">
            <w:pPr>
              <w:rPr>
                <w:rFonts w:cs="Arial"/>
                <w:sz w:val="16"/>
                <w:szCs w:val="16"/>
              </w:rPr>
            </w:pPr>
            <w:r>
              <w:rPr>
                <w:rFonts w:cs="Arial"/>
                <w:sz w:val="16"/>
                <w:szCs w:val="16"/>
              </w:rPr>
              <w:t>670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B431A3">
              <w:rPr>
                <w:rStyle w:val="InstructionsTabelleberschrift"/>
              </w:rPr>
              <w:t>12</w:t>
            </w:r>
            <w:r w:rsidRPr="00494E1C">
              <w:rPr>
                <w:rStyle w:val="InstructionsTabelleberschrift"/>
              </w:rPr>
              <w:t xml:space="preserve">.11 </w:t>
            </w:r>
            <w:r w:rsidR="0032689B" w:rsidRPr="00081C7A">
              <w:rPr>
                <w:rStyle w:val="InstructionsTabelleberschrift"/>
              </w:rPr>
              <w:t>exchange traded, centrally cleared common equity shares, that are a constituent of a major stock index, denominated in the domestic currency of the Member State and not issued by an institution or any of its affiliates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11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rPr>
            </w:pPr>
          </w:p>
        </w:tc>
      </w:tr>
      <w:tr w:rsidR="0032689B" w:rsidRPr="00B37090" w:rsidTr="00C652C1">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B431A3">
            <w:pPr>
              <w:rPr>
                <w:rFonts w:cs="Arial"/>
                <w:sz w:val="16"/>
                <w:szCs w:val="16"/>
              </w:rPr>
            </w:pPr>
            <w:r>
              <w:rPr>
                <w:rFonts w:cs="Arial"/>
                <w:sz w:val="16"/>
                <w:szCs w:val="16"/>
              </w:rPr>
              <w:t>680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B431A3">
              <w:rPr>
                <w:rStyle w:val="InstructionsTabelleberschrift"/>
              </w:rPr>
              <w:t>12</w:t>
            </w:r>
            <w:r w:rsidRPr="00494E1C">
              <w:rPr>
                <w:rStyle w:val="InstructionsTabelleberschrift"/>
              </w:rPr>
              <w:t>.12</w:t>
            </w:r>
            <w:r w:rsidR="0032689B" w:rsidRPr="00B37090">
              <w:rPr>
                <w:rStyle w:val="InstructionsTabelleberschrift"/>
              </w:rPr>
              <w:t xml:space="preserve"> </w:t>
            </w:r>
            <w:r w:rsidR="0032689B" w:rsidRPr="00081C7A">
              <w:rPr>
                <w:rStyle w:val="InstructionsTabelleberschrift"/>
              </w:rPr>
              <w:t>gold listed on a recognised exchange, held on an allocated basis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 xml:space="preserve">Annex III, </w:t>
            </w:r>
            <w:r w:rsidR="00F6092E">
              <w:rPr>
                <w:rStyle w:val="FormatvorlageInstructionsTabelleText"/>
              </w:rPr>
              <w:t>Point</w:t>
            </w:r>
            <w:r>
              <w:rPr>
                <w:rStyle w:val="FormatvorlageInstructionsTabelleText"/>
              </w:rPr>
              <w:t xml:space="preserve"> 12 </w:t>
            </w:r>
            <w:r w:rsidR="00AA6BC0">
              <w:rPr>
                <w:rStyle w:val="FormatvorlageInstructionsTabelleText"/>
              </w:rPr>
              <w:t>of 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rPr>
            </w:pPr>
          </w:p>
        </w:tc>
      </w:tr>
      <w:tr w:rsidR="0032689B" w:rsidTr="0032689B">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689B" w:rsidRDefault="00EF78B5" w:rsidP="00BC43F3">
            <w:pPr>
              <w:pStyle w:val="ListParagraph"/>
              <w:spacing w:before="0" w:after="0"/>
              <w:ind w:left="717"/>
              <w:rPr>
                <w:rFonts w:cs="Arial"/>
                <w:b/>
                <w:szCs w:val="20"/>
                <w:u w:val="single"/>
              </w:rPr>
            </w:pPr>
            <w:r>
              <w:rPr>
                <w:rFonts w:cs="Arial"/>
                <w:b/>
                <w:szCs w:val="20"/>
                <w:u w:val="single"/>
              </w:rPr>
              <w:t>690-920</w:t>
            </w:r>
          </w:p>
          <w:p w:rsidR="0032689B" w:rsidRDefault="0032689B" w:rsidP="00640CC2">
            <w:pPr>
              <w:rPr>
                <w:rStyle w:val="FormatvorlageInstructionsTabelleText"/>
                <w:lang w:val="en-US"/>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p>
          <w:p w:rsidR="0032689B" w:rsidRPr="00103CBB" w:rsidRDefault="00103CBB" w:rsidP="00AA6BC0">
            <w:pPr>
              <w:rPr>
                <w:rFonts w:cs="Arial"/>
                <w:b/>
                <w:szCs w:val="20"/>
                <w:u w:val="single"/>
              </w:rPr>
            </w:pPr>
            <w:r w:rsidRPr="00494E1C">
              <w:rPr>
                <w:rStyle w:val="InstructionsTabelleberschrift"/>
                <w:szCs w:val="17"/>
                <w:lang w:eastAsia="de-DE"/>
              </w:rPr>
              <w:t>1.2.2.</w:t>
            </w:r>
            <w:r w:rsidR="00EF78B5">
              <w:rPr>
                <w:rStyle w:val="InstructionsTabelleberschrift"/>
                <w:szCs w:val="17"/>
                <w:lang w:eastAsia="de-DE"/>
              </w:rPr>
              <w:t>13</w:t>
            </w:r>
            <w:r w:rsidR="00AA6BC0">
              <w:rPr>
                <w:rStyle w:val="InstructionsTabelleberschrift"/>
                <w:b w:val="0"/>
                <w:szCs w:val="17"/>
                <w:lang w:eastAsia="de-DE"/>
              </w:rPr>
              <w:t xml:space="preserve"> </w:t>
            </w:r>
            <w:r w:rsidR="0032689B" w:rsidRPr="00494E1C">
              <w:rPr>
                <w:rStyle w:val="InstructionsTabelleberschrift"/>
                <w:b w:val="0"/>
                <w:szCs w:val="17"/>
                <w:lang w:eastAsia="de-DE"/>
              </w:rPr>
              <w:t>ASSETS WHICH</w:t>
            </w:r>
            <w:r w:rsidR="0032689B" w:rsidRPr="00103CBB">
              <w:rPr>
                <w:rFonts w:cs="Arial"/>
                <w:b/>
                <w:szCs w:val="20"/>
                <w:u w:val="single"/>
              </w:rPr>
              <w:t xml:space="preserve"> DO NOT MEET THE REQUIREMENTS OF ARTICLE 416 </w:t>
            </w:r>
            <w:r w:rsidR="00AA6BC0">
              <w:rPr>
                <w:rFonts w:cs="Arial"/>
                <w:b/>
                <w:szCs w:val="20"/>
                <w:u w:val="single"/>
              </w:rPr>
              <w:t>REGULATION (EU) NO 575/2013</w:t>
            </w:r>
            <w:r w:rsidR="0032689B" w:rsidRPr="00103CBB">
              <w:rPr>
                <w:rFonts w:cs="Arial"/>
                <w:b/>
                <w:szCs w:val="20"/>
                <w:u w:val="single"/>
              </w:rPr>
              <w:t xml:space="preserve"> but still meet the requirements of Article 417 (b) and (</w:t>
            </w:r>
            <w:proofErr w:type="gramStart"/>
            <w:r w:rsidR="0032689B" w:rsidRPr="00103CBB">
              <w:rPr>
                <w:rFonts w:cs="Arial"/>
                <w:b/>
                <w:szCs w:val="20"/>
                <w:u w:val="single"/>
              </w:rPr>
              <w:t>c )</w:t>
            </w:r>
            <w:proofErr w:type="gramEnd"/>
            <w:r w:rsidR="0032689B" w:rsidRPr="00103CBB">
              <w:rPr>
                <w:rFonts w:cs="Arial"/>
                <w:b/>
                <w:szCs w:val="20"/>
                <w:u w:val="single"/>
              </w:rPr>
              <w:t xml:space="preserve"> </w:t>
            </w:r>
            <w:r w:rsidR="00AA6BC0">
              <w:rPr>
                <w:rFonts w:cs="Arial"/>
                <w:b/>
                <w:szCs w:val="20"/>
                <w:u w:val="single"/>
              </w:rPr>
              <w:t>REGULATION (EU) NO 575/2013</w:t>
            </w:r>
            <w:r w:rsidR="0032689B" w:rsidRPr="00103CBB">
              <w:rPr>
                <w:rFonts w:cs="Arial"/>
                <w:b/>
                <w:szCs w:val="20"/>
                <w:u w:val="single"/>
              </w:rPr>
              <w:t xml:space="preserve">. </w:t>
            </w:r>
          </w:p>
          <w:p w:rsidR="0032689B" w:rsidRDefault="0032689B" w:rsidP="0032689B">
            <w:pPr>
              <w:spacing w:before="0" w:after="0"/>
              <w:rPr>
                <w:rFonts w:cs="Arial"/>
                <w:b/>
                <w:szCs w:val="20"/>
                <w:u w:val="single"/>
              </w:rPr>
            </w:pPr>
          </w:p>
          <w:p w:rsidR="0032689B" w:rsidRDefault="0032689B" w:rsidP="0032689B">
            <w:pPr>
              <w:pStyle w:val="InstructionsText"/>
              <w:rPr>
                <w:rStyle w:val="FormatvorlageInstructionsTabelleText"/>
                <w:lang w:val="en-US"/>
              </w:rPr>
            </w:pPr>
          </w:p>
          <w:p w:rsidR="002050DA" w:rsidRDefault="002050DA" w:rsidP="002050DA">
            <w:pPr>
              <w:pStyle w:val="InstructionsText"/>
              <w:rPr>
                <w:rStyle w:val="FormatvorlageInstructionsTabelleText"/>
                <w:lang w:val="en-US"/>
              </w:rPr>
            </w:pPr>
          </w:p>
          <w:p w:rsidR="002050DA" w:rsidRPr="004137FC" w:rsidRDefault="002050DA" w:rsidP="002050DA">
            <w:pPr>
              <w:pStyle w:val="InstructionsText"/>
              <w:rPr>
                <w:rStyle w:val="FormatvorlageInstructionsTabelleText"/>
                <w:lang w:val="en-US"/>
              </w:rPr>
            </w:pPr>
            <w:r w:rsidRPr="004137FC">
              <w:rPr>
                <w:rStyle w:val="FormatvorlageInstructionsTabelleText"/>
                <w:lang w:val="en-US"/>
              </w:rPr>
              <w:t>These items shall be reported here in accordance with 1.2.2 above, in the appropriate sub-category.</w:t>
            </w:r>
          </w:p>
          <w:p w:rsidR="0032689B" w:rsidRDefault="0032689B" w:rsidP="00BC43F3">
            <w:pPr>
              <w:pStyle w:val="InstructionsText"/>
              <w:rPr>
                <w:rStyle w:val="FormatvorlageInstructionsTabelleText"/>
              </w:rPr>
            </w:pPr>
          </w:p>
          <w:p w:rsidR="0032689B" w:rsidRDefault="0032689B" w:rsidP="00BC43F3">
            <w:pPr>
              <w:spacing w:before="0" w:after="0"/>
              <w:rPr>
                <w:rFonts w:cs="Arial"/>
                <w:szCs w:val="20"/>
              </w:rPr>
            </w:pPr>
          </w:p>
        </w:tc>
      </w:tr>
      <w:tr w:rsidR="0032689B" w:rsidRPr="00CA3217"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5B0B63">
            <w:pPr>
              <w:rPr>
                <w:rFonts w:cs="Arial"/>
                <w:sz w:val="16"/>
                <w:szCs w:val="16"/>
              </w:rPr>
            </w:pPr>
            <w:r>
              <w:rPr>
                <w:rFonts w:cs="Arial"/>
                <w:sz w:val="16"/>
                <w:szCs w:val="16"/>
              </w:rPr>
              <w:t>690-710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103CBB" w:rsidP="00BC43F3">
            <w:pPr>
              <w:pStyle w:val="InstructionsText"/>
              <w:rPr>
                <w:rStyle w:val="InstructionsTabelleberschrift"/>
              </w:rPr>
            </w:pPr>
            <w:r w:rsidRPr="00494E1C">
              <w:rPr>
                <w:rStyle w:val="InstructionsTabelleberschrift"/>
              </w:rPr>
              <w:t>1.2.2.</w:t>
            </w:r>
            <w:r w:rsidR="005B0B63">
              <w:rPr>
                <w:rStyle w:val="InstructionsTabelleberschrift"/>
              </w:rPr>
              <w:t>13</w:t>
            </w:r>
            <w:r w:rsidRPr="00494E1C">
              <w:rPr>
                <w:rStyle w:val="InstructionsTabelleberschrift"/>
              </w:rPr>
              <w:t>.1</w:t>
            </w:r>
            <w:r w:rsidR="00494E1C">
              <w:rPr>
                <w:rStyle w:val="InstructionsTabelleberschrift"/>
              </w:rPr>
              <w:t xml:space="preserve"> </w:t>
            </w:r>
            <w:r w:rsidR="0032689B" w:rsidRPr="00FE021C">
              <w:rPr>
                <w:rStyle w:val="InstructionsTabelleberschrift"/>
              </w:rPr>
              <w:t>financial corporate bonds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sidRPr="00FE021C">
              <w:rPr>
                <w:rStyle w:val="FormatvorlageInstructionsTabelleText"/>
              </w:rPr>
              <w:t xml:space="preserve">Article 416 (2) of </w:t>
            </w:r>
            <w:r w:rsidR="00AA6BC0">
              <w:rPr>
                <w:rStyle w:val="FormatvorlageInstructionsTabelleText"/>
              </w:rPr>
              <w:t>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b w:val="0"/>
                <w:szCs w:val="24"/>
                <w:u w:val="none"/>
                <w:lang w:eastAsia="en-US"/>
              </w:rPr>
            </w:pPr>
            <w:r>
              <w:rPr>
                <w:rStyle w:val="InstructionsTabelleberschrift"/>
                <w:b w:val="0"/>
                <w:u w:val="none"/>
              </w:rPr>
              <w:t xml:space="preserve">Those items shall be reported according to their credit quality as per </w:t>
            </w:r>
            <w:r w:rsidRPr="00221C50">
              <w:rPr>
                <w:rStyle w:val="InstructionsTabelleberschrift"/>
                <w:b w:val="0"/>
                <w:u w:val="none"/>
              </w:rPr>
              <w:t>Article 12</w:t>
            </w:r>
            <w:r>
              <w:rPr>
                <w:rStyle w:val="InstructionsTabelleberschrift"/>
                <w:b w:val="0"/>
                <w:u w:val="none"/>
              </w:rPr>
              <w:t>0(1)</w:t>
            </w:r>
            <w:r w:rsidRPr="00221C50">
              <w:rPr>
                <w:rStyle w:val="InstructionsTabelleberschrift"/>
                <w:b w:val="0"/>
                <w:u w:val="none"/>
              </w:rPr>
              <w:t xml:space="preserve"> of </w:t>
            </w:r>
            <w:r w:rsidR="00AA6BC0">
              <w:rPr>
                <w:rStyle w:val="InstructionsTabelleberschrift"/>
                <w:b w:val="0"/>
                <w:u w:val="none"/>
              </w:rPr>
              <w:t>REGULATION (EU) NO 575/2013</w:t>
            </w:r>
          </w:p>
          <w:p w:rsidR="0032689B" w:rsidRDefault="0032689B" w:rsidP="00BC43F3">
            <w:pPr>
              <w:pStyle w:val="InstructionsText"/>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5B0B63">
            <w:pPr>
              <w:rPr>
                <w:rFonts w:cs="Arial"/>
                <w:sz w:val="16"/>
                <w:szCs w:val="16"/>
              </w:rPr>
            </w:pPr>
            <w:r>
              <w:rPr>
                <w:rFonts w:cs="Arial"/>
                <w:sz w:val="16"/>
                <w:szCs w:val="16"/>
              </w:rPr>
              <w:lastRenderedPageBreak/>
              <w:t>690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5B0B63">
              <w:rPr>
                <w:rStyle w:val="InstructionsTabelleberschrift"/>
              </w:rPr>
              <w:t>13</w:t>
            </w:r>
            <w:r w:rsidRPr="00494E1C">
              <w:rPr>
                <w:rStyle w:val="InstructionsTabelleberschrift"/>
              </w:rPr>
              <w:t>.1</w:t>
            </w:r>
            <w:r w:rsidR="005B0B63">
              <w:rPr>
                <w:rStyle w:val="InstructionsTabelleberschrift"/>
              </w:rPr>
              <w:t>.1</w:t>
            </w:r>
            <w:r w:rsidR="00494E1C">
              <w:rPr>
                <w:rStyle w:val="InstructionsTabelleberschrift"/>
              </w:rPr>
              <w:t xml:space="preserve"> </w:t>
            </w:r>
            <w:r w:rsidR="0032689B" w:rsidRPr="00B37090">
              <w:rPr>
                <w:rStyle w:val="InstructionsTabelleberschrift"/>
              </w:rPr>
              <w:t>credit quality step 1</w:t>
            </w:r>
          </w:p>
          <w:p w:rsidR="0032689B" w:rsidRDefault="0032689B" w:rsidP="00BC43F3">
            <w:pPr>
              <w:pStyle w:val="InstructionsText"/>
              <w:rPr>
                <w:rStyle w:val="InstructionsTabelleberschrift"/>
                <w:szCs w:val="24"/>
                <w:lang w:eastAsia="en-US"/>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5B0B63">
            <w:pPr>
              <w:rPr>
                <w:rFonts w:cs="Arial"/>
                <w:sz w:val="16"/>
                <w:szCs w:val="16"/>
              </w:rPr>
            </w:pPr>
            <w:r>
              <w:rPr>
                <w:rFonts w:cs="Arial"/>
                <w:sz w:val="16"/>
                <w:szCs w:val="16"/>
              </w:rPr>
              <w:t>700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lang w:val="en-US"/>
              </w:rPr>
            </w:pPr>
            <w:r w:rsidRPr="00494E1C">
              <w:rPr>
                <w:rStyle w:val="InstructionsTabelleberschrift"/>
              </w:rPr>
              <w:t>1.2.2.</w:t>
            </w:r>
            <w:r w:rsidR="005B0B63">
              <w:rPr>
                <w:rStyle w:val="InstructionsTabelleberschrift"/>
              </w:rPr>
              <w:t>13</w:t>
            </w:r>
            <w:r w:rsidRPr="00494E1C">
              <w:rPr>
                <w:rStyle w:val="InstructionsTabelleberschrift"/>
              </w:rPr>
              <w:t>.1.2</w:t>
            </w:r>
            <w:r w:rsidR="00494E1C">
              <w:rPr>
                <w:rStyle w:val="InstructionsTabelleberschrift"/>
              </w:rPr>
              <w:t xml:space="preserve"> </w:t>
            </w:r>
            <w:r w:rsidR="0032689B" w:rsidRPr="00B37090">
              <w:rPr>
                <w:rStyle w:val="InstructionsTabelleberschrift"/>
              </w:rPr>
              <w:t>credit quality step 2</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5B0B63">
            <w:pPr>
              <w:rPr>
                <w:rFonts w:cs="Arial"/>
                <w:sz w:val="16"/>
                <w:szCs w:val="16"/>
              </w:rPr>
            </w:pPr>
            <w:r>
              <w:rPr>
                <w:rFonts w:cs="Arial"/>
                <w:sz w:val="16"/>
                <w:szCs w:val="16"/>
              </w:rPr>
              <w:t>710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256EAC">
              <w:rPr>
                <w:rStyle w:val="InstructionsTabelleberschrift"/>
              </w:rPr>
              <w:t>3</w:t>
            </w:r>
            <w:r w:rsidRPr="00494E1C">
              <w:rPr>
                <w:rStyle w:val="InstructionsTabelleberschrift"/>
              </w:rPr>
              <w:t>.1.3</w:t>
            </w:r>
            <w:r w:rsidR="00494E1C">
              <w:rPr>
                <w:rStyle w:val="InstructionsTabelleberschrift"/>
              </w:rPr>
              <w:t xml:space="preserve"> </w:t>
            </w:r>
            <w:r w:rsidR="0032689B" w:rsidRPr="00B37090">
              <w:rPr>
                <w:rStyle w:val="InstructionsTabelleberschrift"/>
              </w:rPr>
              <w:t>credit quality step 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256EAC">
            <w:pPr>
              <w:rPr>
                <w:rFonts w:cs="Arial"/>
                <w:sz w:val="16"/>
                <w:szCs w:val="16"/>
              </w:rPr>
            </w:pPr>
            <w:r>
              <w:rPr>
                <w:rFonts w:cs="Arial"/>
                <w:sz w:val="16"/>
                <w:szCs w:val="16"/>
              </w:rPr>
              <w:t>720-740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Pr="00494E1C" w:rsidRDefault="00103CBB" w:rsidP="00BC43F3">
            <w:pPr>
              <w:pStyle w:val="InstructionsText"/>
              <w:rPr>
                <w:rStyle w:val="InstructionsTabelleberschrift"/>
              </w:rPr>
            </w:pPr>
            <w:r w:rsidRPr="00494E1C">
              <w:rPr>
                <w:rStyle w:val="InstructionsTabelleberschrift"/>
              </w:rPr>
              <w:t>1.2.2.</w:t>
            </w:r>
            <w:r w:rsidR="00256EAC">
              <w:rPr>
                <w:rStyle w:val="InstructionsTabelleberschrift"/>
              </w:rPr>
              <w:t>13</w:t>
            </w:r>
            <w:r w:rsidRPr="00494E1C">
              <w:rPr>
                <w:rStyle w:val="InstructionsTabelleberschrift"/>
              </w:rPr>
              <w:t>.2</w:t>
            </w:r>
            <w:r w:rsidR="00494E1C">
              <w:rPr>
                <w:rStyle w:val="InstructionsTabelleberschrift"/>
              </w:rPr>
              <w:t xml:space="preserve"> </w:t>
            </w:r>
            <w:r w:rsidR="0032689B">
              <w:rPr>
                <w:rStyle w:val="InstructionsTabelleberschrift"/>
              </w:rPr>
              <w:t>own issuances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sidRPr="00FE021C">
              <w:rPr>
                <w:rStyle w:val="FormatvorlageInstructionsTabelleText"/>
              </w:rPr>
              <w:t>Article 416 (</w:t>
            </w:r>
            <w:r>
              <w:rPr>
                <w:rStyle w:val="FormatvorlageInstructionsTabelleText"/>
              </w:rPr>
              <w:t>3</w:t>
            </w:r>
            <w:r w:rsidRPr="00FE021C">
              <w:rPr>
                <w:rStyle w:val="FormatvorlageInstructionsTabelleText"/>
              </w:rPr>
              <w:t>)</w:t>
            </w:r>
            <w:r>
              <w:rPr>
                <w:rStyle w:val="FormatvorlageInstructionsTabelleText"/>
              </w:rPr>
              <w:t>(b)</w:t>
            </w:r>
            <w:r w:rsidRPr="00FE021C">
              <w:rPr>
                <w:rStyle w:val="FormatvorlageInstructionsTabelleText"/>
              </w:rPr>
              <w:t xml:space="preserve"> of </w:t>
            </w:r>
            <w:r w:rsidR="00AA6BC0">
              <w:rPr>
                <w:rStyle w:val="FormatvorlageInstructionsTabelleText"/>
              </w:rPr>
              <w:t>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221C50">
              <w:rPr>
                <w:rStyle w:val="InstructionsTabelleberschrift"/>
                <w:b w:val="0"/>
                <w:u w:val="none"/>
              </w:rPr>
              <w:t>Article 12</w:t>
            </w:r>
            <w:r>
              <w:rPr>
                <w:rStyle w:val="InstructionsTabelleberschrift"/>
                <w:b w:val="0"/>
                <w:u w:val="none"/>
              </w:rPr>
              <w:t>0(1)</w:t>
            </w:r>
            <w:r w:rsidRPr="00221C50">
              <w:rPr>
                <w:rStyle w:val="InstructionsTabelleberschrift"/>
                <w:b w:val="0"/>
                <w:u w:val="none"/>
              </w:rPr>
              <w:t xml:space="preserve">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256EAC">
            <w:pPr>
              <w:rPr>
                <w:rFonts w:cs="Arial"/>
                <w:sz w:val="16"/>
                <w:szCs w:val="16"/>
              </w:rPr>
            </w:pPr>
            <w:r>
              <w:rPr>
                <w:rFonts w:cs="Arial"/>
                <w:sz w:val="16"/>
                <w:szCs w:val="16"/>
              </w:rPr>
              <w:t>720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256EAC">
              <w:rPr>
                <w:rStyle w:val="InstructionsTabelleberschrift"/>
              </w:rPr>
              <w:t>13</w:t>
            </w:r>
            <w:r w:rsidRPr="00494E1C">
              <w:rPr>
                <w:rStyle w:val="InstructionsTabelleberschrift"/>
              </w:rPr>
              <w:t>.2.1</w:t>
            </w:r>
            <w:r w:rsidR="00494E1C">
              <w:rPr>
                <w:rStyle w:val="InstructionsTabelleberschrift"/>
              </w:rPr>
              <w:t xml:space="preserve"> </w:t>
            </w:r>
            <w:r w:rsidR="0032689B" w:rsidRPr="00B37090">
              <w:rPr>
                <w:rStyle w:val="InstructionsTabelleberschrift"/>
              </w:rPr>
              <w:t>credit quality step 1</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256EAC">
            <w:pPr>
              <w:rPr>
                <w:rFonts w:cs="Arial"/>
                <w:sz w:val="16"/>
                <w:szCs w:val="16"/>
              </w:rPr>
            </w:pPr>
            <w:r>
              <w:rPr>
                <w:rFonts w:cs="Arial"/>
                <w:sz w:val="16"/>
                <w:szCs w:val="16"/>
              </w:rPr>
              <w:t>730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256EAC">
              <w:rPr>
                <w:rStyle w:val="InstructionsTabelleberschrift"/>
              </w:rPr>
              <w:t>13</w:t>
            </w:r>
            <w:r w:rsidRPr="00494E1C">
              <w:rPr>
                <w:rStyle w:val="InstructionsTabelleberschrift"/>
              </w:rPr>
              <w:t>.2.2</w:t>
            </w:r>
            <w:r w:rsidR="00494E1C">
              <w:rPr>
                <w:rStyle w:val="InstructionsTabelleberschrift"/>
              </w:rPr>
              <w:t xml:space="preserve"> </w:t>
            </w:r>
            <w:r w:rsidR="0032689B" w:rsidRPr="00B37090">
              <w:rPr>
                <w:rStyle w:val="InstructionsTabelleberschrift"/>
              </w:rPr>
              <w:t>credit quality step 2</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256EAC">
            <w:pPr>
              <w:rPr>
                <w:rFonts w:cs="Arial"/>
                <w:sz w:val="16"/>
                <w:szCs w:val="16"/>
              </w:rPr>
            </w:pPr>
            <w:r>
              <w:rPr>
                <w:rFonts w:cs="Arial"/>
                <w:sz w:val="16"/>
                <w:szCs w:val="16"/>
              </w:rPr>
              <w:t>740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256EAC">
              <w:rPr>
                <w:rStyle w:val="InstructionsTabelleberschrift"/>
              </w:rPr>
              <w:t>13</w:t>
            </w:r>
            <w:r w:rsidRPr="00494E1C">
              <w:rPr>
                <w:rStyle w:val="InstructionsTabelleberschrift"/>
              </w:rPr>
              <w:t>.2.3</w:t>
            </w:r>
            <w:r w:rsidR="00494E1C">
              <w:rPr>
                <w:rStyle w:val="InstructionsTabelleberschrift"/>
              </w:rPr>
              <w:t xml:space="preserve"> </w:t>
            </w:r>
            <w:r w:rsidR="0032689B" w:rsidRPr="00B37090">
              <w:rPr>
                <w:rStyle w:val="InstructionsTabelleberschrift"/>
              </w:rPr>
              <w:t>credit quality step 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256EAC">
            <w:pPr>
              <w:rPr>
                <w:rFonts w:cs="Arial"/>
                <w:sz w:val="16"/>
                <w:szCs w:val="16"/>
              </w:rPr>
            </w:pPr>
            <w:r>
              <w:rPr>
                <w:rFonts w:cs="Arial"/>
                <w:sz w:val="16"/>
                <w:szCs w:val="16"/>
              </w:rPr>
              <w:t>750-770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103CBB" w:rsidP="00BC43F3">
            <w:pPr>
              <w:pStyle w:val="InstructionsText"/>
              <w:rPr>
                <w:rStyle w:val="InstructionsTabelleberschrift"/>
                <w:lang w:val="en-US"/>
              </w:rPr>
            </w:pPr>
            <w:r w:rsidRPr="00494E1C">
              <w:rPr>
                <w:rStyle w:val="InstructionsTabelleberschrift"/>
              </w:rPr>
              <w:t>1.2.2.</w:t>
            </w:r>
            <w:r w:rsidR="00256EAC">
              <w:rPr>
                <w:rStyle w:val="InstructionsTabelleberschrift"/>
              </w:rPr>
              <w:t>13</w:t>
            </w:r>
            <w:r w:rsidRPr="00494E1C">
              <w:rPr>
                <w:rStyle w:val="InstructionsTabelleberschrift"/>
              </w:rPr>
              <w:t>.3</w:t>
            </w:r>
            <w:r w:rsidR="00494E1C">
              <w:rPr>
                <w:rStyle w:val="InstructionsTabelleberschrift"/>
              </w:rPr>
              <w:t xml:space="preserve"> </w:t>
            </w:r>
            <w:r w:rsidR="0032689B">
              <w:rPr>
                <w:rStyle w:val="InstructionsTabelleberschrift"/>
              </w:rPr>
              <w:t>unsecured credit institution issuances</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sidRPr="00FE021C">
              <w:rPr>
                <w:rStyle w:val="FormatvorlageInstructionsTabelleText"/>
              </w:rPr>
              <w:t xml:space="preserve">Article 416 of </w:t>
            </w:r>
            <w:r w:rsidR="00AA6BC0">
              <w:rPr>
                <w:rStyle w:val="FormatvorlageInstructionsTabelleText"/>
              </w:rPr>
              <w:t>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221C50">
              <w:rPr>
                <w:rStyle w:val="InstructionsTabelleberschrift"/>
                <w:b w:val="0"/>
                <w:u w:val="none"/>
              </w:rPr>
              <w:t>Article 12</w:t>
            </w:r>
            <w:r>
              <w:rPr>
                <w:rStyle w:val="InstructionsTabelleberschrift"/>
                <w:b w:val="0"/>
                <w:u w:val="none"/>
              </w:rPr>
              <w:t>0(1)</w:t>
            </w:r>
            <w:r w:rsidRPr="00221C50">
              <w:rPr>
                <w:rStyle w:val="InstructionsTabelleberschrift"/>
                <w:b w:val="0"/>
                <w:u w:val="none"/>
              </w:rPr>
              <w:t xml:space="preserve">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256EAC">
            <w:pPr>
              <w:rPr>
                <w:rFonts w:cs="Arial"/>
                <w:sz w:val="16"/>
                <w:szCs w:val="16"/>
              </w:rPr>
            </w:pPr>
            <w:r>
              <w:rPr>
                <w:rFonts w:cs="Arial"/>
                <w:sz w:val="16"/>
                <w:szCs w:val="16"/>
              </w:rPr>
              <w:t>750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256EAC">
              <w:rPr>
                <w:rStyle w:val="InstructionsTabelleberschrift"/>
              </w:rPr>
              <w:t>13</w:t>
            </w:r>
            <w:r w:rsidRPr="00494E1C">
              <w:rPr>
                <w:rStyle w:val="InstructionsTabelleberschrift"/>
              </w:rPr>
              <w:t>.3.1</w:t>
            </w:r>
            <w:r w:rsidR="00494E1C">
              <w:rPr>
                <w:rStyle w:val="InstructionsTabelleberschrift"/>
              </w:rPr>
              <w:t xml:space="preserve"> </w:t>
            </w:r>
            <w:r w:rsidR="0032689B" w:rsidRPr="00B37090">
              <w:rPr>
                <w:rStyle w:val="InstructionsTabelleberschrift"/>
              </w:rPr>
              <w:t>credit quality step 1</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256EAC">
            <w:pPr>
              <w:rPr>
                <w:rFonts w:cs="Arial"/>
                <w:sz w:val="16"/>
                <w:szCs w:val="16"/>
              </w:rPr>
            </w:pPr>
            <w:r>
              <w:rPr>
                <w:rFonts w:cs="Arial"/>
                <w:sz w:val="16"/>
                <w:szCs w:val="16"/>
              </w:rPr>
              <w:t>760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256EAC">
              <w:rPr>
                <w:rStyle w:val="InstructionsTabelleberschrift"/>
              </w:rPr>
              <w:t>13</w:t>
            </w:r>
            <w:r w:rsidRPr="00494E1C">
              <w:rPr>
                <w:rStyle w:val="InstructionsTabelleberschrift"/>
              </w:rPr>
              <w:t>.3.2</w:t>
            </w:r>
            <w:r w:rsidR="00494E1C">
              <w:rPr>
                <w:rStyle w:val="InstructionsTabelleberschrift"/>
              </w:rPr>
              <w:t xml:space="preserve"> </w:t>
            </w:r>
            <w:r w:rsidR="0032689B" w:rsidRPr="00B37090">
              <w:rPr>
                <w:rStyle w:val="InstructionsTabelleberschrift"/>
              </w:rPr>
              <w:t>credit quality step 2</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256EAC">
            <w:pPr>
              <w:rPr>
                <w:rFonts w:cs="Arial"/>
                <w:sz w:val="16"/>
                <w:szCs w:val="16"/>
              </w:rPr>
            </w:pPr>
            <w:r>
              <w:rPr>
                <w:rFonts w:cs="Arial"/>
                <w:sz w:val="16"/>
                <w:szCs w:val="16"/>
              </w:rPr>
              <w:t>770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1.2.2.4.</w:t>
            </w:r>
            <w:r w:rsidR="00256EAC">
              <w:rPr>
                <w:rStyle w:val="InstructionsTabelleberschrift"/>
              </w:rPr>
              <w:t>13</w:t>
            </w:r>
            <w:r w:rsidRPr="00494E1C">
              <w:rPr>
                <w:rStyle w:val="InstructionsTabelleberschrift"/>
              </w:rPr>
              <w:t>.3</w:t>
            </w:r>
            <w:r w:rsidR="00494E1C">
              <w:rPr>
                <w:rStyle w:val="InstructionsTabelleberschrift"/>
              </w:rPr>
              <w:t xml:space="preserve"> </w:t>
            </w:r>
            <w:r w:rsidR="0032689B" w:rsidRPr="00B37090">
              <w:rPr>
                <w:rStyle w:val="InstructionsTabelleberschrift"/>
              </w:rPr>
              <w:t>credit quality step 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211084">
            <w:pPr>
              <w:rPr>
                <w:rFonts w:cs="Arial"/>
                <w:sz w:val="16"/>
                <w:szCs w:val="16"/>
              </w:rPr>
            </w:pPr>
            <w:r>
              <w:rPr>
                <w:rFonts w:cs="Arial"/>
                <w:sz w:val="16"/>
                <w:szCs w:val="16"/>
              </w:rPr>
              <w:t>780-800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103CBB" w:rsidP="00BC43F3">
            <w:pPr>
              <w:pStyle w:val="InstructionsText"/>
              <w:rPr>
                <w:rStyle w:val="InstructionsTabelleberschrift"/>
              </w:rPr>
            </w:pPr>
            <w:r w:rsidRPr="00494E1C">
              <w:rPr>
                <w:rStyle w:val="InstructionsTabelleberschrift"/>
              </w:rPr>
              <w:t>1.2.2.</w:t>
            </w:r>
            <w:r w:rsidR="003F0A85">
              <w:rPr>
                <w:rStyle w:val="InstructionsTabelleberschrift"/>
              </w:rPr>
              <w:t>13</w:t>
            </w:r>
            <w:r w:rsidRPr="00494E1C">
              <w:rPr>
                <w:rStyle w:val="InstructionsTabelleberschrift"/>
              </w:rPr>
              <w:t>.4</w:t>
            </w:r>
            <w:r w:rsidR="00494E1C">
              <w:rPr>
                <w:rStyle w:val="InstructionsTabelleberschrift"/>
              </w:rPr>
              <w:t xml:space="preserve"> </w:t>
            </w:r>
            <w:r w:rsidR="0032689B">
              <w:rPr>
                <w:rStyle w:val="InstructionsTabelleberschrift"/>
              </w:rPr>
              <w:t>asset</w:t>
            </w:r>
            <w:r w:rsidR="0032689B" w:rsidRPr="008A3D87">
              <w:rPr>
                <w:rStyle w:val="InstructionsTabelleberschrift"/>
              </w:rPr>
              <w:t xml:space="preserve"> backed securities not already reported in 1.10 to 1.11.3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Article 416(4)(b)</w:t>
            </w:r>
            <w:r w:rsidRPr="00FE021C">
              <w:rPr>
                <w:rStyle w:val="FormatvorlageInstructionsTabelleText"/>
              </w:rPr>
              <w:t xml:space="preserve"> of </w:t>
            </w:r>
            <w:r w:rsidR="00AA6BC0">
              <w:rPr>
                <w:rStyle w:val="FormatvorlageInstructionsTabelleText"/>
              </w:rPr>
              <w:t>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b w:val="0"/>
                <w:u w:val="none"/>
              </w:rPr>
            </w:pPr>
            <w:r>
              <w:rPr>
                <w:rStyle w:val="InstructionsTabelleberschrift"/>
                <w:b w:val="0"/>
                <w:u w:val="none"/>
              </w:rPr>
              <w:t xml:space="preserve">Those items shall be reported according to their credit quality as per </w:t>
            </w:r>
            <w:r w:rsidRPr="00C2788E">
              <w:rPr>
                <w:rStyle w:val="InstructionsTabelleberschrift"/>
                <w:b w:val="0"/>
                <w:u w:val="none"/>
              </w:rPr>
              <w:t>Chapter 5,</w:t>
            </w:r>
            <w:r>
              <w:rPr>
                <w:rStyle w:val="InstructionsTabelleberschrift"/>
                <w:b w:val="0"/>
                <w:u w:val="none"/>
              </w:rPr>
              <w:t xml:space="preserve"> </w:t>
            </w:r>
            <w:r w:rsidRPr="00C2788E">
              <w:rPr>
                <w:rStyle w:val="InstructionsTabelleberschrift"/>
                <w:b w:val="0"/>
                <w:u w:val="none"/>
              </w:rPr>
              <w:t xml:space="preserve">Title 2 of Part III  and Article 125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F0A85">
            <w:pPr>
              <w:rPr>
                <w:rFonts w:cs="Arial"/>
                <w:sz w:val="16"/>
                <w:szCs w:val="16"/>
              </w:rPr>
            </w:pPr>
            <w:r>
              <w:rPr>
                <w:rFonts w:cs="Arial"/>
                <w:sz w:val="16"/>
                <w:szCs w:val="16"/>
              </w:rPr>
              <w:t>780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F0A85">
              <w:rPr>
                <w:rStyle w:val="InstructionsTabelleberschrift"/>
              </w:rPr>
              <w:t>13</w:t>
            </w:r>
            <w:r w:rsidRPr="00494E1C">
              <w:rPr>
                <w:rStyle w:val="InstructionsTabelleberschrift"/>
              </w:rPr>
              <w:t>.4.1</w:t>
            </w:r>
            <w:r w:rsidR="00494E1C">
              <w:rPr>
                <w:rStyle w:val="InstructionsTabelleberschrift"/>
              </w:rPr>
              <w:t xml:space="preserve"> </w:t>
            </w:r>
            <w:r w:rsidR="0032689B" w:rsidRPr="00B37090">
              <w:rPr>
                <w:rStyle w:val="InstructionsTabelleberschrift"/>
              </w:rPr>
              <w:t>credit quality step 1</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F0A85">
            <w:pPr>
              <w:rPr>
                <w:rFonts w:cs="Arial"/>
                <w:sz w:val="16"/>
                <w:szCs w:val="16"/>
              </w:rPr>
            </w:pPr>
            <w:r>
              <w:rPr>
                <w:rFonts w:cs="Arial"/>
                <w:sz w:val="16"/>
                <w:szCs w:val="16"/>
              </w:rPr>
              <w:t>790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F0A85">
              <w:rPr>
                <w:rStyle w:val="InstructionsTabelleberschrift"/>
              </w:rPr>
              <w:t>13</w:t>
            </w:r>
            <w:r w:rsidRPr="00494E1C">
              <w:rPr>
                <w:rStyle w:val="InstructionsTabelleberschrift"/>
              </w:rPr>
              <w:t>.4.2</w:t>
            </w:r>
            <w:r w:rsidR="00494E1C">
              <w:rPr>
                <w:rStyle w:val="InstructionsTabelleberschrift"/>
              </w:rPr>
              <w:t xml:space="preserve"> </w:t>
            </w:r>
            <w:r w:rsidR="0032689B" w:rsidRPr="00B37090">
              <w:rPr>
                <w:rStyle w:val="InstructionsTabelleberschrift"/>
              </w:rPr>
              <w:t>credit quality step 2</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F0A85">
            <w:pPr>
              <w:rPr>
                <w:rFonts w:cs="Arial"/>
                <w:sz w:val="16"/>
                <w:szCs w:val="16"/>
              </w:rPr>
            </w:pPr>
            <w:r>
              <w:rPr>
                <w:rFonts w:cs="Arial"/>
                <w:sz w:val="16"/>
                <w:szCs w:val="16"/>
              </w:rPr>
              <w:t>800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F0A85">
              <w:rPr>
                <w:rStyle w:val="InstructionsTabelleberschrift"/>
              </w:rPr>
              <w:t>12</w:t>
            </w:r>
            <w:r w:rsidRPr="00494E1C">
              <w:rPr>
                <w:rStyle w:val="InstructionsTabelleberschrift"/>
              </w:rPr>
              <w:t>.4.3</w:t>
            </w:r>
            <w:r w:rsidR="00494E1C">
              <w:rPr>
                <w:rStyle w:val="InstructionsTabelleberschrift"/>
              </w:rPr>
              <w:t xml:space="preserve"> </w:t>
            </w:r>
            <w:r w:rsidR="0032689B" w:rsidRPr="00B37090">
              <w:rPr>
                <w:rStyle w:val="InstructionsTabelleberschrift"/>
              </w:rPr>
              <w:t>credit quality step 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3F0A85">
            <w:pPr>
              <w:rPr>
                <w:rFonts w:cs="Arial"/>
                <w:sz w:val="16"/>
                <w:szCs w:val="16"/>
              </w:rPr>
            </w:pPr>
            <w:r>
              <w:rPr>
                <w:rFonts w:cs="Arial"/>
                <w:sz w:val="16"/>
                <w:szCs w:val="16"/>
              </w:rPr>
              <w:t>810-830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689B" w:rsidRDefault="00103CBB" w:rsidP="00BC43F3">
            <w:pPr>
              <w:pStyle w:val="InstructionsText"/>
              <w:rPr>
                <w:rStyle w:val="InstructionsTabelleberschrift"/>
                <w:lang w:val="en-US"/>
              </w:rPr>
            </w:pPr>
            <w:r w:rsidRPr="00494E1C">
              <w:rPr>
                <w:rStyle w:val="InstructionsTabelleberschrift"/>
              </w:rPr>
              <w:t>1.2.2.</w:t>
            </w:r>
            <w:r w:rsidR="003F0A85">
              <w:rPr>
                <w:rStyle w:val="InstructionsTabelleberschrift"/>
              </w:rPr>
              <w:t>13</w:t>
            </w:r>
            <w:r w:rsidRPr="00494E1C">
              <w:rPr>
                <w:rStyle w:val="InstructionsTabelleberschrift"/>
              </w:rPr>
              <w:t>.5</w:t>
            </w:r>
            <w:r w:rsidR="00494E1C">
              <w:rPr>
                <w:rStyle w:val="InstructionsTabelleberschrift"/>
              </w:rPr>
              <w:t xml:space="preserve"> </w:t>
            </w:r>
            <w:r w:rsidR="0032689B" w:rsidRPr="008A3D87">
              <w:rPr>
                <w:rStyle w:val="InstructionsTabelleberschrift"/>
              </w:rPr>
              <w:t>residential mortgage backed securities not already reported in 1.10 to 1.11.3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FormatvorlageInstructionsTabelleText"/>
                <w:szCs w:val="24"/>
                <w:lang w:eastAsia="en-US"/>
              </w:rPr>
            </w:pPr>
            <w:r>
              <w:rPr>
                <w:rStyle w:val="FormatvorlageInstructionsTabelleText"/>
              </w:rPr>
              <w:t>Article 509(3)</w:t>
            </w:r>
            <w:r w:rsidRPr="00FE021C">
              <w:rPr>
                <w:rStyle w:val="FormatvorlageInstructionsTabelleText"/>
              </w:rPr>
              <w:t xml:space="preserve"> of </w:t>
            </w:r>
            <w:r w:rsidR="00AA6BC0">
              <w:rPr>
                <w:rStyle w:val="FormatvorlageInstructionsTabelleText"/>
              </w:rPr>
              <w:t>REGULATION (EU) NO 575/2013</w:t>
            </w:r>
          </w:p>
          <w:p w:rsidR="0032689B" w:rsidRDefault="0032689B" w:rsidP="00BC43F3">
            <w:pPr>
              <w:pStyle w:val="InstructionsText"/>
              <w:rPr>
                <w:rStyle w:val="FormatvorlageInstructionsTabelleText"/>
                <w:szCs w:val="24"/>
                <w:lang w:eastAsia="en-US"/>
              </w:rPr>
            </w:pPr>
          </w:p>
          <w:p w:rsidR="0032689B" w:rsidRDefault="0032689B" w:rsidP="00BC43F3">
            <w:pPr>
              <w:pStyle w:val="InstructionsText"/>
              <w:rPr>
                <w:rStyle w:val="InstructionsTabelleberschrift"/>
                <w:b w:val="0"/>
                <w:u w:val="none"/>
              </w:rPr>
            </w:pPr>
            <w:r>
              <w:rPr>
                <w:rStyle w:val="InstructionsTabelleberschrift"/>
                <w:b w:val="0"/>
                <w:u w:val="none"/>
              </w:rPr>
              <w:lastRenderedPageBreak/>
              <w:t xml:space="preserve">Those items shall be reported according to their credit quality as per </w:t>
            </w:r>
            <w:r w:rsidRPr="00C2788E">
              <w:rPr>
                <w:rStyle w:val="InstructionsTabelleberschrift"/>
                <w:b w:val="0"/>
                <w:u w:val="none"/>
              </w:rPr>
              <w:t>Chapter 5,</w:t>
            </w:r>
            <w:r>
              <w:rPr>
                <w:rStyle w:val="InstructionsTabelleberschrift"/>
                <w:b w:val="0"/>
                <w:u w:val="none"/>
              </w:rPr>
              <w:t xml:space="preserve"> </w:t>
            </w:r>
            <w:r w:rsidRPr="00C2788E">
              <w:rPr>
                <w:rStyle w:val="InstructionsTabelleberschrift"/>
                <w:b w:val="0"/>
                <w:u w:val="none"/>
              </w:rPr>
              <w:t xml:space="preserve">Title 2 of Part III  and Article 125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lastRenderedPageBreak/>
              <w:t>810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3F0A85">
              <w:rPr>
                <w:rStyle w:val="InstructionsTabelleberschrift"/>
              </w:rPr>
              <w:t>13</w:t>
            </w:r>
            <w:r w:rsidRPr="00494E1C">
              <w:rPr>
                <w:rStyle w:val="InstructionsTabelleberschrift"/>
              </w:rPr>
              <w:t>.5.1</w:t>
            </w:r>
            <w:r w:rsidR="00494E1C">
              <w:rPr>
                <w:rStyle w:val="InstructionsTabelleberschrift"/>
              </w:rPr>
              <w:t xml:space="preserve"> </w:t>
            </w:r>
            <w:r w:rsidR="0032689B" w:rsidRPr="00B37090">
              <w:rPr>
                <w:rStyle w:val="InstructionsTabelleberschrift"/>
              </w:rPr>
              <w:t>credit quality step 1</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820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3F0A85">
              <w:rPr>
                <w:rStyle w:val="InstructionsTabelleberschrift"/>
              </w:rPr>
              <w:t>13</w:t>
            </w:r>
            <w:r w:rsidRPr="00494E1C">
              <w:rPr>
                <w:rStyle w:val="InstructionsTabelleberschrift"/>
              </w:rPr>
              <w:t>.5.2</w:t>
            </w:r>
            <w:r w:rsidR="00494E1C">
              <w:rPr>
                <w:rStyle w:val="InstructionsTabelleberschrift"/>
              </w:rPr>
              <w:t xml:space="preserve"> </w:t>
            </w:r>
            <w:r w:rsidR="0032689B" w:rsidRPr="00B37090">
              <w:rPr>
                <w:rStyle w:val="InstructionsTabelleberschrift"/>
              </w:rPr>
              <w:t>credit quality step 2</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F0A85">
              <w:rPr>
                <w:rStyle w:val="InstructionsTabelleberschrift"/>
              </w:rPr>
              <w:t>13</w:t>
            </w:r>
            <w:r w:rsidRPr="00494E1C">
              <w:rPr>
                <w:rStyle w:val="InstructionsTabelleberschrift"/>
              </w:rPr>
              <w:t>.5.3</w:t>
            </w:r>
            <w:r w:rsidR="00494E1C">
              <w:rPr>
                <w:rStyle w:val="InstructionsTabelleberschrift"/>
              </w:rPr>
              <w:t xml:space="preserve"> </w:t>
            </w:r>
            <w:r w:rsidR="0032689B" w:rsidRPr="00B37090">
              <w:rPr>
                <w:rStyle w:val="InstructionsTabelleberschrift"/>
              </w:rPr>
              <w:t>credit quality step 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840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.6</w:t>
            </w:r>
            <w:r w:rsidR="00494E1C">
              <w:rPr>
                <w:rStyle w:val="InstructionsTabelleberschrift"/>
              </w:rPr>
              <w:t xml:space="preserve"> </w:t>
            </w:r>
            <w:r w:rsidR="0032689B" w:rsidRPr="00C2788E">
              <w:rPr>
                <w:rStyle w:val="InstructionsTabelleberschrift"/>
              </w:rPr>
              <w:t>equities listed on a recognised exchange and  major index linked equity instruments, not self issued or issued by financial institutions</w:t>
            </w:r>
            <w:r w:rsidR="0032689B">
              <w:rPr>
                <w:rStyle w:val="InstructionsTabelleberschrift"/>
              </w:rPr>
              <w:t xml:space="preserve"> </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F15D09">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850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.7</w:t>
            </w:r>
            <w:r w:rsidR="00494E1C">
              <w:rPr>
                <w:rStyle w:val="InstructionsTabelleberschrift"/>
              </w:rPr>
              <w:t xml:space="preserve"> </w:t>
            </w:r>
            <w:r w:rsidR="0032689B" w:rsidRPr="00C2788E">
              <w:rPr>
                <w:rStyle w:val="InstructionsTabelleberschrift"/>
              </w:rPr>
              <w:t xml:space="preserve">gold </w:t>
            </w:r>
          </w:p>
          <w:p w:rsidR="0032689B" w:rsidRDefault="00494E1C" w:rsidP="00BC43F3">
            <w:pPr>
              <w:pStyle w:val="InstructionsText"/>
              <w:rPr>
                <w:rStyle w:val="InstructionsTabelleberschrift"/>
              </w:rPr>
            </w:pPr>
            <w:r>
              <w:rPr>
                <w:rStyle w:val="InstructionsTabelleberschrift"/>
              </w:rPr>
              <w:t xml:space="preserve"> </w:t>
            </w: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494E1C">
        <w:trPr>
          <w:trHeight w:val="1102"/>
        </w:trPr>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860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.8</w:t>
            </w:r>
            <w:r w:rsidR="00494E1C">
              <w:rPr>
                <w:rStyle w:val="InstructionsTabelleberschrift"/>
              </w:rPr>
              <w:t xml:space="preserve"> </w:t>
            </w:r>
            <w:r w:rsidR="0032689B" w:rsidRPr="00C2788E">
              <w:rPr>
                <w:rStyle w:val="InstructionsTabelleberschrift"/>
              </w:rPr>
              <w:t>guaranteed bonds not already reported above</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870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.9</w:t>
            </w:r>
            <w:r w:rsidR="00494E1C">
              <w:rPr>
                <w:rStyle w:val="InstructionsTabelleberschrift"/>
              </w:rPr>
              <w:t xml:space="preserve"> </w:t>
            </w:r>
            <w:r w:rsidR="0032689B" w:rsidRPr="00C2788E">
              <w:rPr>
                <w:rStyle w:val="InstructionsTabelleberschrift"/>
              </w:rPr>
              <w:t>covered bonds  not already reported above</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880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.10</w:t>
            </w:r>
            <w:r w:rsidR="00494E1C">
              <w:rPr>
                <w:rStyle w:val="InstructionsTabelleberschrift"/>
              </w:rPr>
              <w:t xml:space="preserve"> </w:t>
            </w:r>
            <w:r w:rsidR="0032689B" w:rsidRPr="00C2788E">
              <w:rPr>
                <w:rStyle w:val="InstructionsTabelleberschrift"/>
              </w:rPr>
              <w:t>corporate bonds  not already reported above</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890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.11</w:t>
            </w:r>
            <w:r w:rsidR="0032689B">
              <w:rPr>
                <w:rStyle w:val="InstructionsTabelleberschrift"/>
              </w:rPr>
              <w:t xml:space="preserve"> </w:t>
            </w:r>
            <w:r w:rsidR="0032689B" w:rsidRPr="00C2788E">
              <w:rPr>
                <w:rStyle w:val="InstructionsTabelleberschrift"/>
              </w:rPr>
              <w:t>funds based on the assets reported in 4.5 -</w:t>
            </w:r>
            <w:r w:rsidR="0032689B">
              <w:rPr>
                <w:rStyle w:val="InstructionsTabelleberschrift"/>
              </w:rPr>
              <w:t xml:space="preserve"> </w:t>
            </w:r>
            <w:r w:rsidR="0032689B" w:rsidRPr="00C2788E">
              <w:rPr>
                <w:rStyle w:val="InstructionsTabelleberschrift"/>
              </w:rPr>
              <w:t>4.</w:t>
            </w:r>
            <w:r w:rsidR="0032689B">
              <w:rPr>
                <w:rStyle w:val="InstructionsTabelleberschrift"/>
              </w:rPr>
              <w:t>10</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900-920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.12</w:t>
            </w:r>
            <w:r w:rsidR="00494E1C">
              <w:rPr>
                <w:rStyle w:val="InstructionsTabelleberschrift"/>
              </w:rPr>
              <w:t xml:space="preserve"> </w:t>
            </w:r>
            <w:r w:rsidR="0032689B" w:rsidRPr="00C2788E">
              <w:rPr>
                <w:rStyle w:val="InstructionsTabelleberschrift"/>
              </w:rPr>
              <w:t>other categories of central bank eligible securities or loans</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900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.12.1</w:t>
            </w:r>
            <w:r w:rsidR="00494E1C">
              <w:rPr>
                <w:rStyle w:val="InstructionsTabelleberschrift"/>
              </w:rPr>
              <w:t xml:space="preserve"> </w:t>
            </w:r>
            <w:r w:rsidR="0032689B" w:rsidRPr="00C2788E">
              <w:rPr>
                <w:rStyle w:val="InstructionsTabelleberschrift"/>
              </w:rPr>
              <w:t>local government bonds</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910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.12.2</w:t>
            </w:r>
            <w:r w:rsidR="00494E1C">
              <w:rPr>
                <w:rStyle w:val="InstructionsTabelleberschrift"/>
              </w:rPr>
              <w:t xml:space="preserve"> </w:t>
            </w:r>
            <w:r w:rsidR="0032689B" w:rsidRPr="00C2788E">
              <w:rPr>
                <w:rStyle w:val="InstructionsTabelleberschrift"/>
              </w:rPr>
              <w:t>commercial paper</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509(3)(c)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32298A">
            <w:pPr>
              <w:rPr>
                <w:rFonts w:cs="Arial"/>
                <w:sz w:val="16"/>
                <w:szCs w:val="16"/>
              </w:rPr>
            </w:pPr>
            <w:r>
              <w:rPr>
                <w:rFonts w:cs="Arial"/>
                <w:sz w:val="16"/>
                <w:szCs w:val="16"/>
              </w:rPr>
              <w:t>920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Default="00103CBB" w:rsidP="00BC43F3">
            <w:pPr>
              <w:pStyle w:val="InstructionsText"/>
              <w:rPr>
                <w:rStyle w:val="InstructionsTabelleberschrift"/>
              </w:rPr>
            </w:pPr>
            <w:r w:rsidRPr="00494E1C">
              <w:rPr>
                <w:rStyle w:val="InstructionsTabelleberschrift"/>
              </w:rPr>
              <w:t>1.2.2.</w:t>
            </w:r>
            <w:r w:rsidR="0032298A">
              <w:rPr>
                <w:rStyle w:val="InstructionsTabelleberschrift"/>
              </w:rPr>
              <w:t>13</w:t>
            </w:r>
            <w:r w:rsidRPr="00494E1C">
              <w:rPr>
                <w:rStyle w:val="InstructionsTabelleberschrift"/>
              </w:rPr>
              <w:t>.12.3</w:t>
            </w:r>
            <w:r w:rsidR="00494E1C">
              <w:rPr>
                <w:rStyle w:val="InstructionsTabelleberschrift"/>
              </w:rPr>
              <w:t xml:space="preserve"> </w:t>
            </w:r>
            <w:r w:rsidR="0032689B">
              <w:rPr>
                <w:rStyle w:val="InstructionsTabelleberschrift"/>
              </w:rPr>
              <w:t>credit claims</w:t>
            </w:r>
          </w:p>
          <w:p w:rsidR="0032689B" w:rsidRDefault="0032689B" w:rsidP="00BC43F3">
            <w:pPr>
              <w:pStyle w:val="InstructionsText"/>
              <w:rPr>
                <w:rStyle w:val="InstructionsTabelleberschrift"/>
              </w:rPr>
            </w:pPr>
          </w:p>
          <w:p w:rsidR="0032689B" w:rsidRDefault="0032689B" w:rsidP="00BC43F3">
            <w:pPr>
              <w:pStyle w:val="InstructionsText"/>
              <w:rPr>
                <w:rStyle w:val="InstructionsTabelleberschrift"/>
                <w:b w:val="0"/>
                <w:u w:val="none"/>
              </w:rPr>
            </w:pPr>
            <w:r w:rsidRPr="00C2788E">
              <w:rPr>
                <w:rStyle w:val="InstructionsTabelleberschrift"/>
                <w:b w:val="0"/>
                <w:u w:val="none"/>
              </w:rPr>
              <w:t xml:space="preserve">Article </w:t>
            </w:r>
            <w:r>
              <w:rPr>
                <w:rStyle w:val="InstructionsTabelleberschrift"/>
                <w:b w:val="0"/>
                <w:u w:val="none"/>
              </w:rPr>
              <w:t>416</w:t>
            </w:r>
            <w:r w:rsidRPr="00C2788E">
              <w:rPr>
                <w:rStyle w:val="InstructionsTabelleberschrift"/>
                <w:b w:val="0"/>
                <w:u w:val="none"/>
              </w:rPr>
              <w:t>(</w:t>
            </w:r>
            <w:r>
              <w:rPr>
                <w:rStyle w:val="InstructionsTabelleberschrift"/>
                <w:b w:val="0"/>
                <w:u w:val="none"/>
              </w:rPr>
              <w:t>4)(c</w:t>
            </w:r>
            <w:r w:rsidRPr="00C2788E">
              <w:rPr>
                <w:rStyle w:val="InstructionsTabelleberschrift"/>
                <w:b w:val="0"/>
                <w:u w:val="none"/>
              </w:rPr>
              <w:t xml:space="preserve">)  of </w:t>
            </w:r>
            <w:r w:rsidR="00AA6BC0">
              <w:rPr>
                <w:rStyle w:val="InstructionsTabelleberschrift"/>
                <w:b w:val="0"/>
                <w:u w:val="none"/>
              </w:rPr>
              <w:t>REGULATION (EU) NO 575/2013</w:t>
            </w:r>
          </w:p>
          <w:p w:rsidR="0032689B"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E6E6E6"/>
          </w:tcPr>
          <w:p w:rsidR="0032689B" w:rsidRDefault="00FB6DF2">
            <w:pPr>
              <w:rPr>
                <w:rFonts w:cs="Arial"/>
                <w:sz w:val="16"/>
                <w:szCs w:val="16"/>
              </w:rPr>
            </w:pPr>
            <w:r>
              <w:rPr>
                <w:rFonts w:cs="Arial"/>
                <w:sz w:val="16"/>
                <w:szCs w:val="16"/>
              </w:rPr>
              <w:t>930-950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2689B" w:rsidRDefault="00103CBB" w:rsidP="0032689B">
            <w:pPr>
              <w:pStyle w:val="InstructionsText"/>
              <w:rPr>
                <w:rStyle w:val="InstructionsTabelleberschrift"/>
              </w:rPr>
            </w:pPr>
            <w:r w:rsidRPr="00494E1C">
              <w:rPr>
                <w:rStyle w:val="InstructionsTabelleberschrift"/>
              </w:rPr>
              <w:t>1.2.2.</w:t>
            </w:r>
            <w:r w:rsidR="00FB6DF2">
              <w:rPr>
                <w:rStyle w:val="InstructionsTabelleberschrift"/>
              </w:rPr>
              <w:t>14</w:t>
            </w:r>
            <w:r w:rsidR="0032689B">
              <w:rPr>
                <w:rStyle w:val="InstructionsTabelleberschrift"/>
              </w:rPr>
              <w:t xml:space="preserve"> </w:t>
            </w:r>
            <w:r w:rsidR="0032689B" w:rsidRPr="006C599D">
              <w:rPr>
                <w:rStyle w:val="InstructionsTabelleberschrift"/>
              </w:rPr>
              <w:t xml:space="preserve">Reporting of </w:t>
            </w:r>
            <w:proofErr w:type="spellStart"/>
            <w:r w:rsidR="0032689B" w:rsidRPr="006C599D">
              <w:rPr>
                <w:rStyle w:val="InstructionsTabelleberschrift"/>
              </w:rPr>
              <w:t>Shar'iah</w:t>
            </w:r>
            <w:proofErr w:type="spellEnd"/>
            <w:r w:rsidR="0032689B" w:rsidRPr="006C599D">
              <w:rPr>
                <w:rStyle w:val="InstructionsTabelleberschrift"/>
              </w:rPr>
              <w:t xml:space="preserve"> compliant assets as an alternative assets under 509(2)(</w:t>
            </w:r>
            <w:proofErr w:type="spellStart"/>
            <w:r w:rsidR="0032689B" w:rsidRPr="006C599D">
              <w:rPr>
                <w:rStyle w:val="InstructionsTabelleberschrift"/>
              </w:rPr>
              <w:t>i</w:t>
            </w:r>
            <w:proofErr w:type="spellEnd"/>
            <w:r w:rsidR="0032689B" w:rsidRPr="006C599D">
              <w:rPr>
                <w:rStyle w:val="InstructionsTabelleberschrift"/>
              </w:rPr>
              <w:t>)</w:t>
            </w: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p>
          <w:p w:rsidR="0032689B" w:rsidRDefault="0032689B" w:rsidP="00BC43F3">
            <w:pPr>
              <w:pStyle w:val="InstructionsText"/>
              <w:rPr>
                <w:rStyle w:val="FormatvorlageInstructionsTabelleText"/>
              </w:rPr>
            </w:pPr>
            <w:r w:rsidRPr="00C2788E">
              <w:rPr>
                <w:rStyle w:val="FormatvorlageInstructionsTabelleText"/>
              </w:rPr>
              <w:t>Article</w:t>
            </w:r>
            <w:r w:rsidR="001636F4">
              <w:rPr>
                <w:rStyle w:val="FormatvorlageInstructionsTabelleText"/>
              </w:rPr>
              <w:t>s</w:t>
            </w:r>
            <w:r w:rsidRPr="00C2788E">
              <w:rPr>
                <w:rStyle w:val="FormatvorlageInstructionsTabelleText"/>
              </w:rPr>
              <w:t xml:space="preserve"> 419(2)(a) of </w:t>
            </w:r>
            <w:r w:rsidR="00AA6BC0">
              <w:rPr>
                <w:rStyle w:val="FormatvorlageInstructionsTabelleText"/>
              </w:rPr>
              <w:t>REGULATION (EU) NO 575/2013</w:t>
            </w:r>
            <w:r w:rsidR="001636F4">
              <w:rPr>
                <w:rStyle w:val="FormatvorlageInstructionsTabelleText"/>
              </w:rPr>
              <w:t xml:space="preserve"> and 509(2)(</w:t>
            </w:r>
            <w:proofErr w:type="spellStart"/>
            <w:r w:rsidR="001636F4">
              <w:rPr>
                <w:rStyle w:val="FormatvorlageInstructionsTabelleText"/>
              </w:rPr>
              <w:t>i</w:t>
            </w:r>
            <w:proofErr w:type="spellEnd"/>
            <w:r w:rsidR="001636F4">
              <w:rPr>
                <w:rStyle w:val="FormatvorlageInstructionsTabelleText"/>
              </w:rPr>
              <w:t>)</w:t>
            </w:r>
          </w:p>
          <w:p w:rsidR="002050DA" w:rsidRDefault="002050DA" w:rsidP="00BC43F3">
            <w:pPr>
              <w:pStyle w:val="InstructionsText"/>
              <w:rPr>
                <w:rStyle w:val="FormatvorlageInstructionsTabelleText"/>
              </w:rPr>
            </w:pPr>
          </w:p>
          <w:p w:rsidR="002050DA" w:rsidRDefault="002050DA" w:rsidP="002050DA">
            <w:pPr>
              <w:pStyle w:val="InstructionsText"/>
              <w:rPr>
                <w:rStyle w:val="FormatvorlageInstructionsTabelleText"/>
                <w:lang w:val="en-US"/>
              </w:rPr>
            </w:pPr>
          </w:p>
          <w:p w:rsidR="002050DA" w:rsidRPr="004137FC" w:rsidRDefault="002050DA" w:rsidP="002050DA">
            <w:pPr>
              <w:pStyle w:val="InstructionsText"/>
              <w:rPr>
                <w:rStyle w:val="FormatvorlageInstructionsTabelleText"/>
                <w:lang w:val="en-US"/>
              </w:rPr>
            </w:pPr>
            <w:r w:rsidRPr="004137FC">
              <w:rPr>
                <w:rStyle w:val="FormatvorlageInstructionsTabelleText"/>
                <w:lang w:val="en-US"/>
              </w:rPr>
              <w:t>These items shall be reported here in accordance with 1.2.2 above, in the appropriate sub-category.</w:t>
            </w:r>
          </w:p>
          <w:p w:rsidR="002050DA" w:rsidRDefault="002050DA" w:rsidP="00BC43F3">
            <w:pPr>
              <w:pStyle w:val="InstructionsText"/>
              <w:rPr>
                <w:rStyle w:val="FormatvorlageInstructionsTabelleText"/>
              </w:rPr>
            </w:pPr>
          </w:p>
          <w:p w:rsidR="0032689B" w:rsidRDefault="0032689B" w:rsidP="00BC43F3">
            <w:pPr>
              <w:rPr>
                <w:rFonts w:cs="Arial"/>
                <w:b/>
                <w:szCs w:val="20"/>
                <w:u w:val="single"/>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636F4">
            <w:pPr>
              <w:rPr>
                <w:rFonts w:cs="Arial"/>
                <w:sz w:val="16"/>
                <w:szCs w:val="16"/>
              </w:rPr>
            </w:pPr>
            <w:r>
              <w:rPr>
                <w:rFonts w:cs="Arial"/>
                <w:sz w:val="16"/>
                <w:szCs w:val="16"/>
              </w:rPr>
              <w:lastRenderedPageBreak/>
              <w:t>930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FB6DF2">
              <w:rPr>
                <w:rStyle w:val="InstructionsTabelleberschrift"/>
              </w:rPr>
              <w:t>14</w:t>
            </w:r>
            <w:r w:rsidRPr="00494E1C">
              <w:rPr>
                <w:rStyle w:val="InstructionsTabelleberschrift"/>
              </w:rPr>
              <w:t>.1</w:t>
            </w:r>
            <w:r w:rsidR="00494E1C">
              <w:rPr>
                <w:rStyle w:val="InstructionsTabelleberschrift"/>
              </w:rPr>
              <w:t xml:space="preserve"> </w:t>
            </w:r>
            <w:r w:rsidR="0032689B" w:rsidRPr="00494E1C">
              <w:rPr>
                <w:rStyle w:val="InstructionsTabelleberschrift"/>
              </w:rPr>
              <w:t>credit quality step 1</w:t>
            </w:r>
          </w:p>
          <w:p w:rsidR="0032689B" w:rsidRPr="00494E1C" w:rsidRDefault="0032689B" w:rsidP="00BC43F3">
            <w:pPr>
              <w:pStyle w:val="InstructionsText"/>
              <w:rPr>
                <w:rStyle w:val="InstructionsTabelleberschrift"/>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636F4">
            <w:pPr>
              <w:rPr>
                <w:rFonts w:cs="Arial"/>
                <w:sz w:val="16"/>
                <w:szCs w:val="16"/>
              </w:rPr>
            </w:pPr>
            <w:r>
              <w:rPr>
                <w:rFonts w:cs="Arial"/>
                <w:sz w:val="16"/>
                <w:szCs w:val="16"/>
              </w:rPr>
              <w:t>940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1636F4">
              <w:rPr>
                <w:rStyle w:val="InstructionsTabelleberschrift"/>
              </w:rPr>
              <w:t>14</w:t>
            </w:r>
            <w:r w:rsidRPr="00494E1C">
              <w:rPr>
                <w:rStyle w:val="InstructionsTabelleberschrift"/>
              </w:rPr>
              <w:t>.2</w:t>
            </w:r>
            <w:r w:rsidR="00494E1C">
              <w:rPr>
                <w:rStyle w:val="InstructionsTabelleberschrift"/>
              </w:rPr>
              <w:t xml:space="preserve"> </w:t>
            </w:r>
            <w:r w:rsidR="0032689B" w:rsidRPr="00494E1C">
              <w:rPr>
                <w:rStyle w:val="InstructionsTabelleberschrift"/>
              </w:rPr>
              <w:t>credit quality step 2</w:t>
            </w:r>
          </w:p>
          <w:p w:rsidR="0032689B" w:rsidRPr="00494E1C" w:rsidRDefault="0032689B" w:rsidP="00BC43F3">
            <w:pPr>
              <w:rPr>
                <w:rStyle w:val="InstructionsTabelleberschrift"/>
                <w:szCs w:val="17"/>
                <w:lang w:eastAsia="de-DE"/>
              </w:rPr>
            </w:pPr>
          </w:p>
        </w:tc>
      </w:tr>
      <w:tr w:rsidR="0032689B" w:rsidRPr="00B37090" w:rsidTr="00C652C1">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32689B" w:rsidRDefault="001636F4">
            <w:pPr>
              <w:rPr>
                <w:rFonts w:cs="Arial"/>
                <w:sz w:val="16"/>
                <w:szCs w:val="16"/>
              </w:rPr>
            </w:pPr>
            <w:r>
              <w:rPr>
                <w:rFonts w:cs="Arial"/>
                <w:sz w:val="16"/>
                <w:szCs w:val="16"/>
              </w:rPr>
              <w:t>950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32689B" w:rsidRPr="00494E1C" w:rsidRDefault="00103CBB" w:rsidP="00BC43F3">
            <w:pPr>
              <w:pStyle w:val="InstructionsText"/>
              <w:rPr>
                <w:rStyle w:val="InstructionsTabelleberschrift"/>
              </w:rPr>
            </w:pPr>
            <w:r w:rsidRPr="00494E1C">
              <w:rPr>
                <w:rStyle w:val="InstructionsTabelleberschrift"/>
              </w:rPr>
              <w:t>1.2.2.</w:t>
            </w:r>
            <w:r w:rsidR="001636F4">
              <w:rPr>
                <w:rStyle w:val="InstructionsTabelleberschrift"/>
              </w:rPr>
              <w:t>14.</w:t>
            </w:r>
            <w:r w:rsidRPr="00494E1C">
              <w:rPr>
                <w:rStyle w:val="InstructionsTabelleberschrift"/>
              </w:rPr>
              <w:t>3</w:t>
            </w:r>
            <w:r w:rsidR="00494E1C">
              <w:rPr>
                <w:rStyle w:val="InstructionsTabelleberschrift"/>
              </w:rPr>
              <w:t xml:space="preserve"> </w:t>
            </w:r>
            <w:r w:rsidR="0032689B" w:rsidRPr="00494E1C">
              <w:rPr>
                <w:rStyle w:val="InstructionsTabelleberschrift"/>
              </w:rPr>
              <w:t>credit quality step 3</w:t>
            </w:r>
          </w:p>
          <w:p w:rsidR="0032689B" w:rsidRPr="00494E1C" w:rsidRDefault="0032689B" w:rsidP="00BC43F3">
            <w:pPr>
              <w:rPr>
                <w:rStyle w:val="InstructionsTabelleberschrift"/>
                <w:szCs w:val="17"/>
                <w:lang w:eastAsia="de-DE"/>
              </w:rPr>
            </w:pPr>
          </w:p>
        </w:tc>
      </w:tr>
    </w:tbl>
    <w:p w:rsidR="004B41AE" w:rsidRDefault="004B41AE" w:rsidP="008E3A85">
      <w:pPr>
        <w:rPr>
          <w:rStyle w:val="InstructionsTabelleberschrift"/>
          <w:szCs w:val="17"/>
          <w:lang w:eastAsia="de-DE"/>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7380"/>
      </w:tblGrid>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D07900" w:rsidRDefault="00AD03F9" w:rsidP="00BC43F3">
            <w:pPr>
              <w:jc w:val="left"/>
              <w:rPr>
                <w:rFonts w:cs="Arial"/>
                <w:szCs w:val="20"/>
              </w:rPr>
            </w:pPr>
            <w:r>
              <w:rPr>
                <w:rFonts w:cs="Arial"/>
                <w:szCs w:val="20"/>
              </w:rPr>
              <w:t>960-1030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1.2.3 Deposits that have to be maintained by the depositor</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22(3)</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deposits</w:t>
            </w:r>
            <w:r w:rsidRPr="008E3A85">
              <w:rPr>
                <w:rFonts w:cs="Arial"/>
                <w:szCs w:val="20"/>
                <w:lang w:eastAsia="en-GB"/>
              </w:rPr>
              <w:t>, including</w:t>
            </w:r>
            <w:r w:rsidRPr="008E3A85">
              <w:rPr>
                <w:rFonts w:cs="Arial"/>
              </w:rPr>
              <w:t xml:space="preserve"> sight deposits and fixed term deposits,</w:t>
            </w:r>
            <w:r w:rsidRPr="008E3A85">
              <w:rPr>
                <w:rFonts w:cs="Arial"/>
                <w:szCs w:val="20"/>
                <w:lang w:eastAsia="en-GB"/>
              </w:rPr>
              <w:t xml:space="preserve"> </w:t>
            </w:r>
            <w:r w:rsidRPr="008E3A85">
              <w:rPr>
                <w:rStyle w:val="InstructionsTabelleberschrift"/>
                <w:b w:val="0"/>
                <w:szCs w:val="17"/>
                <w:u w:val="none"/>
                <w:lang w:eastAsia="de-DE"/>
              </w:rPr>
              <w:t>that have to be maintained by the depositor</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in</w:t>
            </w:r>
            <w:r w:rsidRPr="008E3A85">
              <w:rPr>
                <w:rStyle w:val="InstructionsTabelleberschrift"/>
                <w:b w:val="0"/>
                <w:szCs w:val="17"/>
                <w:u w:val="none"/>
                <w:lang w:eastAsia="de-DE"/>
              </w:rPr>
              <w:t xml:space="preserve"> columns </w:t>
            </w:r>
            <w:r w:rsidR="00091BF2">
              <w:rPr>
                <w:rStyle w:val="InstructionsTabelleberschrift"/>
                <w:b w:val="0"/>
                <w:szCs w:val="17"/>
                <w:u w:val="none"/>
                <w:lang w:eastAsia="de-DE"/>
              </w:rPr>
              <w:t>010</w:t>
            </w:r>
            <w:r w:rsidRPr="008E3A85">
              <w:rPr>
                <w:rStyle w:val="InstructionsTabelleberschrift"/>
                <w:b w:val="0"/>
                <w:szCs w:val="17"/>
                <w:u w:val="none"/>
                <w:lang w:eastAsia="de-DE"/>
              </w:rPr>
              <w:t xml:space="preserve"> ‘Amount deposited by clients that </w:t>
            </w:r>
            <w:r w:rsidRPr="008E3A85">
              <w:rPr>
                <w:rStyle w:val="InstructionsTabelleberschrift"/>
                <w:b w:val="0"/>
                <w:szCs w:val="17"/>
                <w:lang w:eastAsia="de-DE"/>
              </w:rPr>
              <w:t>are</w:t>
            </w:r>
            <w:r w:rsidRPr="008E3A85">
              <w:rPr>
                <w:rStyle w:val="InstructionsTabelleberschrift"/>
                <w:b w:val="0"/>
                <w:szCs w:val="17"/>
                <w:u w:val="none"/>
                <w:lang w:eastAsia="de-DE"/>
              </w:rPr>
              <w:t xml:space="preserve"> financial customers’ and column </w:t>
            </w:r>
            <w:r w:rsidR="00091BF2">
              <w:rPr>
                <w:rStyle w:val="InstructionsTabelleberschrift"/>
                <w:b w:val="0"/>
                <w:szCs w:val="17"/>
                <w:u w:val="none"/>
                <w:lang w:eastAsia="de-DE"/>
              </w:rPr>
              <w:t>030</w:t>
            </w:r>
            <w:r w:rsidRPr="008E3A85">
              <w:rPr>
                <w:rStyle w:val="InstructionsTabelleberschrift"/>
                <w:b w:val="0"/>
                <w:szCs w:val="17"/>
                <w:u w:val="none"/>
                <w:lang w:eastAsia="de-DE"/>
              </w:rPr>
              <w:t xml:space="preserve"> ‘Amount deposited by clients that </w:t>
            </w:r>
            <w:r w:rsidRPr="008E3A85">
              <w:rPr>
                <w:rStyle w:val="InstructionsTabelleberschrift"/>
                <w:b w:val="0"/>
                <w:szCs w:val="17"/>
                <w:lang w:eastAsia="de-DE"/>
              </w:rPr>
              <w:t>are not</w:t>
            </w:r>
            <w:r w:rsidRPr="008E3A85">
              <w:rPr>
                <w:rStyle w:val="InstructionsTabelleberschrift"/>
                <w:b w:val="0"/>
                <w:szCs w:val="17"/>
                <w:u w:val="none"/>
                <w:lang w:eastAsia="de-DE"/>
              </w:rPr>
              <w:t xml:space="preserve"> financial customers’ dependent on the counterparty type, as follows:</w:t>
            </w:r>
          </w:p>
          <w:p w:rsidR="004B41AE" w:rsidRPr="008E3A85" w:rsidRDefault="004B41AE" w:rsidP="00BC43F3">
            <w:pPr>
              <w:spacing w:before="0" w:after="0"/>
              <w:rPr>
                <w:rStyle w:val="InstructionsTabelleberschrift"/>
                <w:b w:val="0"/>
                <w:szCs w:val="17"/>
                <w:u w:val="none"/>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D07900" w:rsidRDefault="00AD03F9" w:rsidP="00BC43F3">
            <w:pPr>
              <w:jc w:val="left"/>
              <w:rPr>
                <w:rFonts w:cs="Arial"/>
                <w:szCs w:val="20"/>
              </w:rPr>
            </w:pPr>
            <w:r>
              <w:rPr>
                <w:rFonts w:cs="Arial"/>
                <w:szCs w:val="20"/>
              </w:rPr>
              <w:t>960-990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1.2.3.1 in order to obtain clearing, custody or cash management services (excluding correspondent banking or prime brokerage)</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22(3)</w:t>
            </w:r>
            <w:r w:rsidRPr="008E3A85">
              <w:rPr>
                <w:rStyle w:val="InstructionsTabelleberschrift"/>
                <w:b w:val="0"/>
                <w:szCs w:val="17"/>
                <w:u w:val="none"/>
                <w:lang w:eastAsia="de-DE"/>
              </w:rPr>
              <w:t xml:space="preserve">(a)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deposits that have to be maintained by the depositor in order to obtain clearing, custody or cash management services from the institution (excluding correspondent banking or prime brokerage),</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pStyle w:val="TableText"/>
              <w:jc w:val="both"/>
              <w:rPr>
                <w:rFonts w:ascii="Verdana" w:hAnsi="Verdana"/>
              </w:rPr>
            </w:pPr>
            <w:r w:rsidRPr="008E3A85">
              <w:rPr>
                <w:rStyle w:val="InstructionsTabelleberschrift"/>
                <w:b w:val="0"/>
                <w:szCs w:val="17"/>
                <w:u w:val="none"/>
                <w:lang w:eastAsia="de-DE"/>
              </w:rPr>
              <w:t xml:space="preserve">[Note: </w:t>
            </w:r>
            <w:r w:rsidRPr="008E3A85">
              <w:rPr>
                <w:rFonts w:ascii="Verdana" w:hAnsi="Verdana"/>
              </w:rPr>
              <w:t>A clearing relationship, in this context, refers to a service arrangement that enables customers to transfer funds (or securities) indirectly through direct participants in domestic settlement systems to final recipients. Such services are limited to the following activities: transmission, reconciliation and confirmation of payment orders; daylight overdraft, overnight financing and maintenance of post-settlement balances; and determination of intra-day and final settlement positions. Clearing and related services must be provided under a legally binding agreement to institutional customers (</w:t>
            </w:r>
            <w:r w:rsidRPr="008E3A85">
              <w:rPr>
                <w:rFonts w:ascii="Verdana" w:hAnsi="Verdana"/>
                <w:bCs/>
                <w:lang w:eastAsia="nl-NL"/>
              </w:rPr>
              <w:t>Basel III liquidity r</w:t>
            </w:r>
            <w:r w:rsidRPr="008E3A85">
              <w:rPr>
                <w:rFonts w:ascii="Verdana" w:hAnsi="Verdana"/>
              </w:rPr>
              <w:t>ules text paragraph 75).</w:t>
            </w:r>
          </w:p>
          <w:p w:rsidR="004B41AE" w:rsidRPr="008E3A85" w:rsidRDefault="004B41AE" w:rsidP="00BC43F3">
            <w:pPr>
              <w:pStyle w:val="TableText"/>
              <w:jc w:val="both"/>
              <w:rPr>
                <w:rFonts w:ascii="Verdana" w:hAnsi="Verdana"/>
              </w:rPr>
            </w:pPr>
            <w:r w:rsidRPr="008E3A85">
              <w:rPr>
                <w:rFonts w:ascii="Verdana" w:hAnsi="Verdana"/>
              </w:rPr>
              <w:t xml:space="preserve">A custody relationship, in this context, refers to the provision of safekeeping, reporting, processing of assets and/or the facilitation of the operational and administrative elements of related activities on behalf of customers in the process of their transacting and retaining financial assets. Custody related services must be provided under a </w:t>
            </w:r>
            <w:r w:rsidRPr="008E3A85">
              <w:rPr>
                <w:rFonts w:ascii="Verdana" w:hAnsi="Verdana"/>
              </w:rPr>
              <w:lastRenderedPageBreak/>
              <w:t>legally binding custodial services or other similar agreement to institutional customers. Such services are limited to the settlement of securities transactions, the transfer of contractual payments, the processing of collateral, the execution of foreign currency transactions, the holding of related cash balances and the provision of ancillary cash management services. Also included is the receipt of dividends and other income, client subscriptions and redemptions, scheduled distributions of client funds and the payment of fees, taxes and other expenses. Custodial services can furthermore extend to asset and corporate trust servicing, treasury, escrow, funds transfer, stock transfer and agency services, including payment and settlement services (excluding correspondent banking), trade financing, and depository receipts (</w:t>
            </w:r>
            <w:r w:rsidRPr="008E3A85">
              <w:rPr>
                <w:rFonts w:ascii="Verdana" w:hAnsi="Verdana"/>
                <w:bCs/>
                <w:lang w:eastAsia="nl-NL"/>
              </w:rPr>
              <w:t>Basel III liquidity r</w:t>
            </w:r>
            <w:r w:rsidRPr="008E3A85">
              <w:rPr>
                <w:rFonts w:ascii="Verdana" w:hAnsi="Verdana"/>
              </w:rPr>
              <w:t>ules text paragraph 76).</w:t>
            </w:r>
          </w:p>
          <w:p w:rsidR="004B41AE" w:rsidRPr="008E3A85" w:rsidRDefault="004B41AE" w:rsidP="00BC43F3">
            <w:pPr>
              <w:spacing w:before="0" w:after="0"/>
              <w:rPr>
                <w:rStyle w:val="InstructionsTabelleberschrift"/>
                <w:b w:val="0"/>
                <w:szCs w:val="17"/>
                <w:u w:val="none"/>
                <w:lang w:eastAsia="de-DE"/>
              </w:rPr>
            </w:pPr>
            <w:r w:rsidRPr="008E3A85">
              <w:t>A cash management relationship, in this context, refers to the provision of cash management and related services to customers. Cash management and related]</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D07900" w:rsidRDefault="00AD03F9" w:rsidP="00BC43F3">
            <w:pPr>
              <w:jc w:val="left"/>
              <w:rPr>
                <w:rFonts w:cs="Arial"/>
                <w:szCs w:val="20"/>
              </w:rPr>
            </w:pPr>
            <w:r>
              <w:rPr>
                <w:rFonts w:cs="Arial"/>
                <w:szCs w:val="20"/>
              </w:rPr>
              <w:lastRenderedPageBreak/>
              <w:t>960-970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1.2.3.1.1  which are covered by a Deposit Guarantee Scheme according to Directive 94/19/EC or an equivalent deposit guarantee scheme in a third country</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order to obtain clearing, custody or cash management services from the institution (excluding correspondent banking or prime brokerage) which are covered by a Deposit Guarantee Scheme according to Directive 94/19/EC or an equivalent deposit guarantee scheme in a third country,</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D07900" w:rsidRDefault="002D48FB" w:rsidP="00BC43F3">
            <w:pPr>
              <w:jc w:val="left"/>
              <w:rPr>
                <w:rFonts w:cs="Arial"/>
                <w:szCs w:val="20"/>
              </w:rPr>
            </w:pPr>
            <w:r>
              <w:rPr>
                <w:rFonts w:cs="Arial"/>
                <w:szCs w:val="20"/>
              </w:rPr>
              <w:t>960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1.2.3.1.1.1 of which there is evidence that the client is unable to withdraw amounts legally due over a 30 day horizon without compromising its operational functionality</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order to obtain clearing, custody or cash management services from the institution (excluding correspondent banking or prime brokerage) which are covered by a Deposit Guarantee Scheme according to Directive 94/19/EC or an equivalent deposit guarantee scheme in a third country and where there is evidence that the client is unable to withdraw amounts legally due over a 30 day horizon without compromising its operational functionality.</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D07900" w:rsidRDefault="002D48FB" w:rsidP="00BC43F3">
            <w:pPr>
              <w:jc w:val="left"/>
              <w:rPr>
                <w:rFonts w:cs="Arial"/>
                <w:szCs w:val="20"/>
              </w:rPr>
            </w:pPr>
            <w:r>
              <w:rPr>
                <w:rFonts w:cs="Arial"/>
                <w:szCs w:val="20"/>
              </w:rPr>
              <w:t>970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1.2.3.1.1.2 of which  there is no evidence that the client is unable to withdraw amounts legally due over a 30 day horizon without compromising its operational functionality</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order to obtain clearing, custody or cash management services from the institution (excluding correspondent banking or prime brokerage) which are covered by a Deposit Guarantee Scheme according to Directive 94/19/EC or an equivalent deposit guarantee scheme in a third country yet there is no evidence that the client is unable to withdraw amounts legally due over a 30 day horizon without compromising its operational functionality,</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D07900" w:rsidRDefault="002D48FB" w:rsidP="00BC43F3">
            <w:pPr>
              <w:jc w:val="left"/>
              <w:rPr>
                <w:rFonts w:cs="Arial"/>
                <w:szCs w:val="20"/>
              </w:rPr>
            </w:pPr>
            <w:r>
              <w:rPr>
                <w:rFonts w:cs="Arial"/>
                <w:szCs w:val="20"/>
              </w:rPr>
              <w:t>980-990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 xml:space="preserve">1.2.3.1.2  which are not covered by a Deposit Guarantee </w:t>
            </w:r>
            <w:r w:rsidRPr="008E3A85">
              <w:rPr>
                <w:rStyle w:val="InstructionsTabelleberschrift"/>
                <w:szCs w:val="17"/>
                <w:lang w:eastAsia="de-DE"/>
              </w:rPr>
              <w:lastRenderedPageBreak/>
              <w:t>Scheme according to Directive 94/19/EC or an equivalent deposit guarantee scheme in a third country</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order to obtain clearing, custody or cash management services from the institution (excluding correspondent banking or prime brokerage) which are not covered by a Deposit Guarantee Scheme according to Directive 94/19/EC or an equivalent deposit guarantee scheme in a third country,</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D07900" w:rsidRDefault="002D48FB" w:rsidP="00BC43F3">
            <w:pPr>
              <w:jc w:val="left"/>
              <w:rPr>
                <w:rFonts w:cs="Arial"/>
                <w:szCs w:val="20"/>
              </w:rPr>
            </w:pPr>
            <w:r>
              <w:rPr>
                <w:rFonts w:cs="Arial"/>
                <w:szCs w:val="20"/>
              </w:rPr>
              <w:lastRenderedPageBreak/>
              <w:t>980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1.2.3.1.2.1 of which there is evidence that the client is unable to withdraw amounts legally due over a 30 day horizon without compromising its operational functionality</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order to obtain clearing, custody or cash management services from the institution (excluding correspondent banking or prime brokerage) which are not covered by a Deposit Guarantee Scheme according to Directive 94/19/EC or an equivalent deposit guarantee scheme in a third country and there is evidence that the client is unable to withdraw amounts legally due over a 30 day horizon without compromising its operational functionality.</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D07900" w:rsidRDefault="002D48FB" w:rsidP="00BC43F3">
            <w:pPr>
              <w:jc w:val="left"/>
              <w:rPr>
                <w:rFonts w:cs="Arial"/>
                <w:szCs w:val="20"/>
              </w:rPr>
            </w:pPr>
            <w:r>
              <w:rPr>
                <w:rFonts w:cs="Arial"/>
                <w:szCs w:val="20"/>
              </w:rPr>
              <w:t>990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1.2.3.1.2.2 of which there is no evidence that the client is unable to withdraw amounts legally due over a 30 day horizon without compromising its operational functionality</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order to obtain clearing, custody or cash management services from the institution (excluding correspondent banking or prime brokerage) which are not covered by a Deposit Guarantee Scheme according to Directive 94/19/EC or an equivalent deposit guarantee scheme in a third country and there is no evidence that the client is unable to withdraw amounts legally due over a 30 day horizon without compromising its operational functionality,</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D07900" w:rsidRDefault="002D48FB" w:rsidP="00BC43F3">
            <w:pPr>
              <w:jc w:val="left"/>
              <w:rPr>
                <w:rFonts w:cs="Arial"/>
                <w:szCs w:val="20"/>
              </w:rPr>
            </w:pPr>
            <w:r>
              <w:rPr>
                <w:rFonts w:cs="Arial"/>
                <w:szCs w:val="20"/>
              </w:rPr>
              <w:t>1000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1.2.3.2 in the context of an established operational relationship other than that reported in 1.2.3.1.1 and 1.2.3.1.2</w:t>
            </w:r>
          </w:p>
          <w:p w:rsidR="004B41AE" w:rsidRDefault="004B41AE" w:rsidP="00BC43F3">
            <w:pPr>
              <w:rPr>
                <w:rStyle w:val="InstructionsTabelleberschrift"/>
                <w:b w:val="0"/>
                <w:szCs w:val="17"/>
                <w:u w:val="none"/>
                <w:lang w:eastAsia="de-DE"/>
              </w:rPr>
            </w:pPr>
            <w:r>
              <w:rPr>
                <w:rStyle w:val="InstructionsTabelleberschrift"/>
                <w:b w:val="0"/>
                <w:szCs w:val="17"/>
                <w:u w:val="none"/>
                <w:lang w:eastAsia="de-DE"/>
              </w:rPr>
              <w:t>Article 422(3)(c)</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the context of an established operational relationship other than that reported in 1.2.3.1.1 and 1.2.3.1.2.</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D07900" w:rsidRDefault="002D48FB" w:rsidP="00BC43F3">
            <w:pPr>
              <w:jc w:val="left"/>
              <w:rPr>
                <w:rFonts w:cs="Arial"/>
                <w:szCs w:val="20"/>
              </w:rPr>
            </w:pPr>
            <w:r>
              <w:rPr>
                <w:rFonts w:cs="Arial"/>
                <w:szCs w:val="20"/>
              </w:rPr>
              <w:t>1010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bottom"/>
          </w:tcPr>
          <w:p w:rsidR="004B41AE" w:rsidRPr="008E3A85" w:rsidRDefault="004B41AE" w:rsidP="00BC43F3">
            <w:pPr>
              <w:rPr>
                <w:rStyle w:val="InstructionsTabelleberschrift"/>
                <w:szCs w:val="17"/>
                <w:lang w:eastAsia="de-DE"/>
              </w:rPr>
            </w:pPr>
            <w:r w:rsidRPr="008E3A85">
              <w:rPr>
                <w:rStyle w:val="InstructionsTabelleberschrift"/>
                <w:szCs w:val="17"/>
                <w:lang w:eastAsia="de-DE"/>
              </w:rPr>
              <w:t>1.2.3.2.1 of which are correspondent banking or prime brokerage services</w:t>
            </w:r>
          </w:p>
          <w:p w:rsidR="004B41AE" w:rsidRPr="008E3A85" w:rsidRDefault="004B41AE" w:rsidP="00BC43F3">
            <w:pPr>
              <w:rPr>
                <w:rStyle w:val="InstructionsTabelleberschrift"/>
                <w:szCs w:val="17"/>
                <w:lang w:eastAsia="de-DE"/>
              </w:rPr>
            </w:pPr>
            <w:r w:rsidRPr="008E3A85">
              <w:rPr>
                <w:rStyle w:val="InstructionsTabelleberschrift"/>
                <w:b w:val="0"/>
                <w:szCs w:val="17"/>
                <w:u w:val="none"/>
                <w:lang w:eastAsia="de-DE"/>
              </w:rPr>
              <w:t>Total amount of deposits that have to be maintained by the depositor in the context of an established operational relationship other than that reported in 1.2.3.1.1 and 1.2.3.1.2 which are deposits relating to correspondent banking or prime brokerage services.</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D07900" w:rsidRDefault="002D48FB" w:rsidP="00BC43F3">
            <w:pPr>
              <w:jc w:val="left"/>
              <w:rPr>
                <w:rFonts w:cs="Arial"/>
                <w:szCs w:val="20"/>
              </w:rPr>
            </w:pPr>
            <w:r>
              <w:rPr>
                <w:rFonts w:cs="Arial"/>
                <w:szCs w:val="20"/>
              </w:rPr>
              <w:t>1020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1.2.3.4 in the context of common task sharing within an institutional protection scheme or as a legal or statutory minimum deposit by another entity being a member of the same institutional protection scheme</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lastRenderedPageBreak/>
              <w:t>Article 4</w:t>
            </w:r>
            <w:r>
              <w:rPr>
                <w:rStyle w:val="InstructionsTabelleberschrift"/>
                <w:b w:val="0"/>
                <w:szCs w:val="17"/>
                <w:u w:val="none"/>
                <w:lang w:eastAsia="de-DE"/>
              </w:rPr>
              <w:t>22(3)</w:t>
            </w:r>
            <w:r w:rsidRPr="008E3A85">
              <w:rPr>
                <w:rStyle w:val="InstructionsTabelleberschrift"/>
                <w:b w:val="0"/>
                <w:szCs w:val="17"/>
                <w:u w:val="none"/>
                <w:lang w:eastAsia="de-DE"/>
              </w:rPr>
              <w:t xml:space="preserve">(b)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deposits that have to be maintained by the depositor in the context of common task sharing within an institutional protection scheme meeting or as a legal or statutory minimum deposit by another entity being a member of the same institutional protection scheme.</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2D48FB" w:rsidP="00BC43F3">
            <w:pPr>
              <w:jc w:val="left"/>
              <w:rPr>
                <w:rFonts w:cs="Arial"/>
                <w:szCs w:val="20"/>
              </w:rPr>
            </w:pPr>
            <w:r>
              <w:rPr>
                <w:rFonts w:cs="Arial"/>
                <w:szCs w:val="20"/>
              </w:rPr>
              <w:lastRenderedPageBreak/>
              <w:t>1030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1.2.3.</w:t>
            </w:r>
            <w:r>
              <w:rPr>
                <w:rStyle w:val="InstructionsTabelleberschrift"/>
                <w:szCs w:val="17"/>
                <w:lang w:eastAsia="de-DE"/>
              </w:rPr>
              <w:t>5</w:t>
            </w:r>
            <w:r w:rsidRPr="008E3A85">
              <w:rPr>
                <w:rStyle w:val="InstructionsTabelleberschrift"/>
                <w:szCs w:val="17"/>
                <w:lang w:eastAsia="de-DE"/>
              </w:rPr>
              <w:t xml:space="preserve"> </w:t>
            </w:r>
            <w:r w:rsidRPr="00A869A8">
              <w:rPr>
                <w:rStyle w:val="InstructionsTabelleberschrift"/>
                <w:szCs w:val="17"/>
                <w:lang w:eastAsia="de-DE"/>
              </w:rPr>
              <w:t>to obtain cash clearing and central credit institution services and</w:t>
            </w:r>
            <w:r>
              <w:rPr>
                <w:rStyle w:val="InstructionsTabelleberschrift"/>
                <w:szCs w:val="17"/>
                <w:lang w:eastAsia="de-DE"/>
              </w:rPr>
              <w:t xml:space="preserve"> </w:t>
            </w:r>
            <w:r w:rsidRPr="00A869A8">
              <w:rPr>
                <w:rStyle w:val="InstructionsTabelleberschrift"/>
                <w:szCs w:val="17"/>
                <w:lang w:eastAsia="de-DE"/>
              </w:rPr>
              <w:t xml:space="preserve">where the credit </w:t>
            </w:r>
            <w:r>
              <w:rPr>
                <w:rStyle w:val="InstructionsTabelleberschrift"/>
                <w:szCs w:val="17"/>
                <w:lang w:eastAsia="de-DE"/>
              </w:rPr>
              <w:t xml:space="preserve">institution </w:t>
            </w:r>
            <w:r w:rsidRPr="00A869A8">
              <w:rPr>
                <w:rStyle w:val="InstructionsTabelleberschrift"/>
                <w:szCs w:val="17"/>
                <w:lang w:eastAsia="de-DE"/>
              </w:rPr>
              <w:t>belongs to a network in accordance with legal or statutory provisions;</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22(3)</w:t>
            </w:r>
            <w:r w:rsidRPr="008E3A85">
              <w:rPr>
                <w:rStyle w:val="InstructionsTabelleberschrift"/>
                <w:b w:val="0"/>
                <w:szCs w:val="17"/>
                <w:u w:val="none"/>
                <w:lang w:eastAsia="de-DE"/>
              </w:rPr>
              <w:t>(</w:t>
            </w:r>
            <w:r>
              <w:rPr>
                <w:rStyle w:val="InstructionsTabelleberschrift"/>
                <w:b w:val="0"/>
                <w:szCs w:val="17"/>
                <w:u w:val="none"/>
                <w:lang w:eastAsia="de-DE"/>
              </w:rPr>
              <w:t>d</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deposits that have to be</w:t>
            </w:r>
            <w:r>
              <w:rPr>
                <w:rStyle w:val="InstructionsTabelleberschrift"/>
                <w:b w:val="0"/>
                <w:szCs w:val="17"/>
                <w:u w:val="none"/>
                <w:lang w:eastAsia="de-DE"/>
              </w:rPr>
              <w:t xml:space="preserve"> maintained by the depositor  to </w:t>
            </w:r>
            <w:r w:rsidRPr="00A869A8">
              <w:rPr>
                <w:rStyle w:val="InstructionsTabelleberschrift"/>
                <w:b w:val="0"/>
                <w:szCs w:val="17"/>
                <w:u w:val="none"/>
                <w:lang w:eastAsia="de-DE"/>
              </w:rPr>
              <w:t>obtain cash clearing and central credit institution services and where the credit institution belongs to a network in accordance with legal or statutory provisions;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2D48FB" w:rsidP="00BC43F3">
            <w:pPr>
              <w:jc w:val="left"/>
              <w:rPr>
                <w:rFonts w:cs="Arial"/>
                <w:szCs w:val="20"/>
              </w:rPr>
            </w:pPr>
            <w:r>
              <w:rPr>
                <w:rFonts w:cs="Arial"/>
                <w:szCs w:val="20"/>
              </w:rPr>
              <w:t>1040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4</w:t>
            </w:r>
            <w:r w:rsidRPr="008E3A85">
              <w:rPr>
                <w:rStyle w:val="InstructionsTabelleberschrift"/>
                <w:szCs w:val="17"/>
                <w:lang w:eastAsia="de-DE"/>
              </w:rPr>
              <w:t xml:space="preserve"> </w:t>
            </w:r>
            <w:r w:rsidRPr="00A869A8">
              <w:rPr>
                <w:rStyle w:val="InstructionsTabelleberschrift"/>
                <w:szCs w:val="17"/>
                <w:lang w:eastAsia="de-DE"/>
              </w:rPr>
              <w:t>Deposits from credit institutions placed at central credit institutions that are considered as liquid assets in accordance with Article 4</w:t>
            </w:r>
            <w:r>
              <w:rPr>
                <w:rStyle w:val="InstructionsTabelleberschrift"/>
                <w:szCs w:val="17"/>
                <w:lang w:eastAsia="de-DE"/>
              </w:rPr>
              <w:t>16</w:t>
            </w:r>
            <w:r w:rsidRPr="00A869A8">
              <w:rPr>
                <w:rStyle w:val="InstructionsTabelleberschrift"/>
                <w:szCs w:val="17"/>
                <w:lang w:eastAsia="de-DE"/>
              </w:rPr>
              <w:t>(1)(f)</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A869A8">
              <w:rPr>
                <w:rStyle w:val="InstructionsTabelleberschrift"/>
                <w:b w:val="0"/>
                <w:szCs w:val="17"/>
                <w:u w:val="none"/>
                <w:lang w:eastAsia="de-DE"/>
              </w:rPr>
              <w:t xml:space="preserve">Article </w:t>
            </w:r>
            <w:r w:rsidR="00AA6BC0">
              <w:rPr>
                <w:rStyle w:val="InstructionsTabelleberschrift"/>
                <w:b w:val="0"/>
                <w:szCs w:val="17"/>
                <w:u w:val="none"/>
                <w:lang w:eastAsia="de-DE"/>
              </w:rPr>
              <w:t>REGULATION (EU) NO 575/2013</w:t>
            </w:r>
            <w:r w:rsidR="00245715">
              <w:rPr>
                <w:rStyle w:val="InstructionsTabelleberschrift"/>
                <w:b w:val="0"/>
                <w:szCs w:val="17"/>
                <w:u w:val="none"/>
                <w:lang w:eastAsia="de-DE"/>
              </w:rPr>
              <w:t>422(3)</w:t>
            </w:r>
            <w:r w:rsidR="00115ADB">
              <w:rPr>
                <w:rStyle w:val="InstructionsTabelleberschrift"/>
                <w:b w:val="0"/>
                <w:szCs w:val="17"/>
                <w:u w:val="none"/>
                <w:lang w:eastAsia="de-DE"/>
              </w:rPr>
              <w:t>,</w:t>
            </w:r>
            <w:r w:rsidR="00245715">
              <w:rPr>
                <w:rStyle w:val="InstructionsTabelleberschrift"/>
                <w:b w:val="0"/>
                <w:szCs w:val="17"/>
                <w:u w:val="none"/>
                <w:lang w:eastAsia="de-DE"/>
              </w:rPr>
              <w:t xml:space="preserve"> last paragraph</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szCs w:val="17"/>
                <w:lang w:eastAsia="de-DE"/>
              </w:rPr>
            </w:pPr>
            <w:r>
              <w:rPr>
                <w:rStyle w:val="InstructionsTabelleberschrift"/>
                <w:b w:val="0"/>
                <w:szCs w:val="17"/>
                <w:u w:val="none"/>
                <w:lang w:eastAsia="de-DE"/>
              </w:rPr>
              <w:t xml:space="preserve">Total amount of deposits </w:t>
            </w:r>
            <w:r w:rsidRPr="00A869A8">
              <w:rPr>
                <w:rStyle w:val="InstructionsTabelleberschrift"/>
                <w:b w:val="0"/>
                <w:szCs w:val="17"/>
                <w:u w:val="none"/>
                <w:lang w:eastAsia="de-DE"/>
              </w:rPr>
              <w:t>from credit institutions placed at central credit institutions that are considered as liquid assets in accordance with Article 4</w:t>
            </w:r>
            <w:r>
              <w:rPr>
                <w:rStyle w:val="InstructionsTabelleberschrift"/>
                <w:b w:val="0"/>
                <w:szCs w:val="17"/>
                <w:u w:val="none"/>
                <w:lang w:eastAsia="de-DE"/>
              </w:rPr>
              <w:t>16</w:t>
            </w:r>
            <w:r w:rsidRPr="00A869A8">
              <w:rPr>
                <w:rStyle w:val="InstructionsTabelleberschrift"/>
                <w:b w:val="0"/>
                <w:szCs w:val="17"/>
                <w:u w:val="none"/>
                <w:lang w:eastAsia="de-DE"/>
              </w:rPr>
              <w:t>(1)(f)</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2D48FB" w:rsidP="00BC43F3">
            <w:pPr>
              <w:jc w:val="left"/>
              <w:rPr>
                <w:rFonts w:cs="Arial"/>
                <w:szCs w:val="20"/>
              </w:rPr>
            </w:pPr>
            <w:r>
              <w:rPr>
                <w:rFonts w:cs="Arial"/>
                <w:szCs w:val="20"/>
              </w:rPr>
              <w:t>1050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Pr>
                <w:rStyle w:val="InstructionsTabelleberschrift"/>
                <w:szCs w:val="17"/>
                <w:lang w:eastAsia="de-DE"/>
              </w:rPr>
              <w:t xml:space="preserve">1.2.5 </w:t>
            </w:r>
            <w:r w:rsidRPr="000A386E">
              <w:rPr>
                <w:rStyle w:val="InstructionsTabelleberschrift"/>
                <w:szCs w:val="17"/>
                <w:lang w:eastAsia="de-DE"/>
              </w:rPr>
              <w:t>liqu</w:t>
            </w:r>
            <w:r>
              <w:rPr>
                <w:rStyle w:val="InstructionsTabelleberschrift"/>
                <w:szCs w:val="17"/>
                <w:lang w:eastAsia="de-DE"/>
              </w:rPr>
              <w:t>i</w:t>
            </w:r>
            <w:r w:rsidRPr="000A386E">
              <w:rPr>
                <w:rStyle w:val="InstructionsTabelleberschrift"/>
                <w:szCs w:val="17"/>
                <w:lang w:eastAsia="de-DE"/>
              </w:rPr>
              <w:t>dity lines for assets specified in Article 416(1)(f)</w:t>
            </w:r>
          </w:p>
          <w:p w:rsidR="004B41AE" w:rsidRDefault="004B41AE" w:rsidP="00BC43F3">
            <w:pPr>
              <w:spacing w:before="0" w:after="0"/>
              <w:rPr>
                <w:rStyle w:val="InstructionsTabelleberschrift"/>
                <w:szCs w:val="17"/>
                <w:lang w:eastAsia="de-DE"/>
              </w:rPr>
            </w:pPr>
          </w:p>
          <w:p w:rsidR="004B41AE" w:rsidRPr="000A386E" w:rsidRDefault="004B41AE" w:rsidP="00BC43F3">
            <w:pPr>
              <w:spacing w:before="0" w:after="0"/>
              <w:rPr>
                <w:rStyle w:val="InstructionsTabelleberschrift"/>
                <w:b w:val="0"/>
                <w:szCs w:val="17"/>
                <w:lang w:eastAsia="de-DE"/>
              </w:rPr>
            </w:pPr>
            <w:r w:rsidRPr="00697783">
              <w:rPr>
                <w:rStyle w:val="InstructionsTabelleberschrift"/>
                <w:b w:val="0"/>
                <w:szCs w:val="17"/>
                <w:lang w:eastAsia="de-DE"/>
              </w:rPr>
              <w:t>Article 416(1)(f)</w:t>
            </w:r>
          </w:p>
          <w:p w:rsidR="004B41AE" w:rsidRPr="00A869A8" w:rsidRDefault="004B41AE" w:rsidP="00BC43F3">
            <w:pPr>
              <w:spacing w:before="0" w:after="0"/>
              <w:rPr>
                <w:rStyle w:val="InstructionsTabelleberschrift"/>
                <w:b w:val="0"/>
                <w:szCs w:val="17"/>
                <w:u w:val="none"/>
                <w:lang w:eastAsia="de-DE"/>
              </w:rPr>
            </w:pPr>
          </w:p>
          <w:p w:rsidR="004B41AE" w:rsidRPr="00A869A8" w:rsidRDefault="004B41AE" w:rsidP="00BC43F3">
            <w:pPr>
              <w:spacing w:before="0" w:after="0"/>
              <w:rPr>
                <w:rStyle w:val="InstructionsTabelleberschrift"/>
                <w:b w:val="0"/>
                <w:szCs w:val="17"/>
                <w:u w:val="none"/>
                <w:lang w:eastAsia="de-DE"/>
              </w:rPr>
            </w:pPr>
            <w:r w:rsidRPr="00697783">
              <w:rPr>
                <w:rStyle w:val="InstructionsTabelleberschrift"/>
                <w:b w:val="0"/>
                <w:szCs w:val="17"/>
                <w:u w:val="none"/>
                <w:lang w:eastAsia="de-DE"/>
              </w:rPr>
              <w:t>Total amount of liquidity lines for assets specified in Article 416(1)(f)</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1E35AA" w:rsidP="00BC43F3">
            <w:pPr>
              <w:jc w:val="left"/>
              <w:rPr>
                <w:rFonts w:cs="Arial"/>
                <w:szCs w:val="20"/>
              </w:rPr>
            </w:pPr>
            <w:r>
              <w:rPr>
                <w:rFonts w:cs="Arial"/>
                <w:szCs w:val="20"/>
              </w:rPr>
              <w:t>1060-1070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6</w:t>
            </w:r>
            <w:r w:rsidRPr="008E3A85">
              <w:rPr>
                <w:rStyle w:val="InstructionsTabelleberschrift"/>
                <w:szCs w:val="17"/>
                <w:lang w:eastAsia="de-DE"/>
              </w:rPr>
              <w:t xml:space="preserve"> </w:t>
            </w:r>
            <w:r>
              <w:rPr>
                <w:rStyle w:val="InstructionsTabelleberschrift"/>
                <w:szCs w:val="17"/>
                <w:lang w:eastAsia="de-DE"/>
              </w:rPr>
              <w:t>liabilities not reported in 1.2.2 or 1.2.5 resulting from deposits by clients that are not financial clients</w:t>
            </w:r>
          </w:p>
          <w:p w:rsidR="004B41AE"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22(5)</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AC376C"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 xml:space="preserve">Total amount of </w:t>
            </w:r>
            <w:r w:rsidRPr="00AC376C">
              <w:rPr>
                <w:rStyle w:val="InstructionsTabelleberschrift"/>
                <w:b w:val="0"/>
                <w:szCs w:val="17"/>
                <w:u w:val="none"/>
                <w:lang w:eastAsia="de-DE"/>
              </w:rPr>
              <w:t>liabilities not reported in 1.2.2 or 1.2.</w:t>
            </w:r>
            <w:r w:rsidR="001E35AA">
              <w:rPr>
                <w:rStyle w:val="InstructionsTabelleberschrift"/>
                <w:b w:val="0"/>
                <w:szCs w:val="17"/>
                <w:u w:val="none"/>
                <w:lang w:eastAsia="de-DE"/>
              </w:rPr>
              <w:t>5</w:t>
            </w:r>
            <w:r w:rsidRPr="00AC376C">
              <w:rPr>
                <w:rStyle w:val="InstructionsTabelleberschrift"/>
                <w:b w:val="0"/>
                <w:szCs w:val="17"/>
                <w:u w:val="none"/>
                <w:lang w:eastAsia="de-DE"/>
              </w:rPr>
              <w:t xml:space="preserve"> resulting from deposits by clients that are not financial clients</w:t>
            </w:r>
            <w:r>
              <w:rPr>
                <w:rStyle w:val="InstructionsTabelleberschrift"/>
                <w:b w:val="0"/>
                <w:szCs w:val="17"/>
                <w:u w:val="none"/>
                <w:lang w:eastAsia="de-DE"/>
              </w:rPr>
              <w:t>.</w:t>
            </w:r>
          </w:p>
          <w:p w:rsidR="004B41AE" w:rsidRPr="008E3A85" w:rsidRDefault="004B41AE" w:rsidP="00BC43F3">
            <w:pPr>
              <w:spacing w:before="0" w:after="0"/>
              <w:rPr>
                <w:rStyle w:val="InstructionsTabelleberschrift"/>
                <w:szCs w:val="17"/>
                <w:lang w:eastAsia="de-DE"/>
              </w:rPr>
            </w:pPr>
          </w:p>
        </w:tc>
      </w:tr>
      <w:tr w:rsidR="001E35AA"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1E35AA" w:rsidRDefault="001E35AA" w:rsidP="00BC43F3">
            <w:pPr>
              <w:jc w:val="left"/>
              <w:rPr>
                <w:rFonts w:cs="Arial"/>
                <w:szCs w:val="20"/>
              </w:rPr>
            </w:pPr>
            <w:r>
              <w:rPr>
                <w:rFonts w:cs="Arial"/>
                <w:szCs w:val="20"/>
              </w:rPr>
              <w:t>1060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1E35AA" w:rsidRDefault="001E35AA" w:rsidP="001E35AA">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6.1</w:t>
            </w:r>
            <w:r w:rsidRPr="008E3A85">
              <w:rPr>
                <w:rStyle w:val="InstructionsTabelleberschrift"/>
                <w:szCs w:val="17"/>
                <w:lang w:eastAsia="de-DE"/>
              </w:rPr>
              <w:t xml:space="preserve"> </w:t>
            </w:r>
            <w:r w:rsidR="00626A71" w:rsidRPr="00626A71">
              <w:rPr>
                <w:rStyle w:val="InstructionsTabelleberschrift"/>
                <w:szCs w:val="17"/>
                <w:lang w:eastAsia="de-DE"/>
              </w:rPr>
              <w:t>which are covered by a Deposit Guarantee Scheme in accordance with Directive 94/19/EC or an equivalent deposit guarantee scheme in a third country</w:t>
            </w:r>
          </w:p>
          <w:p w:rsidR="001E35AA" w:rsidRPr="008E3A85" w:rsidRDefault="001E35AA" w:rsidP="00BC43F3">
            <w:pPr>
              <w:spacing w:before="0" w:after="0"/>
              <w:rPr>
                <w:rStyle w:val="InstructionsTabelleberschrift"/>
                <w:szCs w:val="17"/>
                <w:lang w:eastAsia="de-DE"/>
              </w:rPr>
            </w:pPr>
          </w:p>
        </w:tc>
      </w:tr>
      <w:tr w:rsidR="001E35AA"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1E35AA" w:rsidRDefault="00626A71" w:rsidP="00BC43F3">
            <w:pPr>
              <w:jc w:val="left"/>
              <w:rPr>
                <w:rFonts w:cs="Arial"/>
                <w:szCs w:val="20"/>
              </w:rPr>
            </w:pPr>
            <w:r>
              <w:rPr>
                <w:rFonts w:cs="Arial"/>
                <w:szCs w:val="20"/>
              </w:rPr>
              <w:t>1070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1E35AA" w:rsidRPr="008E3A85" w:rsidRDefault="001E35AA" w:rsidP="00626A71">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6</w:t>
            </w:r>
            <w:r w:rsidRPr="008E3A85">
              <w:rPr>
                <w:rStyle w:val="InstructionsTabelleberschrift"/>
                <w:szCs w:val="17"/>
                <w:lang w:eastAsia="de-DE"/>
              </w:rPr>
              <w:t xml:space="preserve"> </w:t>
            </w:r>
            <w:r w:rsidR="00626A71" w:rsidRPr="00626A71">
              <w:rPr>
                <w:rStyle w:val="InstructionsTabelleberschrift"/>
                <w:szCs w:val="17"/>
                <w:lang w:eastAsia="de-DE"/>
              </w:rPr>
              <w:t xml:space="preserve">  which are not covered by a Deposit Guarantee Scheme in accordance with Directive 94/19/EC or an equivalent deposit guarantee scheme in a third country</w:t>
            </w: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D07900" w:rsidRDefault="001E35AA" w:rsidP="00BC43F3">
            <w:pPr>
              <w:jc w:val="left"/>
              <w:rPr>
                <w:rFonts w:cs="Arial"/>
                <w:szCs w:val="20"/>
              </w:rPr>
            </w:pPr>
            <w:r>
              <w:rPr>
                <w:rFonts w:cs="Arial"/>
                <w:szCs w:val="20"/>
              </w:rPr>
              <w:t>1060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 xml:space="preserve">7 </w:t>
            </w:r>
            <w:r w:rsidRPr="008E3A85">
              <w:rPr>
                <w:rStyle w:val="InstructionsTabelleberschrift"/>
                <w:szCs w:val="17"/>
                <w:lang w:eastAsia="de-DE"/>
              </w:rPr>
              <w:t>net amount payable from the contracts listed in Annex II (net of collateral to be received that qualifies as liquid assets under Article 4</w:t>
            </w:r>
            <w:r>
              <w:rPr>
                <w:rStyle w:val="InstructionsTabelleberschrift"/>
                <w:szCs w:val="17"/>
                <w:lang w:eastAsia="de-DE"/>
              </w:rPr>
              <w:t>16</w:t>
            </w:r>
            <w:r w:rsidRPr="008E3A85">
              <w:rPr>
                <w:rStyle w:val="InstructionsTabelleberschrift"/>
                <w:szCs w:val="17"/>
                <w:lang w:eastAsia="de-DE"/>
              </w:rPr>
              <w:t>)</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22(</w:t>
            </w:r>
            <w:r w:rsidRPr="008E3A85">
              <w:rPr>
                <w:rStyle w:val="InstructionsTabelleberschrift"/>
                <w:b w:val="0"/>
                <w:szCs w:val="17"/>
                <w:u w:val="none"/>
                <w:lang w:eastAsia="de-DE"/>
              </w:rPr>
              <w:t>6</w:t>
            </w:r>
            <w:r>
              <w:rPr>
                <w:rStyle w:val="InstructionsTabelleberschrift"/>
                <w:b w:val="0"/>
                <w:szCs w:val="17"/>
                <w:u w:val="none"/>
                <w:lang w:eastAsia="de-DE"/>
              </w:rPr>
              <w:t>)</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rPr>
                <w:rStyle w:val="InstructionsTabelleberschrift"/>
                <w:b w:val="0"/>
                <w:szCs w:val="17"/>
                <w:u w:val="none"/>
                <w:lang w:eastAsia="de-DE"/>
              </w:rPr>
            </w:pPr>
            <w:r w:rsidRPr="008E3A85">
              <w:rPr>
                <w:rStyle w:val="InstructionsTabelleberschrift"/>
                <w:b w:val="0"/>
                <w:szCs w:val="17"/>
                <w:u w:val="none"/>
                <w:lang w:eastAsia="de-DE"/>
              </w:rPr>
              <w:t>The net amount of payable expected over the 30 day horizon from the contracts listed in Annex II.</w:t>
            </w:r>
          </w:p>
          <w:p w:rsidR="004B41AE" w:rsidRPr="008E3A85" w:rsidRDefault="004B41AE" w:rsidP="00BC43F3">
            <w:p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lastRenderedPageBreak/>
              <w:t xml:space="preserve">Amounts </w:t>
            </w:r>
            <w:r>
              <w:rPr>
                <w:rStyle w:val="InstructionsTabelleberschrift"/>
                <w:b w:val="0"/>
                <w:szCs w:val="17"/>
                <w:u w:val="none"/>
                <w:lang w:eastAsia="de-DE"/>
              </w:rPr>
              <w:t>shall</w:t>
            </w:r>
            <w:r w:rsidRPr="008E3A85">
              <w:rPr>
                <w:rStyle w:val="InstructionsTabelleberschrift"/>
                <w:b w:val="0"/>
                <w:szCs w:val="17"/>
                <w:u w:val="none"/>
                <w:lang w:eastAsia="de-DE"/>
              </w:rPr>
              <w:t>:</w:t>
            </w:r>
          </w:p>
          <w:p w:rsidR="004B41AE" w:rsidRPr="008E3A85" w:rsidRDefault="004B41AE" w:rsidP="00BC43F3">
            <w:pPr>
              <w:numPr>
                <w:ilvl w:val="0"/>
                <w:numId w:val="15"/>
              </w:num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 xml:space="preserve">be net across all counterparties </w:t>
            </w:r>
          </w:p>
          <w:p w:rsidR="004B41AE" w:rsidRPr="008E3A85" w:rsidRDefault="004B41AE" w:rsidP="00BC43F3">
            <w:pPr>
              <w:numPr>
                <w:ilvl w:val="0"/>
                <w:numId w:val="15"/>
              </w:num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be net of collateral to be received that qualifies as liquid assets under Article 4</w:t>
            </w:r>
            <w:r>
              <w:rPr>
                <w:rStyle w:val="InstructionsTabelleberschrift"/>
                <w:b w:val="0"/>
                <w:szCs w:val="17"/>
                <w:u w:val="none"/>
                <w:lang w:eastAsia="de-DE"/>
              </w:rPr>
              <w:t>16</w:t>
            </w:r>
          </w:p>
          <w:p w:rsidR="004B41AE" w:rsidRPr="008E3A85" w:rsidRDefault="004B41AE" w:rsidP="00BC43F3">
            <w:pPr>
              <w:numPr>
                <w:ilvl w:val="0"/>
                <w:numId w:val="15"/>
              </w:num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not be the marked-to-market value, since the marked-to market value also includes estimates for contingent inflows and outflows and may include cash flows that occur beyond the 30-day horizon</w:t>
            </w:r>
          </w:p>
          <w:p w:rsidR="004B41AE" w:rsidRPr="008E3A85" w:rsidRDefault="004B41AE" w:rsidP="00BC43F3">
            <w:pPr>
              <w:autoSpaceDE w:val="0"/>
              <w:autoSpaceDN w:val="0"/>
              <w:adjustRightInd w:val="0"/>
              <w:spacing w:before="0" w:after="0"/>
              <w:rPr>
                <w:rStyle w:val="InstructionsTabelleberschrift"/>
                <w:b w:val="0"/>
                <w:szCs w:val="17"/>
                <w:u w:val="none"/>
                <w:lang w:eastAsia="de-DE"/>
              </w:rPr>
            </w:pPr>
          </w:p>
          <w:p w:rsidR="004B41AE" w:rsidRPr="008E3A85" w:rsidRDefault="004B41AE" w:rsidP="00BC43F3">
            <w:p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 xml:space="preserve">Note net amount </w:t>
            </w:r>
            <w:r w:rsidRPr="008E3A85">
              <w:rPr>
                <w:rStyle w:val="InstructionsTabelleberschrift"/>
                <w:szCs w:val="17"/>
                <w:u w:val="none"/>
                <w:lang w:eastAsia="de-DE"/>
              </w:rPr>
              <w:t>receivable</w:t>
            </w:r>
            <w:r w:rsidRPr="008E3A85">
              <w:rPr>
                <w:rStyle w:val="InstructionsTabelleberschrift"/>
                <w:b w:val="0"/>
                <w:szCs w:val="17"/>
                <w:u w:val="none"/>
                <w:lang w:eastAsia="de-DE"/>
              </w:rPr>
              <w:t xml:space="preserve"> </w:t>
            </w:r>
            <w:r>
              <w:rPr>
                <w:rStyle w:val="InstructionsTabelleberschrift"/>
                <w:b w:val="0"/>
                <w:szCs w:val="17"/>
                <w:u w:val="none"/>
                <w:lang w:eastAsia="de-DE"/>
              </w:rPr>
              <w:t>shall</w:t>
            </w:r>
            <w:r w:rsidRPr="008E3A85">
              <w:rPr>
                <w:rStyle w:val="InstructionsTabelleberschrift"/>
                <w:b w:val="0"/>
                <w:szCs w:val="17"/>
                <w:u w:val="none"/>
                <w:lang w:eastAsia="de-DE"/>
              </w:rPr>
              <w:t xml:space="preserve"> be reported in 1.3 </w:t>
            </w:r>
            <w:r w:rsidR="00825257">
              <w:rPr>
                <w:rStyle w:val="InstructionsTabelleberschrift"/>
                <w:b w:val="0"/>
                <w:szCs w:val="17"/>
                <w:u w:val="none"/>
                <w:lang w:eastAsia="de-DE"/>
              </w:rPr>
              <w:t>‘</w:t>
            </w:r>
            <w:r w:rsidRPr="008E3A85">
              <w:rPr>
                <w:rStyle w:val="InstructionsTabelleberschrift"/>
                <w:b w:val="0"/>
                <w:szCs w:val="17"/>
                <w:u w:val="none"/>
                <w:lang w:eastAsia="de-DE"/>
              </w:rPr>
              <w:t>Inflows</w:t>
            </w:r>
            <w:r w:rsidR="00825257">
              <w:rPr>
                <w:rStyle w:val="InstructionsTabelleberschrift"/>
                <w:b w:val="0"/>
                <w:szCs w:val="17"/>
                <w:u w:val="none"/>
                <w:lang w:eastAsia="de-DE"/>
              </w:rPr>
              <w:t>’</w:t>
            </w:r>
            <w:r w:rsidRPr="008E3A85">
              <w:rPr>
                <w:rStyle w:val="InstructionsTabelleberschrift"/>
                <w:b w:val="0"/>
                <w:szCs w:val="17"/>
                <w:u w:val="none"/>
                <w:lang w:eastAsia="de-DE"/>
              </w:rPr>
              <w:t xml:space="preserve"> item 1.1.6 (net amount receivable from the contracts listed in Annex II (net of collateral to be received that qualifies as liquid assets under Article 4</w:t>
            </w:r>
            <w:r>
              <w:rPr>
                <w:rStyle w:val="InstructionsTabelleberschrift"/>
                <w:b w:val="0"/>
                <w:szCs w:val="17"/>
                <w:u w:val="none"/>
                <w:lang w:eastAsia="de-DE"/>
              </w:rPr>
              <w:t>16</w:t>
            </w:r>
            <w:r w:rsidRPr="008E3A85">
              <w:rPr>
                <w:rStyle w:val="InstructionsTabelleberschrift"/>
                <w:b w:val="0"/>
                <w:szCs w:val="17"/>
                <w:u w:val="none"/>
                <w:lang w:eastAsia="de-DE"/>
              </w:rPr>
              <w:t>)).</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EB224D" w:rsidRDefault="00626A71" w:rsidP="00BC43F3">
            <w:pPr>
              <w:jc w:val="left"/>
              <w:rPr>
                <w:rFonts w:cs="Arial"/>
                <w:szCs w:val="20"/>
              </w:rPr>
            </w:pPr>
            <w:r>
              <w:rPr>
                <w:rFonts w:cs="Arial"/>
                <w:szCs w:val="20"/>
              </w:rPr>
              <w:lastRenderedPageBreak/>
              <w:t>1090-1100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8</w:t>
            </w:r>
            <w:r w:rsidRPr="008E3A85">
              <w:rPr>
                <w:rStyle w:val="InstructionsTabelleberschrift"/>
                <w:szCs w:val="17"/>
                <w:lang w:eastAsia="de-DE"/>
              </w:rPr>
              <w:t xml:space="preserve"> liabilities for which the competent authority has </w:t>
            </w:r>
            <w:r>
              <w:rPr>
                <w:rStyle w:val="InstructionsTabelleberschrift"/>
                <w:szCs w:val="17"/>
                <w:lang w:eastAsia="de-DE"/>
              </w:rPr>
              <w:t>determined</w:t>
            </w:r>
            <w:r w:rsidRPr="008E3A85">
              <w:rPr>
                <w:rStyle w:val="InstructionsTabelleberschrift"/>
                <w:szCs w:val="17"/>
                <w:lang w:eastAsia="de-DE"/>
              </w:rPr>
              <w:t xml:space="preserve"> a lower outflow</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22(8)</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br/>
              <w:t xml:space="preserve">Total amount of liabilities for which the competent authority has </w:t>
            </w:r>
            <w:r>
              <w:rPr>
                <w:rStyle w:val="InstructionsTabelleberschrift"/>
                <w:b w:val="0"/>
                <w:szCs w:val="17"/>
                <w:u w:val="none"/>
                <w:lang w:eastAsia="de-DE"/>
              </w:rPr>
              <w:t>determined</w:t>
            </w:r>
            <w:r w:rsidRPr="008E3A85">
              <w:rPr>
                <w:rStyle w:val="InstructionsTabelleberschrift"/>
                <w:b w:val="0"/>
                <w:szCs w:val="17"/>
                <w:u w:val="none"/>
                <w:lang w:eastAsia="de-DE"/>
              </w:rPr>
              <w:t xml:space="preserve"> a lower outflow on a case-by-case basis,</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26A71" w:rsidP="00BC43F3">
            <w:pPr>
              <w:jc w:val="left"/>
              <w:rPr>
                <w:rFonts w:cs="Arial"/>
                <w:szCs w:val="20"/>
              </w:rPr>
            </w:pPr>
            <w:r>
              <w:rPr>
                <w:rFonts w:cs="Arial"/>
                <w:szCs w:val="20"/>
              </w:rPr>
              <w:t>1090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8</w:t>
            </w:r>
            <w:r w:rsidRPr="008E3A85">
              <w:rPr>
                <w:rStyle w:val="InstructionsTabelleberschrift"/>
                <w:szCs w:val="17"/>
                <w:lang w:eastAsia="de-DE"/>
              </w:rPr>
              <w:t>.1 where all the conditions of Article 4</w:t>
            </w:r>
            <w:r>
              <w:rPr>
                <w:rStyle w:val="InstructionsTabelleberschrift"/>
                <w:szCs w:val="17"/>
                <w:lang w:eastAsia="de-DE"/>
              </w:rPr>
              <w:t>22(</w:t>
            </w:r>
            <w:r w:rsidRPr="008E3A85">
              <w:rPr>
                <w:rStyle w:val="InstructionsTabelleberschrift"/>
                <w:szCs w:val="17"/>
                <w:lang w:eastAsia="de-DE"/>
              </w:rPr>
              <w:t>8</w:t>
            </w:r>
            <w:r>
              <w:rPr>
                <w:rStyle w:val="InstructionsTabelleberschrift"/>
                <w:szCs w:val="17"/>
                <w:lang w:eastAsia="de-DE"/>
              </w:rPr>
              <w:t>)</w:t>
            </w:r>
            <w:r w:rsidRPr="008E3A85">
              <w:rPr>
                <w:rStyle w:val="InstructionsTabelleberschrift"/>
                <w:szCs w:val="17"/>
                <w:lang w:eastAsia="de-DE"/>
              </w:rPr>
              <w:t xml:space="preserve"> (a), (b), (c) and (d) are met</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szCs w:val="17"/>
                <w:lang w:eastAsia="de-DE"/>
              </w:rPr>
            </w:pPr>
            <w:r w:rsidRPr="008E3A85">
              <w:rPr>
                <w:rStyle w:val="InstructionsTabelleberschrift"/>
                <w:b w:val="0"/>
                <w:szCs w:val="17"/>
                <w:u w:val="none"/>
                <w:lang w:eastAsia="de-DE"/>
              </w:rPr>
              <w:t>Total amount of liabilities for which the competent authority has granted a lower outflow on a case-by-case basis and where all the conditions of Article 4</w:t>
            </w:r>
            <w:r>
              <w:rPr>
                <w:rStyle w:val="InstructionsTabelleberschrift"/>
                <w:b w:val="0"/>
                <w:szCs w:val="17"/>
                <w:u w:val="none"/>
                <w:lang w:eastAsia="de-DE"/>
              </w:rPr>
              <w:t>22(</w:t>
            </w:r>
            <w:r w:rsidRPr="008E3A85">
              <w:rPr>
                <w:rStyle w:val="InstructionsTabelleberschrift"/>
                <w:b w:val="0"/>
                <w:szCs w:val="17"/>
                <w:u w:val="none"/>
                <w:lang w:eastAsia="de-DE"/>
              </w:rPr>
              <w:t>8</w:t>
            </w:r>
            <w:r>
              <w:rPr>
                <w:rStyle w:val="InstructionsTabelleberschrift"/>
                <w:b w:val="0"/>
                <w:szCs w:val="17"/>
                <w:u w:val="none"/>
                <w:lang w:eastAsia="de-DE"/>
              </w:rPr>
              <w:t>)</w:t>
            </w:r>
            <w:r w:rsidRPr="008E3A85">
              <w:rPr>
                <w:rStyle w:val="InstructionsTabelleberschrift"/>
                <w:b w:val="0"/>
                <w:szCs w:val="17"/>
                <w:u w:val="none"/>
                <w:lang w:eastAsia="de-DE"/>
              </w:rPr>
              <w:t xml:space="preserve"> (a), (b), (c) and (d) are met.</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26A71" w:rsidP="00BC43F3">
            <w:pPr>
              <w:jc w:val="left"/>
              <w:rPr>
                <w:rFonts w:cs="Arial"/>
                <w:szCs w:val="20"/>
              </w:rPr>
            </w:pPr>
            <w:r>
              <w:rPr>
                <w:rFonts w:cs="Arial"/>
                <w:szCs w:val="20"/>
              </w:rPr>
              <w:t>1100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8</w:t>
            </w:r>
            <w:r w:rsidRPr="008E3A85">
              <w:rPr>
                <w:rStyle w:val="InstructionsTabelleberschrift"/>
                <w:szCs w:val="17"/>
                <w:lang w:eastAsia="de-DE"/>
              </w:rPr>
              <w:t>.2 where all the conditions of Article 4</w:t>
            </w:r>
            <w:r>
              <w:rPr>
                <w:rStyle w:val="InstructionsTabelleberschrift"/>
                <w:szCs w:val="17"/>
                <w:lang w:eastAsia="de-DE"/>
              </w:rPr>
              <w:t>22(</w:t>
            </w:r>
            <w:r w:rsidRPr="008E3A85">
              <w:rPr>
                <w:rStyle w:val="InstructionsTabelleberschrift"/>
                <w:szCs w:val="17"/>
                <w:lang w:eastAsia="de-DE"/>
              </w:rPr>
              <w:t>8</w:t>
            </w:r>
            <w:r>
              <w:rPr>
                <w:rStyle w:val="InstructionsTabelleberschrift"/>
                <w:szCs w:val="17"/>
                <w:lang w:eastAsia="de-DE"/>
              </w:rPr>
              <w:t>)</w:t>
            </w:r>
            <w:r w:rsidRPr="008E3A85">
              <w:rPr>
                <w:rStyle w:val="InstructionsTabelleberschrift"/>
                <w:szCs w:val="17"/>
                <w:lang w:eastAsia="de-DE"/>
              </w:rPr>
              <w:t xml:space="preserve"> (a), (b), and (c) are met for the purposes of applying the intra-group treatment of Article </w:t>
            </w:r>
            <w:r w:rsidR="00360D28">
              <w:rPr>
                <w:rStyle w:val="InstructionsTabelleberschrift"/>
                <w:szCs w:val="17"/>
                <w:lang w:eastAsia="de-DE"/>
              </w:rPr>
              <w:t>20</w:t>
            </w:r>
            <w:r>
              <w:rPr>
                <w:rStyle w:val="InstructionsTabelleberschrift"/>
                <w:szCs w:val="17"/>
                <w:lang w:eastAsia="de-DE"/>
              </w:rPr>
              <w:t>(</w:t>
            </w:r>
            <w:r w:rsidRPr="008E3A85">
              <w:rPr>
                <w:rStyle w:val="InstructionsTabelleberschrift"/>
                <w:szCs w:val="17"/>
                <w:lang w:eastAsia="de-DE"/>
              </w:rPr>
              <w:t>1</w:t>
            </w:r>
            <w:r>
              <w:rPr>
                <w:rStyle w:val="InstructionsTabelleberschrift"/>
                <w:szCs w:val="17"/>
                <w:lang w:eastAsia="de-DE"/>
              </w:rPr>
              <w:t>)</w:t>
            </w:r>
            <w:r w:rsidRPr="008E3A85">
              <w:rPr>
                <w:rStyle w:val="InstructionsTabelleberschrift"/>
                <w:szCs w:val="17"/>
                <w:lang w:eastAsia="de-DE"/>
              </w:rPr>
              <w:t xml:space="preserve">(b) in relation to institutions that are not subject to the waiver of Article </w:t>
            </w:r>
            <w:r w:rsidR="00360D28">
              <w:rPr>
                <w:rStyle w:val="InstructionsTabelleberschrift"/>
                <w:szCs w:val="17"/>
                <w:lang w:eastAsia="de-DE"/>
              </w:rPr>
              <w:t>8</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szCs w:val="17"/>
                <w:lang w:eastAsia="de-DE"/>
              </w:rPr>
            </w:pPr>
            <w:r w:rsidRPr="008E3A85">
              <w:rPr>
                <w:rStyle w:val="InstructionsTabelleberschrift"/>
                <w:b w:val="0"/>
                <w:szCs w:val="17"/>
                <w:u w:val="none"/>
                <w:lang w:eastAsia="de-DE"/>
              </w:rPr>
              <w:t>Total amount of liabilities for which the competent authority has granted a lower outflow on a case-by-case basis and where all the conditions of Article 4</w:t>
            </w:r>
            <w:r>
              <w:rPr>
                <w:rStyle w:val="InstructionsTabelleberschrift"/>
                <w:b w:val="0"/>
                <w:szCs w:val="17"/>
                <w:u w:val="none"/>
                <w:lang w:eastAsia="de-DE"/>
              </w:rPr>
              <w:t>22(</w:t>
            </w:r>
            <w:r w:rsidRPr="008E3A85">
              <w:rPr>
                <w:rStyle w:val="InstructionsTabelleberschrift"/>
                <w:b w:val="0"/>
                <w:szCs w:val="17"/>
                <w:u w:val="none"/>
                <w:lang w:eastAsia="de-DE"/>
              </w:rPr>
              <w:t>8</w:t>
            </w:r>
            <w:r>
              <w:rPr>
                <w:rStyle w:val="InstructionsTabelleberschrift"/>
                <w:b w:val="0"/>
                <w:szCs w:val="17"/>
                <w:u w:val="none"/>
                <w:lang w:eastAsia="de-DE"/>
              </w:rPr>
              <w:t>)</w:t>
            </w:r>
            <w:r w:rsidRPr="008E3A85">
              <w:rPr>
                <w:rStyle w:val="InstructionsTabelleberschrift"/>
                <w:b w:val="0"/>
                <w:szCs w:val="17"/>
                <w:u w:val="none"/>
                <w:lang w:eastAsia="de-DE"/>
              </w:rPr>
              <w:t xml:space="preserve"> (a), (b), and (c) are met for the purposes of applying the intra-group treatment of Article </w:t>
            </w:r>
            <w:r w:rsidR="00360D28">
              <w:rPr>
                <w:rStyle w:val="InstructionsTabelleberschrift"/>
                <w:b w:val="0"/>
                <w:szCs w:val="17"/>
                <w:u w:val="none"/>
                <w:lang w:eastAsia="de-DE"/>
              </w:rPr>
              <w:t>20(</w:t>
            </w:r>
            <w:r w:rsidRPr="008E3A85">
              <w:rPr>
                <w:rStyle w:val="InstructionsTabelleberschrift"/>
                <w:b w:val="0"/>
                <w:szCs w:val="17"/>
                <w:u w:val="none"/>
                <w:lang w:eastAsia="de-DE"/>
              </w:rPr>
              <w:t>1</w:t>
            </w:r>
            <w:proofErr w:type="gramStart"/>
            <w:r w:rsidR="00360D28">
              <w:rPr>
                <w:rStyle w:val="InstructionsTabelleberschrift"/>
                <w:b w:val="0"/>
                <w:szCs w:val="17"/>
                <w:u w:val="none"/>
                <w:lang w:eastAsia="de-DE"/>
              </w:rPr>
              <w:t>)</w:t>
            </w:r>
            <w:r w:rsidRPr="008E3A85">
              <w:rPr>
                <w:rStyle w:val="InstructionsTabelleberschrift"/>
                <w:b w:val="0"/>
                <w:szCs w:val="17"/>
                <w:u w:val="none"/>
                <w:lang w:eastAsia="de-DE"/>
              </w:rPr>
              <w:t>(</w:t>
            </w:r>
            <w:proofErr w:type="gramEnd"/>
            <w:r w:rsidRPr="008E3A85">
              <w:rPr>
                <w:rStyle w:val="InstructionsTabelleberschrift"/>
                <w:b w:val="0"/>
                <w:szCs w:val="17"/>
                <w:u w:val="none"/>
                <w:lang w:eastAsia="de-DE"/>
              </w:rPr>
              <w:t xml:space="preserve">b) in relation to institutions that are not subject to the waiver of Article </w:t>
            </w:r>
            <w:r w:rsidR="00360D28">
              <w:rPr>
                <w:rStyle w:val="InstructionsTabelleberschrift"/>
                <w:b w:val="0"/>
                <w:szCs w:val="17"/>
                <w:u w:val="none"/>
                <w:lang w:eastAsia="de-DE"/>
              </w:rPr>
              <w:t>8</w:t>
            </w:r>
            <w:r w:rsidRPr="008E3A85">
              <w:rPr>
                <w:rStyle w:val="InstructionsTabelleberschrift"/>
                <w:b w:val="0"/>
                <w:szCs w:val="17"/>
                <w:u w:val="none"/>
                <w:lang w:eastAsia="de-DE"/>
              </w:rPr>
              <w:t>.</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9439E6" w:rsidP="00BC43F3">
            <w:pPr>
              <w:jc w:val="left"/>
              <w:rPr>
                <w:rFonts w:cs="Arial"/>
                <w:szCs w:val="20"/>
              </w:rPr>
            </w:pPr>
            <w:r>
              <w:rPr>
                <w:rFonts w:cs="Arial"/>
                <w:szCs w:val="20"/>
              </w:rPr>
              <w:t>1110-1120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9</w:t>
            </w:r>
            <w:r w:rsidRPr="008E3A85">
              <w:rPr>
                <w:rStyle w:val="InstructionsTabelleberschrift"/>
                <w:szCs w:val="17"/>
                <w:lang w:eastAsia="de-DE"/>
              </w:rPr>
              <w:t xml:space="preserve">  liabilities, including any contractual arrangements such as other off balance sheet and contingent funding obligations, for which the competent authority has </w:t>
            </w:r>
            <w:r w:rsidR="00770902">
              <w:rPr>
                <w:rStyle w:val="InstructionsTabelleberschrift"/>
                <w:szCs w:val="17"/>
                <w:lang w:eastAsia="de-DE"/>
              </w:rPr>
              <w:t>determin</w:t>
            </w:r>
            <w:r w:rsidR="00B83491" w:rsidRPr="008E3A85">
              <w:rPr>
                <w:rStyle w:val="InstructionsTabelleberschrift"/>
                <w:szCs w:val="17"/>
                <w:lang w:eastAsia="de-DE"/>
              </w:rPr>
              <w:t xml:space="preserve">ed </w:t>
            </w:r>
            <w:r w:rsidRPr="008E3A85">
              <w:rPr>
                <w:rStyle w:val="InstructionsTabelleberschrift"/>
                <w:szCs w:val="17"/>
                <w:lang w:eastAsia="de-DE"/>
              </w:rPr>
              <w:t xml:space="preserve">a higher outflow following the assessment referred to in Article </w:t>
            </w:r>
            <w:r>
              <w:rPr>
                <w:rStyle w:val="InstructionsTabelleberschrift"/>
                <w:szCs w:val="17"/>
                <w:lang w:eastAsia="de-DE"/>
              </w:rPr>
              <w:t>420(</w:t>
            </w:r>
            <w:r w:rsidRPr="008E3A85">
              <w:rPr>
                <w:rStyle w:val="InstructionsTabelleberschrift"/>
                <w:szCs w:val="17"/>
                <w:lang w:eastAsia="de-DE"/>
              </w:rPr>
              <w:t>2</w:t>
            </w:r>
            <w:r>
              <w:rPr>
                <w:rStyle w:val="InstructionsTabelleberschrift"/>
                <w:szCs w:val="17"/>
                <w:lang w:eastAsia="de-DE"/>
              </w:rPr>
              <w:t>)</w:t>
            </w:r>
            <w:r w:rsidRPr="008E3A85">
              <w:rPr>
                <w:rStyle w:val="InstructionsTabelleberschrift"/>
                <w:szCs w:val="17"/>
                <w:lang w:eastAsia="de-DE"/>
              </w:rPr>
              <w:t xml:space="preserve"> of </w:t>
            </w:r>
            <w:r w:rsidR="00AA6BC0">
              <w:rPr>
                <w:rStyle w:val="InstructionsTabelleberschrift"/>
                <w:szCs w:val="17"/>
                <w:lang w:eastAsia="de-DE"/>
              </w:rPr>
              <w:t>REGULATION (EU) NO 575/2013</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w:t>
            </w:r>
            <w:r w:rsidR="00560A48">
              <w:rPr>
                <w:rStyle w:val="InstructionsTabelleberschrift"/>
                <w:b w:val="0"/>
                <w:szCs w:val="17"/>
                <w:u w:val="none"/>
                <w:lang w:eastAsia="de-DE"/>
              </w:rPr>
              <w:t>s</w:t>
            </w:r>
            <w:r w:rsidRPr="008E3A85">
              <w:rPr>
                <w:rStyle w:val="InstructionsTabelleberschrift"/>
                <w:b w:val="0"/>
                <w:szCs w:val="17"/>
                <w:u w:val="none"/>
                <w:lang w:eastAsia="de-DE"/>
              </w:rPr>
              <w:t xml:space="preserve"> </w:t>
            </w:r>
            <w:r w:rsidR="00560A48">
              <w:rPr>
                <w:rStyle w:val="InstructionsTabelleberschrift"/>
                <w:b w:val="0"/>
                <w:szCs w:val="17"/>
                <w:u w:val="none"/>
                <w:lang w:eastAsia="de-DE"/>
              </w:rPr>
              <w:t xml:space="preserve">420(1)(e) and </w:t>
            </w:r>
            <w:r w:rsidRPr="008E3A85">
              <w:rPr>
                <w:rStyle w:val="InstructionsTabelleberschrift"/>
                <w:b w:val="0"/>
                <w:szCs w:val="17"/>
                <w:u w:val="none"/>
                <w:lang w:eastAsia="de-DE"/>
              </w:rPr>
              <w:t>4</w:t>
            </w:r>
            <w:r>
              <w:rPr>
                <w:rStyle w:val="InstructionsTabelleberschrift"/>
                <w:b w:val="0"/>
                <w:szCs w:val="17"/>
                <w:u w:val="none"/>
                <w:lang w:eastAsia="de-DE"/>
              </w:rPr>
              <w:t>20(</w:t>
            </w:r>
            <w:r w:rsidRPr="008E3A85">
              <w:rPr>
                <w:rStyle w:val="InstructionsTabelleberschrift"/>
                <w:b w:val="0"/>
                <w:szCs w:val="17"/>
                <w:u w:val="none"/>
                <w:lang w:eastAsia="de-DE"/>
              </w:rPr>
              <w:t>2</w:t>
            </w:r>
            <w:r>
              <w:rPr>
                <w:rStyle w:val="InstructionsTabelleberschrift"/>
                <w:b w:val="0"/>
                <w:szCs w:val="17"/>
                <w:u w:val="none"/>
                <w:lang w:eastAsia="de-DE"/>
              </w:rPr>
              <w:t>)</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szCs w:val="17"/>
                <w:lang w:eastAsia="de-DE"/>
              </w:rPr>
            </w:pPr>
            <w:r w:rsidRPr="008E3A85">
              <w:rPr>
                <w:rStyle w:val="InstructionsTabelleberschrift"/>
                <w:b w:val="0"/>
                <w:szCs w:val="17"/>
                <w:u w:val="none"/>
                <w:lang w:eastAsia="de-DE"/>
              </w:rPr>
              <w:t xml:space="preserve">Total amount of all liabilities, including any contractual arrangements such as other off balance sheet and contingent funding obligations, for which the competent authority has </w:t>
            </w:r>
            <w:r w:rsidR="001E0278">
              <w:rPr>
                <w:rStyle w:val="InstructionsTabelleberschrift"/>
                <w:b w:val="0"/>
                <w:szCs w:val="17"/>
                <w:u w:val="none"/>
                <w:lang w:eastAsia="de-DE"/>
              </w:rPr>
              <w:t>determin</w:t>
            </w:r>
            <w:r w:rsidR="001E0278" w:rsidRPr="008E3A85">
              <w:rPr>
                <w:rStyle w:val="InstructionsTabelleberschrift"/>
                <w:b w:val="0"/>
                <w:szCs w:val="17"/>
                <w:u w:val="none"/>
                <w:lang w:eastAsia="de-DE"/>
              </w:rPr>
              <w:t xml:space="preserve">ed </w:t>
            </w:r>
            <w:r w:rsidRPr="008E3A85">
              <w:rPr>
                <w:rStyle w:val="InstructionsTabelleberschrift"/>
                <w:b w:val="0"/>
                <w:szCs w:val="17"/>
                <w:u w:val="none"/>
                <w:lang w:eastAsia="de-DE"/>
              </w:rPr>
              <w:t xml:space="preserve">a higher outflow following the assessment referred to in Article </w:t>
            </w:r>
            <w:r>
              <w:rPr>
                <w:rStyle w:val="InstructionsTabelleberschrift"/>
                <w:b w:val="0"/>
                <w:szCs w:val="17"/>
                <w:u w:val="none"/>
                <w:lang w:eastAsia="de-DE"/>
              </w:rPr>
              <w:t>420(</w:t>
            </w:r>
            <w:r w:rsidRPr="008E3A85">
              <w:rPr>
                <w:rStyle w:val="InstructionsTabelleberschrift"/>
                <w:b w:val="0"/>
                <w:szCs w:val="17"/>
                <w:u w:val="none"/>
                <w:lang w:eastAsia="de-DE"/>
              </w:rPr>
              <w:t>2</w:t>
            </w:r>
            <w:r>
              <w:rPr>
                <w:rStyle w:val="InstructionsTabelleberschrift"/>
                <w:b w:val="0"/>
                <w:szCs w:val="17"/>
                <w:u w:val="none"/>
                <w:lang w:eastAsia="de-DE"/>
              </w:rPr>
              <w:t>)</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r w:rsidRPr="008E3A85">
              <w:rPr>
                <w:rStyle w:val="InstructionsTabelleberschrift"/>
                <w:b w:val="0"/>
                <w:szCs w:val="17"/>
                <w:u w:val="none"/>
                <w:lang w:eastAsia="de-DE"/>
              </w:rPr>
              <w:t>.</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185B69" w:rsidP="00BC43F3">
            <w:pPr>
              <w:jc w:val="left"/>
              <w:rPr>
                <w:rFonts w:cs="Arial"/>
                <w:szCs w:val="20"/>
              </w:rPr>
            </w:pPr>
            <w:r>
              <w:rPr>
                <w:rFonts w:cs="Arial"/>
                <w:szCs w:val="20"/>
              </w:rPr>
              <w:t>1110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185B69" w:rsidRPr="008E3A85" w:rsidRDefault="00185B69" w:rsidP="00185B69">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9</w:t>
            </w:r>
            <w:r w:rsidRPr="008E3A85">
              <w:rPr>
                <w:rStyle w:val="InstructionsTabelleberschrift"/>
                <w:szCs w:val="17"/>
                <w:lang w:eastAsia="de-DE"/>
              </w:rPr>
              <w:t xml:space="preserve">  liabilities, including any contractual arrangements such as other off balance sheet and contingent funding obligations, </w:t>
            </w:r>
            <w:r w:rsidRPr="008E3A85">
              <w:rPr>
                <w:rStyle w:val="InstructionsTabelleberschrift"/>
                <w:szCs w:val="17"/>
                <w:lang w:eastAsia="de-DE"/>
              </w:rPr>
              <w:lastRenderedPageBreak/>
              <w:t xml:space="preserve">for which the competent authority has </w:t>
            </w:r>
            <w:r>
              <w:rPr>
                <w:rStyle w:val="InstructionsTabelleberschrift"/>
                <w:szCs w:val="17"/>
                <w:lang w:eastAsia="de-DE"/>
              </w:rPr>
              <w:t>determin</w:t>
            </w:r>
            <w:r w:rsidRPr="008E3A85">
              <w:rPr>
                <w:rStyle w:val="InstructionsTabelleberschrift"/>
                <w:szCs w:val="17"/>
                <w:lang w:eastAsia="de-DE"/>
              </w:rPr>
              <w:t xml:space="preserve">ed a higher outflow following the assessment referred to in Article </w:t>
            </w:r>
            <w:r>
              <w:rPr>
                <w:rStyle w:val="InstructionsTabelleberschrift"/>
                <w:szCs w:val="17"/>
                <w:lang w:eastAsia="de-DE"/>
              </w:rPr>
              <w:t>420(</w:t>
            </w:r>
            <w:r w:rsidRPr="008E3A85">
              <w:rPr>
                <w:rStyle w:val="InstructionsTabelleberschrift"/>
                <w:szCs w:val="17"/>
                <w:lang w:eastAsia="de-DE"/>
              </w:rPr>
              <w:t>2</w:t>
            </w:r>
            <w:r>
              <w:rPr>
                <w:rStyle w:val="InstructionsTabelleberschrift"/>
                <w:szCs w:val="17"/>
                <w:lang w:eastAsia="de-DE"/>
              </w:rPr>
              <w:t>)</w:t>
            </w:r>
            <w:r w:rsidRPr="008E3A85">
              <w:rPr>
                <w:rStyle w:val="InstructionsTabelleberschrift"/>
                <w:szCs w:val="17"/>
                <w:lang w:eastAsia="de-DE"/>
              </w:rPr>
              <w:t xml:space="preserve"> of </w:t>
            </w:r>
            <w:r w:rsidR="00AA6BC0">
              <w:rPr>
                <w:rStyle w:val="InstructionsTabelleberschrift"/>
                <w:szCs w:val="17"/>
                <w:lang w:eastAsia="de-DE"/>
              </w:rPr>
              <w:t>REGULATION (EU) NO 575/2013</w:t>
            </w:r>
          </w:p>
          <w:p w:rsidR="004B41AE" w:rsidRPr="008E3A85" w:rsidRDefault="004B41AE" w:rsidP="00BC43F3">
            <w:pPr>
              <w:spacing w:before="0" w:after="0"/>
              <w:rPr>
                <w:rStyle w:val="InstructionsTabelleberschrift"/>
                <w:szCs w:val="17"/>
                <w:lang w:eastAsia="de-DE"/>
              </w:rPr>
            </w:pPr>
          </w:p>
        </w:tc>
      </w:tr>
      <w:tr w:rsidR="00185B69"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185B69" w:rsidRPr="00EB224D" w:rsidRDefault="00185B69" w:rsidP="00BC43F3">
            <w:pPr>
              <w:jc w:val="left"/>
              <w:rPr>
                <w:rFonts w:cs="Arial"/>
                <w:szCs w:val="20"/>
              </w:rPr>
            </w:pPr>
            <w:r>
              <w:rPr>
                <w:rFonts w:cs="Arial"/>
                <w:szCs w:val="20"/>
              </w:rPr>
              <w:lastRenderedPageBreak/>
              <w:t>1120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793331" w:rsidRPr="008E3A85" w:rsidRDefault="00793331" w:rsidP="00793331">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9</w:t>
            </w:r>
            <w:r w:rsidRPr="008E3A85">
              <w:rPr>
                <w:rStyle w:val="InstructionsTabelleberschrift"/>
                <w:szCs w:val="17"/>
                <w:lang w:eastAsia="de-DE"/>
              </w:rPr>
              <w:t xml:space="preserve">  liabilities, including any contractual arrangements such as other off balance sheet and contingent funding obligations, for which the competent authority has </w:t>
            </w:r>
            <w:r>
              <w:rPr>
                <w:rStyle w:val="InstructionsTabelleberschrift"/>
                <w:szCs w:val="17"/>
                <w:lang w:eastAsia="de-DE"/>
              </w:rPr>
              <w:t>determin</w:t>
            </w:r>
            <w:r w:rsidRPr="008E3A85">
              <w:rPr>
                <w:rStyle w:val="InstructionsTabelleberschrift"/>
                <w:szCs w:val="17"/>
                <w:lang w:eastAsia="de-DE"/>
              </w:rPr>
              <w:t xml:space="preserve">ed a higher outflow following the assessment referred to in Article </w:t>
            </w:r>
            <w:r>
              <w:rPr>
                <w:rStyle w:val="InstructionsTabelleberschrift"/>
                <w:szCs w:val="17"/>
                <w:lang w:eastAsia="de-DE"/>
              </w:rPr>
              <w:t>420(</w:t>
            </w:r>
            <w:r w:rsidRPr="008E3A85">
              <w:rPr>
                <w:rStyle w:val="InstructionsTabelleberschrift"/>
                <w:szCs w:val="17"/>
                <w:lang w:eastAsia="de-DE"/>
              </w:rPr>
              <w:t>2</w:t>
            </w:r>
            <w:r>
              <w:rPr>
                <w:rStyle w:val="InstructionsTabelleberschrift"/>
                <w:szCs w:val="17"/>
                <w:lang w:eastAsia="de-DE"/>
              </w:rPr>
              <w:t>)</w:t>
            </w:r>
            <w:r w:rsidRPr="008E3A85">
              <w:rPr>
                <w:rStyle w:val="InstructionsTabelleberschrift"/>
                <w:szCs w:val="17"/>
                <w:lang w:eastAsia="de-DE"/>
              </w:rPr>
              <w:t xml:space="preserve"> of </w:t>
            </w:r>
            <w:r w:rsidR="00AA6BC0">
              <w:rPr>
                <w:rStyle w:val="InstructionsTabelleberschrift"/>
                <w:szCs w:val="17"/>
                <w:lang w:eastAsia="de-DE"/>
              </w:rPr>
              <w:t>REGULATION (EU) NO 575/2013</w:t>
            </w:r>
          </w:p>
          <w:p w:rsidR="00185B69" w:rsidRPr="008E3A85" w:rsidRDefault="00185B69"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4705EE" w:rsidP="00BC43F3">
            <w:pPr>
              <w:jc w:val="left"/>
              <w:rPr>
                <w:rFonts w:cs="Arial"/>
                <w:szCs w:val="20"/>
              </w:rPr>
            </w:pPr>
            <w:r>
              <w:rPr>
                <w:rFonts w:cs="Arial"/>
                <w:szCs w:val="20"/>
              </w:rPr>
              <w:t>1130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1.2.</w:t>
            </w:r>
            <w:r>
              <w:rPr>
                <w:rStyle w:val="InstructionsTabelleberschrift"/>
                <w:szCs w:val="17"/>
                <w:lang w:eastAsia="de-DE"/>
              </w:rPr>
              <w:t>10</w:t>
            </w:r>
            <w:r w:rsidRPr="008E3A85">
              <w:rPr>
                <w:rStyle w:val="InstructionsTabelleberschrift"/>
                <w:szCs w:val="17"/>
                <w:lang w:eastAsia="de-DE"/>
              </w:rPr>
              <w:t xml:space="preserve"> all other liabilities </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22(7)</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all other liabilities.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EB224D" w:rsidRDefault="004705EE" w:rsidP="00BC43F3">
            <w:pPr>
              <w:jc w:val="left"/>
              <w:rPr>
                <w:rFonts w:cs="Arial"/>
                <w:szCs w:val="20"/>
              </w:rPr>
            </w:pPr>
            <w:r>
              <w:rPr>
                <w:rFonts w:cs="Arial"/>
                <w:szCs w:val="20"/>
              </w:rPr>
              <w:t>1140-1210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8E3A85" w:rsidRDefault="004B41AE" w:rsidP="00BC43F3">
            <w:pPr>
              <w:spacing w:before="0" w:after="0"/>
              <w:rPr>
                <w:rStyle w:val="InstructionsTabelleberschrift"/>
                <w:bCs w:val="0"/>
                <w:szCs w:val="17"/>
                <w:lang w:eastAsia="de-DE"/>
              </w:rPr>
            </w:pPr>
            <w:r w:rsidRPr="008E3A85">
              <w:rPr>
                <w:rStyle w:val="InstructionsTabelleberschrift"/>
                <w:bCs w:val="0"/>
                <w:szCs w:val="17"/>
                <w:lang w:eastAsia="de-DE"/>
              </w:rPr>
              <w:t>1.3 Additional Outflows</w:t>
            </w:r>
          </w:p>
          <w:p w:rsidR="004B41AE" w:rsidRPr="008E3A85" w:rsidRDefault="004B41AE" w:rsidP="00BC43F3">
            <w:pPr>
              <w:spacing w:before="0" w:after="0"/>
              <w:rPr>
                <w:rStyle w:val="InstructionsTabelleberschrift"/>
                <w:bCs w:val="0"/>
                <w:szCs w:val="17"/>
                <w:lang w:eastAsia="de-DE"/>
              </w:rPr>
            </w:pPr>
          </w:p>
          <w:p w:rsidR="004B41AE" w:rsidRPr="008E3A85" w:rsidRDefault="004B41AE" w:rsidP="00BC43F3">
            <w:pPr>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Total amount of all additional outflows</w:t>
            </w:r>
            <w:r w:rsidRPr="008E3A85">
              <w:rPr>
                <w:rStyle w:val="InstructionsTabelleberschrift"/>
                <w:b w:val="0"/>
                <w:szCs w:val="17"/>
                <w:u w:val="none"/>
                <w:lang w:eastAsia="de-DE"/>
              </w:rPr>
              <w:t>,</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p w:rsidR="004B41AE" w:rsidRPr="008E3A85" w:rsidRDefault="004B41AE" w:rsidP="00BC43F3">
            <w:pPr>
              <w:spacing w:before="0" w:after="0"/>
              <w:rPr>
                <w:rStyle w:val="InstructionsTabelleberschrift"/>
                <w:bCs w:val="0"/>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EB224D" w:rsidRDefault="004705EE" w:rsidP="00BC43F3">
            <w:pPr>
              <w:jc w:val="left"/>
              <w:rPr>
                <w:rFonts w:cs="Arial"/>
                <w:szCs w:val="20"/>
              </w:rPr>
            </w:pPr>
            <w:r>
              <w:rPr>
                <w:rFonts w:cs="Arial"/>
                <w:szCs w:val="20"/>
              </w:rPr>
              <w:t>1140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1.3.1 for collateral other than assets referred to in Article 4</w:t>
            </w:r>
            <w:r>
              <w:rPr>
                <w:rStyle w:val="InstructionsTabelleberschrift"/>
                <w:szCs w:val="17"/>
                <w:lang w:eastAsia="de-DE"/>
              </w:rPr>
              <w:t>16(1)</w:t>
            </w:r>
            <w:r w:rsidRPr="008E3A85">
              <w:rPr>
                <w:rStyle w:val="InstructionsTabelleberschrift"/>
                <w:szCs w:val="17"/>
                <w:lang w:eastAsia="de-DE"/>
              </w:rPr>
              <w:t xml:space="preserve"> (a) to (c) which is posted by the institution for contracts listed in Annex II</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23(1)</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bCs w:val="0"/>
                <w:szCs w:val="17"/>
                <w:u w:val="none"/>
                <w:lang w:eastAsia="de-DE"/>
              </w:rPr>
            </w:pPr>
          </w:p>
          <w:p w:rsidR="004B41AE" w:rsidRPr="008E3A85" w:rsidRDefault="004B41AE" w:rsidP="00BC43F3">
            <w:pPr>
              <w:spacing w:before="0" w:after="0"/>
            </w:pPr>
            <w:r w:rsidRPr="008E3A85">
              <w:rPr>
                <w:rStyle w:val="InstructionsTabelleberschrift"/>
                <w:b w:val="0"/>
                <w:bCs w:val="0"/>
                <w:szCs w:val="17"/>
                <w:u w:val="none"/>
                <w:lang w:eastAsia="de-DE"/>
              </w:rPr>
              <w:t>Total amount of all additional outflows</w:t>
            </w:r>
            <w:r w:rsidRPr="008E3A85">
              <w:rPr>
                <w:rStyle w:val="InstructionsTabelleberschrift"/>
                <w:szCs w:val="17"/>
                <w:u w:val="none"/>
                <w:lang w:eastAsia="de-DE"/>
              </w:rPr>
              <w:t xml:space="preserve"> </w:t>
            </w:r>
            <w:r w:rsidRPr="008E3A85">
              <w:rPr>
                <w:rStyle w:val="InstructionsTabelleberschrift"/>
                <w:b w:val="0"/>
                <w:szCs w:val="17"/>
                <w:u w:val="none"/>
                <w:lang w:eastAsia="de-DE"/>
              </w:rPr>
              <w:t>for collateral other than assets referred to in Article 4</w:t>
            </w:r>
            <w:r>
              <w:rPr>
                <w:rStyle w:val="InstructionsTabelleberschrift"/>
                <w:b w:val="0"/>
                <w:szCs w:val="17"/>
                <w:u w:val="none"/>
                <w:lang w:eastAsia="de-DE"/>
              </w:rPr>
              <w:t>16(</w:t>
            </w:r>
            <w:r w:rsidRPr="008E3A85">
              <w:rPr>
                <w:rStyle w:val="InstructionsTabelleberschrift"/>
                <w:b w:val="0"/>
                <w:szCs w:val="17"/>
                <w:u w:val="none"/>
                <w:lang w:eastAsia="de-DE"/>
              </w:rPr>
              <w:t>1</w:t>
            </w:r>
            <w:r>
              <w:rPr>
                <w:rStyle w:val="InstructionsTabelleberschrift"/>
                <w:b w:val="0"/>
                <w:szCs w:val="17"/>
                <w:u w:val="none"/>
                <w:lang w:eastAsia="de-DE"/>
              </w:rPr>
              <w:t>)</w:t>
            </w:r>
            <w:r w:rsidRPr="008E3A85">
              <w:rPr>
                <w:rStyle w:val="InstructionsTabelleberschrift"/>
                <w:b w:val="0"/>
                <w:szCs w:val="17"/>
                <w:u w:val="none"/>
                <w:lang w:eastAsia="de-DE"/>
              </w:rPr>
              <w:t xml:space="preserve"> (a) to (c) which is posted by the institution for contracts listed in Annex II,</w:t>
            </w:r>
            <w:r w:rsidRPr="008E3A85">
              <w:rPr>
                <w:rStyle w:val="InstructionsTabelleberschrift"/>
                <w:b w:val="0"/>
                <w:u w:val="none"/>
              </w:rPr>
              <w:t xml:space="preserve"> </w:t>
            </w:r>
            <w:r>
              <w:rPr>
                <w:rStyle w:val="InstructionsTabelleberschrift"/>
                <w:b w:val="0"/>
                <w:u w:val="none"/>
              </w:rPr>
              <w:t>shall</w:t>
            </w:r>
            <w:r w:rsidRPr="008E3A85">
              <w:rPr>
                <w:rStyle w:val="InstructionsTabelleberschrift"/>
                <w:b w:val="0"/>
                <w:u w:val="none"/>
              </w:rPr>
              <w:t xml:space="preserve"> be reported in the following subcategories as follows:</w:t>
            </w:r>
          </w:p>
          <w:p w:rsidR="004B41AE" w:rsidRPr="008E3A85" w:rsidRDefault="004B41AE" w:rsidP="00BC43F3">
            <w:pPr>
              <w:spacing w:before="0" w:after="0"/>
              <w:rPr>
                <w:rStyle w:val="InstructionsTabelleberschrift"/>
                <w:szCs w:val="17"/>
                <w:lang w:eastAsia="de-DE"/>
              </w:rPr>
            </w:pPr>
          </w:p>
        </w:tc>
      </w:tr>
      <w:tr w:rsidR="004B41AE" w:rsidRPr="005B0D5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5B0D5E" w:rsidRDefault="004B41AE" w:rsidP="00BC43F3">
            <w:pPr>
              <w:jc w:val="left"/>
              <w:rPr>
                <w:rFonts w:cs="Arial"/>
                <w:strike/>
                <w:szCs w:val="20"/>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5B0D5E" w:rsidRDefault="004B41AE" w:rsidP="002D2D3F">
            <w:pPr>
              <w:spacing w:before="0" w:after="0"/>
              <w:rPr>
                <w:rStyle w:val="InstructionsTabelleberschrift"/>
                <w:strike/>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554A91" w:rsidP="00BC43F3">
            <w:pPr>
              <w:jc w:val="left"/>
              <w:rPr>
                <w:rFonts w:cs="Arial"/>
                <w:szCs w:val="20"/>
              </w:rPr>
            </w:pPr>
            <w:r>
              <w:rPr>
                <w:rFonts w:cs="Arial"/>
                <w:szCs w:val="20"/>
              </w:rPr>
              <w:t>1150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1.3.2 corresponding to additional collateral needs that would result from a material deterioration in the credit quality of the institution</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23(2)</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outflows corresponding to additional collateral needs that would result from a material deterioration in the credit quality of the institution.</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554A91" w:rsidP="00BC43F3">
            <w:pPr>
              <w:jc w:val="left"/>
              <w:rPr>
                <w:rFonts w:cs="Arial"/>
                <w:szCs w:val="20"/>
              </w:rPr>
            </w:pPr>
            <w:r>
              <w:rPr>
                <w:rFonts w:cs="Arial"/>
                <w:szCs w:val="20"/>
              </w:rPr>
              <w:t>1160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 xml:space="preserve">1.3.3 corresponding to additional collateral needs that would result from the impact of an adverse market scenario </w:t>
            </w:r>
            <w:r w:rsidR="005B0D5E" w:rsidRPr="005B0D5E">
              <w:rPr>
                <w:rStyle w:val="InstructionsTabelleberschrift"/>
                <w:szCs w:val="17"/>
                <w:lang w:eastAsia="de-DE"/>
              </w:rPr>
              <w:t>on the institution's derivatives transaction, financing transactions and other contracts if material</w:t>
            </w: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23(</w:t>
            </w:r>
            <w:r w:rsidRPr="008E3A85">
              <w:rPr>
                <w:rStyle w:val="InstructionsTabelleberschrift"/>
                <w:b w:val="0"/>
                <w:szCs w:val="17"/>
                <w:u w:val="none"/>
                <w:lang w:eastAsia="de-DE"/>
              </w:rPr>
              <w:t>3</w:t>
            </w:r>
            <w:r>
              <w:rPr>
                <w:rStyle w:val="InstructionsTabelleberschrift"/>
                <w:b w:val="0"/>
                <w:szCs w:val="17"/>
                <w:u w:val="none"/>
                <w:lang w:eastAsia="de-DE"/>
              </w:rPr>
              <w:t>)</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szCs w:val="17"/>
                <w:lang w:eastAsia="de-DE"/>
              </w:rPr>
            </w:pPr>
            <w:r w:rsidRPr="008E3A85">
              <w:rPr>
                <w:rStyle w:val="InstructionsTabelleberschrift"/>
                <w:b w:val="0"/>
                <w:szCs w:val="17"/>
                <w:u w:val="none"/>
                <w:lang w:eastAsia="de-DE"/>
              </w:rPr>
              <w:t>Total amount of outflows corresponding to additional collateral needs that would result from the impact of an adverse market scenario.</w:t>
            </w:r>
            <w:r w:rsidRPr="008E3A85">
              <w:rPr>
                <w:rStyle w:val="InstructionsTabelleberschrift"/>
                <w:szCs w:val="17"/>
                <w:lang w:eastAsia="de-DE"/>
              </w:rPr>
              <w:t xml:space="preserve"> </w:t>
            </w:r>
          </w:p>
          <w:p w:rsidR="004B41AE" w:rsidRPr="008E3A85" w:rsidRDefault="004B41AE" w:rsidP="00BC43F3">
            <w:pPr>
              <w:spacing w:before="0" w:after="0"/>
              <w:rPr>
                <w:rStyle w:val="InstructionsTabelleberschrift"/>
                <w:szCs w:val="17"/>
                <w:lang w:eastAsia="de-DE"/>
              </w:rPr>
            </w:pPr>
          </w:p>
        </w:tc>
      </w:tr>
      <w:tr w:rsidR="004B41AE" w:rsidRPr="008E3A85" w:rsidTr="00BC43F3">
        <w:trPr>
          <w:trHeight w:val="1608"/>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554A91" w:rsidP="00BC43F3">
            <w:pPr>
              <w:jc w:val="left"/>
              <w:rPr>
                <w:rFonts w:cs="Arial"/>
                <w:szCs w:val="20"/>
              </w:rPr>
            </w:pPr>
            <w:r>
              <w:rPr>
                <w:rFonts w:cs="Arial"/>
                <w:szCs w:val="20"/>
              </w:rPr>
              <w:lastRenderedPageBreak/>
              <w:t>1170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1.3.4 corresponding to the market value of securities or other assets sold short and to be delivered within the 30 days horizon unless the institution owns the securities to be delivered or has borrowed them at terms requiring their return only after the 30 day horizon and the securities do not form part of the institutions liquid assets</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23(</w:t>
            </w:r>
            <w:r w:rsidRPr="008E3A85">
              <w:rPr>
                <w:rStyle w:val="InstructionsTabelleberschrift"/>
                <w:b w:val="0"/>
                <w:szCs w:val="17"/>
                <w:u w:val="none"/>
                <w:lang w:eastAsia="de-DE"/>
              </w:rPr>
              <w:t>4</w:t>
            </w:r>
            <w:r>
              <w:rPr>
                <w:rStyle w:val="InstructionsTabelleberschrift"/>
                <w:b w:val="0"/>
                <w:szCs w:val="17"/>
                <w:u w:val="none"/>
                <w:lang w:eastAsia="de-DE"/>
              </w:rPr>
              <w:t>)</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outflows corresponding to the market value of securities or other assets sold short and to be delivered within the 30 days horizon unless the institution owns the securities to be delivered or has borrowed them at terms requiring their return only after the 30 day horizon and the securities do not form part of the institutions liquid assets.</w:t>
            </w:r>
          </w:p>
        </w:tc>
      </w:tr>
      <w:tr w:rsidR="004B41AE" w:rsidRPr="008E3A85" w:rsidTr="00BC43F3">
        <w:trPr>
          <w:trHeight w:val="1608"/>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554A91" w:rsidP="00BC43F3">
            <w:pPr>
              <w:spacing w:before="0" w:after="0"/>
              <w:rPr>
                <w:rStyle w:val="InstructionsTabelleberschrift"/>
                <w:szCs w:val="17"/>
                <w:lang w:eastAsia="de-DE"/>
              </w:rPr>
            </w:pPr>
            <w:r>
              <w:rPr>
                <w:rStyle w:val="InstructionsTabelleberschrift"/>
                <w:szCs w:val="17"/>
                <w:lang w:eastAsia="de-DE"/>
              </w:rPr>
              <w:t>1180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Pr>
                <w:rStyle w:val="InstructionsTabelleberschrift"/>
                <w:szCs w:val="17"/>
                <w:lang w:eastAsia="de-DE"/>
              </w:rPr>
              <w:t xml:space="preserve">1.3.5 </w:t>
            </w:r>
            <w:r w:rsidRPr="006669BA">
              <w:rPr>
                <w:rStyle w:val="InstructionsTabelleberschrift"/>
                <w:szCs w:val="17"/>
                <w:lang w:eastAsia="de-DE"/>
              </w:rPr>
              <w:t>corresponding to the excess collateral the institution holds that can be contractually called at any time by the counterparty</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szCs w:val="17"/>
                <w:u w:val="none"/>
                <w:lang w:eastAsia="de-DE"/>
              </w:rPr>
            </w:pPr>
            <w:r>
              <w:rPr>
                <w:rStyle w:val="InstructionsTabelleberschrift"/>
                <w:b w:val="0"/>
                <w:szCs w:val="17"/>
                <w:u w:val="none"/>
                <w:lang w:eastAsia="de-DE"/>
              </w:rPr>
              <w:t>Article 423(5)(a)</w:t>
            </w:r>
            <w:r w:rsidRPr="005423BD">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outflows corresponding</w:t>
            </w:r>
            <w:r>
              <w:rPr>
                <w:rStyle w:val="InstructionsTabelleberschrift"/>
                <w:b w:val="0"/>
                <w:szCs w:val="17"/>
                <w:u w:val="none"/>
                <w:lang w:eastAsia="de-DE"/>
              </w:rPr>
              <w:t xml:space="preserve"> to the </w:t>
            </w:r>
            <w:r w:rsidRPr="006669BA">
              <w:rPr>
                <w:rStyle w:val="InstructionsTabelleberschrift"/>
                <w:b w:val="0"/>
                <w:szCs w:val="17"/>
                <w:u w:val="none"/>
                <w:lang w:eastAsia="de-DE"/>
              </w:rPr>
              <w:t>excess collateral the institution holds that can be contractually called at any time by the counterparty</w:t>
            </w:r>
          </w:p>
          <w:p w:rsidR="004B41AE" w:rsidRPr="008E3A85" w:rsidRDefault="004B41AE" w:rsidP="00BC43F3">
            <w:pPr>
              <w:spacing w:before="0" w:after="0"/>
              <w:rPr>
                <w:rStyle w:val="InstructionsTabelleberschrift"/>
                <w:szCs w:val="17"/>
                <w:lang w:eastAsia="de-DE"/>
              </w:rPr>
            </w:pPr>
          </w:p>
        </w:tc>
      </w:tr>
      <w:tr w:rsidR="004B41AE" w:rsidTr="00BC43F3">
        <w:trPr>
          <w:trHeight w:val="1608"/>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6669BA" w:rsidRDefault="00554A91" w:rsidP="00BC43F3">
            <w:pPr>
              <w:spacing w:before="0" w:after="0"/>
              <w:rPr>
                <w:rStyle w:val="InstructionsTabelleberschrift"/>
                <w:szCs w:val="17"/>
                <w:lang w:eastAsia="de-DE"/>
              </w:rPr>
            </w:pPr>
            <w:r>
              <w:rPr>
                <w:rStyle w:val="InstructionsTabelleberschrift"/>
                <w:szCs w:val="17"/>
                <w:lang w:eastAsia="de-DE"/>
              </w:rPr>
              <w:t>1190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Pr>
                <w:rStyle w:val="InstructionsTabelleberschrift"/>
                <w:szCs w:val="17"/>
                <w:lang w:eastAsia="de-DE"/>
              </w:rPr>
              <w:t xml:space="preserve">1.3.6 </w:t>
            </w:r>
            <w:r w:rsidRPr="005423BD">
              <w:rPr>
                <w:rStyle w:val="InstructionsTabelleberschrift"/>
                <w:szCs w:val="17"/>
                <w:lang w:eastAsia="de-DE"/>
              </w:rPr>
              <w:t>corresponding to collateral that is due to be returned to a counterparty</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szCs w:val="17"/>
                <w:u w:val="none"/>
                <w:lang w:eastAsia="de-DE"/>
              </w:rPr>
            </w:pPr>
            <w:r>
              <w:rPr>
                <w:rStyle w:val="InstructionsTabelleberschrift"/>
                <w:b w:val="0"/>
                <w:szCs w:val="17"/>
                <w:u w:val="none"/>
                <w:lang w:eastAsia="de-DE"/>
              </w:rPr>
              <w:t>Article 423(5)(b)</w:t>
            </w:r>
            <w:r w:rsidRPr="005423BD">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Default="004B41AE" w:rsidP="00BC43F3">
            <w:pPr>
              <w:spacing w:before="0" w:after="0"/>
              <w:rPr>
                <w:rStyle w:val="InstructionsTabelleberschrift"/>
                <w:b w:val="0"/>
                <w:szCs w:val="17"/>
                <w:u w:val="none"/>
                <w:lang w:eastAsia="de-DE"/>
              </w:rPr>
            </w:pPr>
          </w:p>
          <w:p w:rsidR="004B41AE"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outflows corresponding</w:t>
            </w:r>
            <w:r>
              <w:rPr>
                <w:rStyle w:val="InstructionsTabelleberschrift"/>
                <w:b w:val="0"/>
                <w:szCs w:val="17"/>
                <w:u w:val="none"/>
                <w:lang w:eastAsia="de-DE"/>
              </w:rPr>
              <w:t xml:space="preserve"> to </w:t>
            </w:r>
            <w:r w:rsidRPr="005423BD">
              <w:rPr>
                <w:rStyle w:val="InstructionsTabelleberschrift"/>
                <w:b w:val="0"/>
                <w:szCs w:val="17"/>
                <w:u w:val="none"/>
                <w:lang w:eastAsia="de-DE"/>
              </w:rPr>
              <w:t>collateral that is due to be returned to a counterparty</w:t>
            </w:r>
          </w:p>
          <w:p w:rsidR="004B41AE" w:rsidRDefault="004B41AE" w:rsidP="00BC43F3">
            <w:pPr>
              <w:spacing w:before="0" w:after="0"/>
              <w:rPr>
                <w:rStyle w:val="InstructionsTabelleberschrift"/>
                <w:szCs w:val="17"/>
                <w:lang w:eastAsia="de-DE"/>
              </w:rPr>
            </w:pPr>
          </w:p>
        </w:tc>
      </w:tr>
      <w:tr w:rsidR="004B41AE" w:rsidTr="00BC43F3">
        <w:trPr>
          <w:trHeight w:val="1608"/>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6669BA" w:rsidRDefault="00554A91" w:rsidP="00BC43F3">
            <w:pPr>
              <w:spacing w:before="0" w:after="0"/>
              <w:rPr>
                <w:rStyle w:val="InstructionsTabelleberschrift"/>
                <w:szCs w:val="17"/>
                <w:lang w:eastAsia="de-DE"/>
              </w:rPr>
            </w:pPr>
            <w:r>
              <w:rPr>
                <w:rStyle w:val="InstructionsTabelleberschrift"/>
                <w:szCs w:val="17"/>
                <w:lang w:eastAsia="de-DE"/>
              </w:rPr>
              <w:t>1200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Pr>
                <w:rStyle w:val="InstructionsTabelleberschrift"/>
                <w:szCs w:val="17"/>
                <w:lang w:eastAsia="de-DE"/>
              </w:rPr>
              <w:t xml:space="preserve">1.3.7 </w:t>
            </w:r>
            <w:proofErr w:type="gramStart"/>
            <w:r w:rsidRPr="005423BD">
              <w:rPr>
                <w:rStyle w:val="InstructionsTabelleberschrift"/>
                <w:szCs w:val="17"/>
                <w:lang w:eastAsia="de-DE"/>
              </w:rPr>
              <w:t>corresponding</w:t>
            </w:r>
            <w:proofErr w:type="gramEnd"/>
            <w:r w:rsidRPr="005423BD">
              <w:rPr>
                <w:rStyle w:val="InstructionsTabelleberschrift"/>
                <w:szCs w:val="17"/>
                <w:lang w:eastAsia="de-DE"/>
              </w:rPr>
              <w:t xml:space="preserve"> to collateral that corresponds to assets that would qualify as liquid assets for the purposes of Article 416 that can be substituted for assets corresponding to assets that would not qualify as liquid assets for the purposes of Article 416 without the consent of the credit institution.</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szCs w:val="17"/>
                <w:u w:val="none"/>
                <w:lang w:eastAsia="de-DE"/>
              </w:rPr>
            </w:pPr>
            <w:r>
              <w:rPr>
                <w:rStyle w:val="InstructionsTabelleberschrift"/>
                <w:b w:val="0"/>
                <w:szCs w:val="17"/>
                <w:u w:val="none"/>
                <w:lang w:eastAsia="de-DE"/>
              </w:rPr>
              <w:t>Article 423(5)(c)</w:t>
            </w:r>
            <w:r w:rsidRPr="005423BD">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Default="004B41AE" w:rsidP="00BC43F3">
            <w:pPr>
              <w:spacing w:before="0" w:after="0"/>
              <w:rPr>
                <w:rStyle w:val="InstructionsTabelleberschrift"/>
                <w:b w:val="0"/>
                <w:szCs w:val="17"/>
                <w:u w:val="none"/>
                <w:lang w:eastAsia="de-DE"/>
              </w:rPr>
            </w:pPr>
          </w:p>
          <w:p w:rsidR="004B41AE"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outflows corresponding</w:t>
            </w:r>
            <w:r>
              <w:rPr>
                <w:rStyle w:val="InstructionsTabelleberschrift"/>
                <w:b w:val="0"/>
                <w:szCs w:val="17"/>
                <w:u w:val="none"/>
                <w:lang w:eastAsia="de-DE"/>
              </w:rPr>
              <w:t xml:space="preserve"> to </w:t>
            </w:r>
            <w:r w:rsidRPr="005423BD">
              <w:rPr>
                <w:rStyle w:val="InstructionsTabelleberschrift"/>
                <w:b w:val="0"/>
                <w:szCs w:val="17"/>
                <w:u w:val="none"/>
                <w:lang w:eastAsia="de-DE"/>
              </w:rPr>
              <w:t>collateral that corresponds to assets that would qualify as liquid assets for the purposes of Article 416 that can be substituted for assets corresponding to assets that would not qualify as liquid assets for the purposes of Article 416 without the consent of the credit institution.</w:t>
            </w:r>
          </w:p>
          <w:p w:rsidR="004B41AE" w:rsidRDefault="004B41AE" w:rsidP="00BC43F3">
            <w:pPr>
              <w:spacing w:before="0" w:after="0"/>
              <w:rPr>
                <w:rStyle w:val="InstructionsTabelleberschrift"/>
                <w:szCs w:val="17"/>
                <w:lang w:eastAsia="de-DE"/>
              </w:rPr>
            </w:pPr>
          </w:p>
        </w:tc>
      </w:tr>
      <w:tr w:rsidR="004B41AE" w:rsidTr="00BC43F3">
        <w:trPr>
          <w:trHeight w:val="1608"/>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6669BA" w:rsidRDefault="00554A91" w:rsidP="00BC43F3">
            <w:pPr>
              <w:spacing w:before="0" w:after="0"/>
              <w:rPr>
                <w:rStyle w:val="InstructionsTabelleberschrift"/>
                <w:szCs w:val="17"/>
                <w:lang w:eastAsia="de-DE"/>
              </w:rPr>
            </w:pPr>
            <w:r>
              <w:rPr>
                <w:rStyle w:val="InstructionsTabelleberschrift"/>
                <w:szCs w:val="17"/>
                <w:lang w:eastAsia="de-DE"/>
              </w:rPr>
              <w:t>1210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Pr>
                <w:rStyle w:val="InstructionsTabelleberschrift"/>
                <w:szCs w:val="17"/>
                <w:lang w:eastAsia="de-DE"/>
              </w:rPr>
              <w:t xml:space="preserve">1.3.8 </w:t>
            </w:r>
            <w:r w:rsidRPr="005423BD">
              <w:rPr>
                <w:rStyle w:val="InstructionsTabelleberschrift"/>
                <w:szCs w:val="17"/>
                <w:lang w:eastAsia="de-DE"/>
              </w:rPr>
              <w:t>deposits received as collateral</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szCs w:val="17"/>
                <w:u w:val="none"/>
                <w:lang w:eastAsia="de-DE"/>
              </w:rPr>
            </w:pPr>
            <w:r>
              <w:rPr>
                <w:rStyle w:val="InstructionsTabelleberschrift"/>
                <w:b w:val="0"/>
                <w:szCs w:val="17"/>
                <w:u w:val="none"/>
                <w:lang w:eastAsia="de-DE"/>
              </w:rPr>
              <w:t>Article 423(6)</w:t>
            </w:r>
            <w:r w:rsidRPr="005423BD">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Default="004B41AE" w:rsidP="00BC43F3">
            <w:pPr>
              <w:spacing w:before="0" w:after="0"/>
              <w:rPr>
                <w:rStyle w:val="InstructionsTabelleberschrift"/>
                <w:b w:val="0"/>
                <w:szCs w:val="17"/>
                <w:u w:val="none"/>
                <w:lang w:eastAsia="de-DE"/>
              </w:rPr>
            </w:pPr>
          </w:p>
          <w:p w:rsidR="004B41AE"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Total amount of outflows corresponding</w:t>
            </w:r>
            <w:r>
              <w:rPr>
                <w:rStyle w:val="InstructionsTabelleberschrift"/>
                <w:b w:val="0"/>
                <w:szCs w:val="17"/>
                <w:u w:val="none"/>
                <w:lang w:eastAsia="de-DE"/>
              </w:rPr>
              <w:t xml:space="preserve"> to </w:t>
            </w:r>
            <w:r w:rsidRPr="005423BD">
              <w:rPr>
                <w:rStyle w:val="InstructionsTabelleberschrift"/>
                <w:b w:val="0"/>
                <w:szCs w:val="17"/>
                <w:u w:val="none"/>
                <w:lang w:eastAsia="de-DE"/>
              </w:rPr>
              <w:t>deposits received as collateral</w:t>
            </w:r>
          </w:p>
          <w:p w:rsidR="004B41AE"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EB224D" w:rsidRDefault="00554A91" w:rsidP="00BC43F3">
            <w:pPr>
              <w:jc w:val="left"/>
              <w:rPr>
                <w:rFonts w:cs="Arial"/>
                <w:szCs w:val="20"/>
              </w:rPr>
            </w:pPr>
            <w:r>
              <w:rPr>
                <w:rFonts w:cs="Arial"/>
                <w:szCs w:val="20"/>
              </w:rPr>
              <w:t>1220-1370</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4B41AE" w:rsidRPr="008E3A85" w:rsidRDefault="004B41AE" w:rsidP="00BC43F3">
            <w:pPr>
              <w:spacing w:before="0" w:after="0"/>
              <w:rPr>
                <w:rStyle w:val="InstructionsTabelleberschrift"/>
                <w:bCs w:val="0"/>
                <w:szCs w:val="17"/>
                <w:lang w:eastAsia="de-DE"/>
              </w:rPr>
            </w:pPr>
            <w:r w:rsidRPr="008E3A85">
              <w:rPr>
                <w:rStyle w:val="InstructionsTabelleberschrift"/>
                <w:bCs w:val="0"/>
                <w:szCs w:val="17"/>
                <w:lang w:eastAsia="de-DE"/>
              </w:rPr>
              <w:t>1.4 Outflows from credit and liquidity facilities</w:t>
            </w:r>
          </w:p>
          <w:p w:rsidR="004B41AE" w:rsidRPr="008E3A85" w:rsidRDefault="004B41AE" w:rsidP="00BC43F3">
            <w:pPr>
              <w:spacing w:before="0" w:after="0"/>
              <w:rPr>
                <w:rStyle w:val="InstructionsTabelleberschrift"/>
                <w:bCs w:val="0"/>
                <w:szCs w:val="17"/>
                <w:lang w:eastAsia="de-DE"/>
              </w:rPr>
            </w:pPr>
          </w:p>
          <w:p w:rsidR="004B41AE" w:rsidRPr="008E3A85" w:rsidRDefault="004B41AE" w:rsidP="00BC43F3">
            <w:pPr>
              <w:autoSpaceDE w:val="0"/>
              <w:autoSpaceDN w:val="0"/>
              <w:adjustRightInd w:val="0"/>
              <w:spacing w:before="0" w:after="0"/>
              <w:rPr>
                <w:rStyle w:val="InstructionsTabelleberschrift"/>
                <w:b w:val="0"/>
                <w:u w:val="none"/>
              </w:rPr>
            </w:pPr>
            <w:r w:rsidRPr="008E3A85">
              <w:rPr>
                <w:rStyle w:val="InstructionsTabelleberschrift"/>
                <w:b w:val="0"/>
                <w:u w:val="none"/>
              </w:rPr>
              <w:t xml:space="preserve">Total maximum amount that could be drawn from undrawn credit and </w:t>
            </w:r>
            <w:r w:rsidRPr="008E3A85">
              <w:rPr>
                <w:rStyle w:val="InstructionsTabelleberschrift"/>
                <w:b w:val="0"/>
                <w:u w:val="none"/>
              </w:rPr>
              <w:lastRenderedPageBreak/>
              <w:t xml:space="preserve">liquidity facilities, </w:t>
            </w:r>
            <w:r>
              <w:rPr>
                <w:rStyle w:val="InstructionsTabelleberschrift"/>
                <w:b w:val="0"/>
                <w:u w:val="none"/>
              </w:rPr>
              <w:t>shall</w:t>
            </w:r>
            <w:r w:rsidRPr="008E3A85">
              <w:rPr>
                <w:rStyle w:val="InstructionsTabelleberschrift"/>
                <w:b w:val="0"/>
                <w:u w:val="none"/>
              </w:rPr>
              <w:t xml:space="preserve"> be reported in the following subcategories as follows:</w:t>
            </w:r>
          </w:p>
          <w:p w:rsidR="004B41AE" w:rsidRPr="008E3A85" w:rsidRDefault="004B41AE" w:rsidP="00BC43F3">
            <w:pPr>
              <w:autoSpaceDE w:val="0"/>
              <w:autoSpaceDN w:val="0"/>
              <w:adjustRightInd w:val="0"/>
              <w:spacing w:before="0" w:after="0"/>
              <w:rPr>
                <w:rStyle w:val="InstructionsTabelleberschrift"/>
                <w:b w:val="0"/>
                <w:u w:val="none"/>
              </w:rPr>
            </w:pPr>
          </w:p>
          <w:p w:rsidR="004B41AE" w:rsidRPr="008E3A85" w:rsidRDefault="004B41AE" w:rsidP="00BC43F3">
            <w:pPr>
              <w:autoSpaceDE w:val="0"/>
              <w:autoSpaceDN w:val="0"/>
              <w:adjustRightInd w:val="0"/>
              <w:spacing w:before="0" w:after="0"/>
              <w:rPr>
                <w:rStyle w:val="InstructionsTabelleberschrift"/>
                <w:b w:val="0"/>
                <w:u w:val="none"/>
              </w:rPr>
            </w:pPr>
            <w:r w:rsidRPr="008E3A85">
              <w:rPr>
                <w:rStyle w:val="InstructionsTabelleberschrift"/>
                <w:b w:val="0"/>
                <w:u w:val="none"/>
              </w:rPr>
              <w:t>[Note: This maximum amount that can be drawn may be assessed net of the value according to Article 4</w:t>
            </w:r>
            <w:r>
              <w:rPr>
                <w:rStyle w:val="InstructionsTabelleberschrift"/>
                <w:b w:val="0"/>
                <w:u w:val="none"/>
              </w:rPr>
              <w:t>18</w:t>
            </w:r>
            <w:r w:rsidRPr="008E3A85">
              <w:rPr>
                <w:rStyle w:val="InstructionsTabelleberschrift"/>
                <w:b w:val="0"/>
                <w:u w:val="none"/>
              </w:rPr>
              <w:t xml:space="preserve"> of collateral to be provided if the institution can reuse the collateral and if the collateral in the form of liquid assets in accordance with Article </w:t>
            </w:r>
            <w:r>
              <w:rPr>
                <w:rStyle w:val="InstructionsTabelleberschrift"/>
                <w:b w:val="0"/>
                <w:u w:val="none"/>
              </w:rPr>
              <w:t>416</w:t>
            </w:r>
            <w:r w:rsidRPr="008E3A85">
              <w:rPr>
                <w:rStyle w:val="InstructionsTabelleberschrift"/>
                <w:b w:val="0"/>
                <w:u w:val="none"/>
              </w:rPr>
              <w:t>. The collateral to be provided may not be assets issued by the counterparty of the facility or one of its affiliated entities. If the necessary information is available to the institution, the maximum amount that can be drawn for credit and liquidity facilities provided to SSPEs shall be determined as the maximum amount that could be drawn given an SSPEs own obligations coming due over the next 30 days.]</w:t>
            </w:r>
          </w:p>
          <w:p w:rsidR="004B41AE" w:rsidRPr="008E3A85" w:rsidRDefault="004B41AE" w:rsidP="00BC43F3">
            <w:pPr>
              <w:spacing w:before="0" w:after="0"/>
              <w:rPr>
                <w:rStyle w:val="InstructionsTabelleberschrift"/>
                <w:bCs w:val="0"/>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554A91" w:rsidP="00BC43F3">
            <w:pPr>
              <w:jc w:val="left"/>
              <w:rPr>
                <w:rFonts w:cs="Arial"/>
                <w:szCs w:val="20"/>
              </w:rPr>
            </w:pPr>
            <w:r>
              <w:rPr>
                <w:rFonts w:cs="Arial"/>
                <w:szCs w:val="20"/>
              </w:rPr>
              <w:lastRenderedPageBreak/>
              <w:t>1220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 xml:space="preserve">1.4.1 </w:t>
            </w:r>
            <w:r w:rsidR="00D322F6" w:rsidRPr="00D322F6">
              <w:rPr>
                <w:rStyle w:val="InstructionsTabelleberschrift"/>
                <w:szCs w:val="17"/>
                <w:lang w:eastAsia="de-DE"/>
              </w:rPr>
              <w:t>maximum amount that can be drawn of undrawn committed credit  facilities and  undrawn committed liquidity facilities for retail clients</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24(2)</w:t>
            </w:r>
            <w:r w:rsidRPr="008E3A85">
              <w:rPr>
                <w:rStyle w:val="InstructionsTabelleberschrift"/>
                <w:b w:val="0"/>
                <w:szCs w:val="17"/>
                <w:u w:val="none"/>
                <w:lang w:eastAsia="de-DE"/>
              </w:rPr>
              <w:t xml:space="preserve">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autoSpaceDE w:val="0"/>
              <w:autoSpaceDN w:val="0"/>
              <w:adjustRightInd w:val="0"/>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 xml:space="preserve">Total maximum amount that could result from undrawn </w:t>
            </w:r>
            <w:r w:rsidR="00D322F6">
              <w:rPr>
                <w:rStyle w:val="InstructionsTabelleberschrift"/>
                <w:b w:val="0"/>
                <w:bCs w:val="0"/>
                <w:szCs w:val="17"/>
                <w:u w:val="none"/>
                <w:lang w:eastAsia="de-DE"/>
              </w:rPr>
              <w:t xml:space="preserve">committed </w:t>
            </w:r>
            <w:r w:rsidRPr="008E3A85">
              <w:rPr>
                <w:rStyle w:val="InstructionsTabelleberschrift"/>
                <w:b w:val="0"/>
                <w:bCs w:val="0"/>
                <w:szCs w:val="17"/>
                <w:u w:val="none"/>
                <w:lang w:eastAsia="de-DE"/>
              </w:rPr>
              <w:t xml:space="preserve">credit and </w:t>
            </w:r>
            <w:r w:rsidR="00D322F6" w:rsidRPr="00D322F6">
              <w:rPr>
                <w:rStyle w:val="InstructionsTabelleberschrift"/>
                <w:szCs w:val="17"/>
                <w:lang w:eastAsia="de-DE"/>
              </w:rPr>
              <w:t xml:space="preserve">undrawn committed </w:t>
            </w:r>
            <w:r w:rsidRPr="008E3A85">
              <w:rPr>
                <w:rStyle w:val="InstructionsTabelleberschrift"/>
                <w:b w:val="0"/>
                <w:bCs w:val="0"/>
                <w:szCs w:val="17"/>
                <w:u w:val="none"/>
                <w:lang w:eastAsia="de-DE"/>
              </w:rPr>
              <w:t xml:space="preserve">liquidity facilities for retail clients </w:t>
            </w:r>
            <w:r w:rsidRPr="008E3A85">
              <w:rPr>
                <w:rStyle w:val="InstructionsTabelleberschrift"/>
                <w:b w:val="0"/>
                <w:szCs w:val="17"/>
                <w:u w:val="none"/>
                <w:lang w:eastAsia="de-DE"/>
              </w:rPr>
              <w:t>if they qualify for the retail exposure class under the Standardised or IRB approaches for credit risk</w:t>
            </w:r>
            <w:r w:rsidRPr="008E3A85">
              <w:rPr>
                <w:rStyle w:val="InstructionsTabelleberschrift"/>
                <w:b w:val="0"/>
                <w:bCs w:val="0"/>
                <w:szCs w:val="17"/>
                <w:u w:val="none"/>
                <w:lang w:eastAsia="de-DE"/>
              </w:rPr>
              <w:t>.</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554A91" w:rsidP="00BC43F3">
            <w:pPr>
              <w:jc w:val="left"/>
              <w:rPr>
                <w:rFonts w:cs="Arial"/>
                <w:szCs w:val="20"/>
              </w:rPr>
            </w:pPr>
            <w:r>
              <w:rPr>
                <w:rFonts w:cs="Arial"/>
                <w:szCs w:val="20"/>
              </w:rPr>
              <w:t>1230-1240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 xml:space="preserve">1.4.2 </w:t>
            </w:r>
            <w:r w:rsidR="00650032" w:rsidRPr="00650032">
              <w:rPr>
                <w:rStyle w:val="InstructionsTabelleberschrift"/>
                <w:szCs w:val="17"/>
                <w:lang w:eastAsia="de-DE"/>
              </w:rPr>
              <w:t>maximum amount that can be drawn of undrawn committed credit facilities and undrawn committed liquidity facilities for clients other than retail and financial customers</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24(</w:t>
            </w:r>
            <w:r w:rsidRPr="008E3A85">
              <w:rPr>
                <w:rStyle w:val="InstructionsTabelleberschrift"/>
                <w:b w:val="0"/>
                <w:szCs w:val="17"/>
                <w:u w:val="none"/>
                <w:lang w:eastAsia="de-DE"/>
              </w:rPr>
              <w:t>3</w:t>
            </w:r>
            <w:r>
              <w:rPr>
                <w:rStyle w:val="InstructionsTabelleberschrift"/>
                <w:b w:val="0"/>
                <w:szCs w:val="17"/>
                <w:u w:val="none"/>
                <w:lang w:eastAsia="de-DE"/>
              </w:rPr>
              <w:t>)</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u w:val="none"/>
                <w:lang w:eastAsia="de-DE"/>
              </w:rPr>
            </w:pPr>
            <w:r w:rsidRPr="008E3A85">
              <w:rPr>
                <w:rStyle w:val="InstructionsTabelleberschrift"/>
                <w:b w:val="0"/>
                <w:bCs w:val="0"/>
                <w:szCs w:val="17"/>
                <w:u w:val="none"/>
                <w:lang w:eastAsia="de-DE"/>
              </w:rPr>
              <w:t xml:space="preserve">Total maximum amount that could result from undrawn </w:t>
            </w:r>
            <w:r w:rsidR="00650032">
              <w:rPr>
                <w:rStyle w:val="InstructionsTabelleberschrift"/>
                <w:b w:val="0"/>
                <w:bCs w:val="0"/>
                <w:szCs w:val="17"/>
                <w:u w:val="none"/>
                <w:lang w:eastAsia="de-DE"/>
              </w:rPr>
              <w:t xml:space="preserve">committed </w:t>
            </w:r>
            <w:r w:rsidRPr="008E3A85">
              <w:rPr>
                <w:rStyle w:val="InstructionsTabelleberschrift"/>
                <w:b w:val="0"/>
                <w:bCs w:val="0"/>
                <w:szCs w:val="17"/>
                <w:u w:val="none"/>
                <w:lang w:eastAsia="de-DE"/>
              </w:rPr>
              <w:t xml:space="preserve">credit and </w:t>
            </w:r>
            <w:r w:rsidR="00650032" w:rsidRPr="00650032">
              <w:rPr>
                <w:rStyle w:val="InstructionsTabelleberschrift"/>
                <w:szCs w:val="17"/>
                <w:lang w:eastAsia="de-DE"/>
              </w:rPr>
              <w:t xml:space="preserve">undrawn committed </w:t>
            </w:r>
            <w:r w:rsidRPr="008E3A85">
              <w:rPr>
                <w:rStyle w:val="InstructionsTabelleberschrift"/>
                <w:b w:val="0"/>
                <w:bCs w:val="0"/>
                <w:szCs w:val="17"/>
                <w:u w:val="none"/>
                <w:lang w:eastAsia="de-DE"/>
              </w:rPr>
              <w:t xml:space="preserve">liquidity facilities for clients other than retail and financial customers, </w:t>
            </w:r>
            <w:r w:rsidRPr="008E3A85">
              <w:rPr>
                <w:rStyle w:val="InstructionsTabelleberschrift"/>
                <w:b w:val="0"/>
                <w:szCs w:val="17"/>
                <w:u w:val="none"/>
                <w:lang w:eastAsia="de-DE"/>
              </w:rPr>
              <w:t>where they meet the following conditions:</w:t>
            </w:r>
          </w:p>
          <w:p w:rsidR="004B41AE" w:rsidRPr="008E3A85" w:rsidRDefault="004B41AE" w:rsidP="00BC43F3">
            <w:p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(a) they do not qualify for the retail exposure class under the Standardised or IRB approaches for credit risk;</w:t>
            </w:r>
          </w:p>
          <w:p w:rsidR="004B41AE" w:rsidRPr="008E3A85" w:rsidRDefault="004B41AE" w:rsidP="00BC43F3">
            <w:pPr>
              <w:autoSpaceDE w:val="0"/>
              <w:autoSpaceDN w:val="0"/>
              <w:adjustRightInd w:val="0"/>
              <w:spacing w:before="0" w:after="0"/>
              <w:rPr>
                <w:rStyle w:val="InstructionsTabelleberschrift"/>
                <w:b w:val="0"/>
                <w:szCs w:val="17"/>
                <w:u w:val="none"/>
                <w:lang w:eastAsia="de-DE"/>
              </w:rPr>
            </w:pPr>
            <w:r w:rsidRPr="008E3A85">
              <w:rPr>
                <w:rStyle w:val="InstructionsTabelleberschrift"/>
                <w:b w:val="0"/>
                <w:szCs w:val="17"/>
                <w:u w:val="none"/>
                <w:lang w:eastAsia="de-DE"/>
              </w:rPr>
              <w:t>(b) they have been provided to clients that are not financial customers;</w:t>
            </w:r>
          </w:p>
          <w:p w:rsidR="004B41AE"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 xml:space="preserve">(c) they have not been provided for the purpose of replacing funding </w:t>
            </w:r>
          </w:p>
          <w:p w:rsidR="004B41AE"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of the client in situations where he is unable to obtain its funding requirements in the financial markets.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554A91" w:rsidP="00BC43F3">
            <w:pPr>
              <w:jc w:val="left"/>
              <w:rPr>
                <w:rFonts w:cs="Arial"/>
                <w:szCs w:val="20"/>
              </w:rPr>
            </w:pPr>
            <w:r>
              <w:rPr>
                <w:rFonts w:cs="Arial"/>
                <w:szCs w:val="20"/>
              </w:rPr>
              <w:t>1230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8E3A85">
              <w:rPr>
                <w:rStyle w:val="InstructionsTabelleberschrift"/>
                <w:szCs w:val="17"/>
                <w:lang w:eastAsia="de-DE"/>
              </w:rPr>
              <w:t>1.4.2</w:t>
            </w:r>
            <w:r w:rsidR="00607C41">
              <w:rPr>
                <w:rStyle w:val="InstructionsTabelleberschrift"/>
                <w:szCs w:val="17"/>
                <w:lang w:eastAsia="de-DE"/>
              </w:rPr>
              <w:t>.1</w:t>
            </w:r>
            <w:r>
              <w:rPr>
                <w:rStyle w:val="InstructionsTabelleberschrift"/>
                <w:szCs w:val="17"/>
                <w:lang w:eastAsia="de-DE"/>
              </w:rPr>
              <w:t xml:space="preserve"> – undrawn committed credit facilities</w:t>
            </w:r>
          </w:p>
          <w:p w:rsidR="004B41AE" w:rsidRPr="00914E52" w:rsidRDefault="004B41AE" w:rsidP="00BC43F3">
            <w:pPr>
              <w:spacing w:before="0" w:after="0"/>
              <w:rPr>
                <w:rStyle w:val="InstructionsTabelleberschrift"/>
                <w:b w:val="0"/>
                <w:szCs w:val="17"/>
                <w:u w:val="none"/>
                <w:lang w:eastAsia="de-DE"/>
              </w:rPr>
            </w:pPr>
            <w:r w:rsidRPr="00697783">
              <w:rPr>
                <w:rStyle w:val="InstructionsTabelleberschrift"/>
                <w:b w:val="0"/>
                <w:szCs w:val="17"/>
                <w:u w:val="none"/>
                <w:lang w:eastAsia="de-DE"/>
              </w:rPr>
              <w:t>Total amount of 1.4.2 that constitute undrawn committed credit facilities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t>1240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8E3A85">
              <w:rPr>
                <w:rStyle w:val="InstructionsTabelleberschrift"/>
                <w:szCs w:val="17"/>
                <w:lang w:eastAsia="de-DE"/>
              </w:rPr>
              <w:t>1.4.2</w:t>
            </w:r>
            <w:r w:rsidR="00607C41">
              <w:rPr>
                <w:rStyle w:val="InstructionsTabelleberschrift"/>
                <w:szCs w:val="17"/>
                <w:lang w:eastAsia="de-DE"/>
              </w:rPr>
              <w:t>.2</w:t>
            </w:r>
            <w:r>
              <w:rPr>
                <w:rStyle w:val="InstructionsTabelleberschrift"/>
                <w:szCs w:val="17"/>
                <w:lang w:eastAsia="de-DE"/>
              </w:rPr>
              <w:t xml:space="preserve"> – undrawn committed liquidity facilities</w:t>
            </w:r>
          </w:p>
          <w:p w:rsidR="004B41AE" w:rsidRPr="00914E52" w:rsidRDefault="004B41AE" w:rsidP="00BC43F3">
            <w:pPr>
              <w:spacing w:before="0" w:after="0"/>
              <w:rPr>
                <w:rStyle w:val="InstructionsTabelleberschrift"/>
                <w:b w:val="0"/>
                <w:szCs w:val="17"/>
                <w:u w:val="none"/>
                <w:lang w:eastAsia="de-DE"/>
              </w:rPr>
            </w:pPr>
            <w:r w:rsidRPr="00697783">
              <w:rPr>
                <w:rStyle w:val="InstructionsTabelleberschrift"/>
                <w:b w:val="0"/>
                <w:szCs w:val="17"/>
                <w:u w:val="none"/>
                <w:lang w:eastAsia="de-DE"/>
              </w:rPr>
              <w:t>Total amount of 1.4.2 that constitute undrawn committed liquidity facilities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t>1250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 xml:space="preserve">1.4.3 </w:t>
            </w:r>
            <w:r w:rsidR="00650032" w:rsidRPr="00650032">
              <w:rPr>
                <w:rStyle w:val="InstructionsTabelleberschrift"/>
                <w:szCs w:val="17"/>
                <w:lang w:eastAsia="de-DE"/>
              </w:rPr>
              <w:t xml:space="preserve">maximum amount that can be drawn of undrawn liquidity facilities that has been provided to an SSPE for the purpose of enabling such SSPE to purchase assets other than securities from clients that are not financial customers that exceeds the amount of assets currently purchased from clients and where the maximum amount that can be drawn is contractually </w:t>
            </w:r>
            <w:r w:rsidR="00650032" w:rsidRPr="00650032">
              <w:rPr>
                <w:rStyle w:val="InstructionsTabelleberschrift"/>
                <w:szCs w:val="17"/>
                <w:lang w:eastAsia="de-DE"/>
              </w:rPr>
              <w:lastRenderedPageBreak/>
              <w:t>limited to the amount of assets currently purchased</w:t>
            </w:r>
            <w:r w:rsidR="00650032" w:rsidRPr="00650032" w:rsidDel="00650032">
              <w:rPr>
                <w:rStyle w:val="InstructionsTabelleberschrift"/>
                <w:szCs w:val="17"/>
                <w:lang w:eastAsia="de-DE"/>
              </w:rPr>
              <w:t xml:space="preserve"> </w:t>
            </w: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24(</w:t>
            </w:r>
            <w:r w:rsidRPr="008E3A85">
              <w:rPr>
                <w:rStyle w:val="InstructionsTabelleberschrift"/>
                <w:b w:val="0"/>
                <w:szCs w:val="17"/>
                <w:u w:val="none"/>
                <w:lang w:eastAsia="de-DE"/>
              </w:rPr>
              <w:t>4</w:t>
            </w:r>
            <w:r>
              <w:rPr>
                <w:rStyle w:val="InstructionsTabelleberschrift"/>
                <w:b w:val="0"/>
                <w:szCs w:val="17"/>
                <w:u w:val="none"/>
                <w:lang w:eastAsia="de-DE"/>
              </w:rPr>
              <w:t>)</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bCs w:val="0"/>
                <w:szCs w:val="17"/>
                <w:u w:val="none"/>
                <w:lang w:eastAsia="de-DE"/>
              </w:rPr>
            </w:pPr>
          </w:p>
          <w:p w:rsidR="004B41AE" w:rsidRPr="008E3A85" w:rsidRDefault="004B41AE" w:rsidP="00BC43F3">
            <w:pPr>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Total maximum amount that could result from undrawn liquidity facilities that has been provided to an SSPE for the purpose of enabling such SSPE to purchase assets other than securities from clients that are not financial customers.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lastRenderedPageBreak/>
              <w:t>1260-1270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 xml:space="preserve">1.4.4 </w:t>
            </w:r>
            <w:r w:rsidR="00650032" w:rsidRPr="00650032">
              <w:rPr>
                <w:rStyle w:val="InstructionsTabelleberschrift"/>
                <w:szCs w:val="17"/>
                <w:lang w:eastAsia="de-DE"/>
              </w:rPr>
              <w:t>maximum amount that can be drawn of other undrawn committed credit faciltiies and undrawn committed liquidity facilities not reported in 1.4.1, 1.4.2 or 1.4.3</w:t>
            </w:r>
            <w:r w:rsidR="00650032" w:rsidRPr="00650032" w:rsidDel="00650032">
              <w:rPr>
                <w:rStyle w:val="InstructionsTabelleberschrift"/>
                <w:szCs w:val="17"/>
                <w:lang w:eastAsia="de-DE"/>
              </w:rPr>
              <w:t xml:space="preserve"> </w:t>
            </w: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24(5)</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b w:val="0"/>
                <w:szCs w:val="17"/>
                <w:u w:val="none"/>
                <w:lang w:eastAsia="de-DE"/>
              </w:rPr>
            </w:pPr>
          </w:p>
          <w:p w:rsidR="004B41AE" w:rsidRPr="008E3A85" w:rsidRDefault="004B41AE" w:rsidP="00BC43F3">
            <w:pPr>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Total maximum amount that could result from undrawn credit and liquidity facilities to customers other than that reported in 1.4.1, 1.4.2 or 1.4.3. This includes:</w:t>
            </w:r>
          </w:p>
          <w:p w:rsidR="004B41AE" w:rsidRPr="008E3A85" w:rsidRDefault="004B41AE" w:rsidP="00BC43F3">
            <w:pPr>
              <w:autoSpaceDE w:val="0"/>
              <w:autoSpaceDN w:val="0"/>
              <w:adjustRightInd w:val="0"/>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(a) liquidity facilities that the institution has granted to SSPEs;</w:t>
            </w:r>
          </w:p>
          <w:p w:rsidR="004B41AE" w:rsidRPr="008E3A85" w:rsidRDefault="004B41AE" w:rsidP="00BC43F3">
            <w:pPr>
              <w:autoSpaceDE w:val="0"/>
              <w:autoSpaceDN w:val="0"/>
              <w:adjustRightInd w:val="0"/>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(b) arrangements under which the institution is required to buy or swap assets from an SSPE.</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t>1260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925823">
              <w:rPr>
                <w:rStyle w:val="InstructionsTabelleberschrift"/>
                <w:szCs w:val="17"/>
                <w:lang w:eastAsia="de-DE"/>
              </w:rPr>
              <w:t>1.4.4.1</w:t>
            </w:r>
            <w:r w:rsidRPr="00697783">
              <w:rPr>
                <w:rStyle w:val="InstructionsTabelleberschrift"/>
                <w:szCs w:val="17"/>
                <w:lang w:eastAsia="de-DE"/>
              </w:rPr>
              <w:t xml:space="preserve"> </w:t>
            </w:r>
            <w:r w:rsidRPr="00925823">
              <w:rPr>
                <w:rStyle w:val="InstructionsTabelleberschrift"/>
                <w:szCs w:val="17"/>
                <w:lang w:eastAsia="de-DE"/>
              </w:rPr>
              <w:t>granted to SSPEs other than those in 1.4.3</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szCs w:val="17"/>
                <w:u w:val="none"/>
                <w:lang w:eastAsia="de-DE"/>
              </w:rPr>
            </w:pPr>
            <w:r w:rsidRPr="00697783">
              <w:rPr>
                <w:rStyle w:val="InstructionsTabelleberschrift"/>
                <w:b w:val="0"/>
                <w:szCs w:val="17"/>
                <w:u w:val="none"/>
                <w:lang w:eastAsia="de-DE"/>
              </w:rPr>
              <w:t>Article 424</w:t>
            </w:r>
            <w:r>
              <w:rPr>
                <w:rStyle w:val="InstructionsTabelleberschrift"/>
                <w:b w:val="0"/>
                <w:szCs w:val="17"/>
                <w:u w:val="none"/>
                <w:lang w:eastAsia="de-DE"/>
              </w:rPr>
              <w:t>(</w:t>
            </w:r>
            <w:r w:rsidRPr="00697783">
              <w:rPr>
                <w:rStyle w:val="InstructionsTabelleberschrift"/>
                <w:b w:val="0"/>
                <w:szCs w:val="17"/>
                <w:u w:val="none"/>
                <w:lang w:eastAsia="de-DE"/>
              </w:rPr>
              <w:t>5</w:t>
            </w:r>
            <w:r>
              <w:rPr>
                <w:rStyle w:val="InstructionsTabelleberschrift"/>
                <w:b w:val="0"/>
                <w:szCs w:val="17"/>
                <w:u w:val="none"/>
                <w:lang w:eastAsia="de-DE"/>
              </w:rPr>
              <w:t>)</w:t>
            </w:r>
            <w:r w:rsidRPr="00697783">
              <w:rPr>
                <w:rStyle w:val="InstructionsTabelleberschrift"/>
                <w:b w:val="0"/>
                <w:szCs w:val="17"/>
                <w:u w:val="none"/>
                <w:lang w:eastAsia="de-DE"/>
              </w:rPr>
              <w:t xml:space="preserve"> point (a) of </w:t>
            </w:r>
            <w:r w:rsidR="00AA6BC0">
              <w:rPr>
                <w:rStyle w:val="InstructionsTabelleberschrift"/>
                <w:b w:val="0"/>
                <w:szCs w:val="17"/>
                <w:u w:val="none"/>
                <w:lang w:eastAsia="de-DE"/>
              </w:rPr>
              <w:t>REGULATION (EU) NO 575/2013</w:t>
            </w:r>
            <w:r w:rsidRPr="00697783">
              <w:rPr>
                <w:rStyle w:val="InstructionsTabelleberschrift"/>
                <w:b w:val="0"/>
                <w:szCs w:val="17"/>
                <w:u w:val="none"/>
                <w:lang w:eastAsia="de-DE"/>
              </w:rPr>
              <w:t xml:space="preserve"> </w:t>
            </w:r>
          </w:p>
          <w:p w:rsidR="004B41AE" w:rsidRDefault="004B41AE" w:rsidP="00BC43F3">
            <w:pPr>
              <w:spacing w:before="0" w:after="0"/>
              <w:rPr>
                <w:rStyle w:val="InstructionsTabelleberschrift"/>
                <w:b w:val="0"/>
                <w:szCs w:val="17"/>
                <w:u w:val="none"/>
                <w:lang w:eastAsia="de-DE"/>
              </w:rPr>
            </w:pPr>
          </w:p>
          <w:p w:rsidR="004B41AE" w:rsidRPr="00914E52" w:rsidRDefault="004B41AE" w:rsidP="00BC43F3">
            <w:pPr>
              <w:spacing w:before="0" w:after="0"/>
              <w:rPr>
                <w:rStyle w:val="InstructionsTabelleberschrift"/>
                <w:b w:val="0"/>
                <w:szCs w:val="17"/>
                <w:u w:val="none"/>
                <w:lang w:eastAsia="de-DE"/>
              </w:rPr>
            </w:pPr>
            <w:r w:rsidRPr="00697783">
              <w:rPr>
                <w:rStyle w:val="InstructionsTabelleberschrift"/>
                <w:b w:val="0"/>
                <w:szCs w:val="17"/>
                <w:u w:val="none"/>
                <w:lang w:eastAsia="de-DE"/>
              </w:rPr>
              <w:t>Total amount of 1.4.4 that relates to items granted to SSPEs other</w:t>
            </w:r>
            <w:r>
              <w:rPr>
                <w:rStyle w:val="InstructionsTabelleberschrift"/>
                <w:b w:val="0"/>
                <w:szCs w:val="17"/>
                <w:u w:val="none"/>
                <w:lang w:eastAsia="de-DE"/>
              </w:rPr>
              <w:t xml:space="preserve"> than</w:t>
            </w:r>
            <w:r w:rsidRPr="00697783">
              <w:rPr>
                <w:rStyle w:val="InstructionsTabelleberschrift"/>
                <w:b w:val="0"/>
                <w:szCs w:val="17"/>
                <w:u w:val="none"/>
                <w:lang w:eastAsia="de-DE"/>
              </w:rPr>
              <w:t xml:space="preserve"> those in 1.4.3</w:t>
            </w:r>
          </w:p>
          <w:p w:rsidR="004B41AE" w:rsidRPr="008E3A85" w:rsidRDefault="004B41AE" w:rsidP="00BC43F3">
            <w:pPr>
              <w:spacing w:before="0" w:after="0"/>
              <w:rPr>
                <w:rStyle w:val="InstructionsTabelleberschrift"/>
                <w:szCs w:val="17"/>
                <w:lang w:eastAsia="de-DE"/>
              </w:rPr>
            </w:pPr>
          </w:p>
        </w:tc>
      </w:tr>
      <w:tr w:rsidR="004B41AE" w:rsidRPr="00925823"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t>1270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1.4.4.2 arrangements under which the institution is required to buy or swap assets from a</w:t>
            </w:r>
            <w:r>
              <w:rPr>
                <w:rStyle w:val="InstructionsTabelleberschrift"/>
                <w:szCs w:val="17"/>
                <w:lang w:eastAsia="de-DE"/>
              </w:rPr>
              <w:t>n SSPE</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bCs w:val="0"/>
                <w:szCs w:val="17"/>
                <w:u w:val="none"/>
                <w:lang w:eastAsia="de-DE"/>
              </w:rPr>
            </w:pPr>
            <w:r w:rsidRPr="00697783">
              <w:rPr>
                <w:rStyle w:val="InstructionsTabelleberschrift"/>
                <w:b w:val="0"/>
                <w:bCs w:val="0"/>
                <w:szCs w:val="17"/>
                <w:u w:val="none"/>
                <w:lang w:eastAsia="de-DE"/>
              </w:rPr>
              <w:t xml:space="preserve">Article 424.5 point (b) of </w:t>
            </w:r>
            <w:r w:rsidR="00AA6BC0">
              <w:rPr>
                <w:rStyle w:val="InstructionsTabelleberschrift"/>
                <w:b w:val="0"/>
                <w:bCs w:val="0"/>
                <w:szCs w:val="17"/>
                <w:u w:val="none"/>
                <w:lang w:eastAsia="de-DE"/>
              </w:rPr>
              <w:t>REGULATION (EU) NO 575/2013</w:t>
            </w:r>
            <w:r w:rsidRPr="00697783">
              <w:rPr>
                <w:rStyle w:val="InstructionsTabelleberschrift"/>
                <w:b w:val="0"/>
                <w:bCs w:val="0"/>
                <w:szCs w:val="17"/>
                <w:u w:val="none"/>
                <w:lang w:eastAsia="de-DE"/>
              </w:rPr>
              <w:t xml:space="preserve"> </w:t>
            </w:r>
          </w:p>
          <w:p w:rsidR="004B41AE" w:rsidRDefault="004B41AE" w:rsidP="00BC43F3">
            <w:pPr>
              <w:spacing w:before="0" w:after="0"/>
              <w:rPr>
                <w:rStyle w:val="InstructionsTabelleberschrift"/>
                <w:b w:val="0"/>
                <w:bCs w:val="0"/>
                <w:szCs w:val="17"/>
                <w:u w:val="none"/>
                <w:lang w:eastAsia="de-DE"/>
              </w:rPr>
            </w:pPr>
          </w:p>
          <w:p w:rsidR="004B41AE" w:rsidRDefault="004B41AE" w:rsidP="00BC43F3">
            <w:pPr>
              <w:spacing w:before="0" w:after="0"/>
              <w:rPr>
                <w:rStyle w:val="InstructionsTabelleberschrift"/>
                <w:b w:val="0"/>
                <w:bCs w:val="0"/>
                <w:szCs w:val="17"/>
                <w:u w:val="none"/>
                <w:lang w:eastAsia="de-DE"/>
              </w:rPr>
            </w:pPr>
            <w:r w:rsidRPr="00697783">
              <w:rPr>
                <w:rStyle w:val="InstructionsTabelleberschrift"/>
                <w:b w:val="0"/>
                <w:bCs w:val="0"/>
                <w:szCs w:val="17"/>
                <w:u w:val="none"/>
                <w:lang w:eastAsia="de-DE"/>
              </w:rPr>
              <w:t>Total amount of 1.4.4 that relate to arrangements under which the institution is required to buy  or swap assets from a</w:t>
            </w:r>
            <w:r>
              <w:rPr>
                <w:rStyle w:val="InstructionsTabelleberschrift"/>
                <w:b w:val="0"/>
                <w:bCs w:val="0"/>
                <w:szCs w:val="17"/>
                <w:u w:val="none"/>
                <w:lang w:eastAsia="de-DE"/>
              </w:rPr>
              <w:t>n SSPE</w:t>
            </w:r>
          </w:p>
          <w:p w:rsidR="004B41AE" w:rsidRPr="00925823" w:rsidRDefault="004B41AE" w:rsidP="00BC43F3">
            <w:pPr>
              <w:spacing w:before="0" w:after="0"/>
              <w:rPr>
                <w:rStyle w:val="InstructionsTabelleberschrift"/>
                <w:szCs w:val="17"/>
                <w:lang w:eastAsia="de-DE"/>
              </w:rPr>
            </w:pPr>
          </w:p>
        </w:tc>
      </w:tr>
      <w:tr w:rsidR="004B41A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t>1280-1290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1.4.4.3 extended to credit institutions</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bCs w:val="0"/>
                <w:szCs w:val="17"/>
                <w:u w:val="none"/>
                <w:lang w:eastAsia="de-DE"/>
              </w:rPr>
            </w:pPr>
            <w:r w:rsidRPr="00697783">
              <w:rPr>
                <w:rStyle w:val="InstructionsTabelleberschrift"/>
                <w:b w:val="0"/>
                <w:bCs w:val="0"/>
                <w:szCs w:val="17"/>
                <w:u w:val="none"/>
                <w:lang w:eastAsia="de-DE"/>
              </w:rPr>
              <w:t xml:space="preserve">Article 424.5 point (c) of </w:t>
            </w:r>
            <w:r w:rsidR="00AA6BC0">
              <w:rPr>
                <w:rStyle w:val="InstructionsTabelleberschrift"/>
                <w:b w:val="0"/>
                <w:bCs w:val="0"/>
                <w:szCs w:val="17"/>
                <w:u w:val="none"/>
                <w:lang w:eastAsia="de-DE"/>
              </w:rPr>
              <w:t>REGULATION (EU) NO 575/2013</w:t>
            </w:r>
            <w:r w:rsidRPr="00697783">
              <w:rPr>
                <w:rStyle w:val="InstructionsTabelleberschrift"/>
                <w:b w:val="0"/>
                <w:bCs w:val="0"/>
                <w:szCs w:val="17"/>
                <w:u w:val="none"/>
                <w:lang w:eastAsia="de-DE"/>
              </w:rPr>
              <w:t xml:space="preserve"> </w:t>
            </w:r>
          </w:p>
          <w:p w:rsidR="004B41AE" w:rsidRDefault="004B41AE" w:rsidP="00BC43F3">
            <w:pPr>
              <w:spacing w:before="0" w:after="0"/>
              <w:rPr>
                <w:rStyle w:val="InstructionsTabelleberschrift"/>
                <w:b w:val="0"/>
                <w:bCs w:val="0"/>
                <w:szCs w:val="17"/>
                <w:u w:val="none"/>
                <w:lang w:eastAsia="de-DE"/>
              </w:rPr>
            </w:pPr>
          </w:p>
          <w:p w:rsidR="004B41AE" w:rsidRPr="00914E52" w:rsidRDefault="004B41AE" w:rsidP="00BC43F3">
            <w:pPr>
              <w:spacing w:before="0" w:after="0"/>
              <w:rPr>
                <w:rStyle w:val="InstructionsTabelleberschrift"/>
                <w:b w:val="0"/>
                <w:bCs w:val="0"/>
                <w:szCs w:val="17"/>
                <w:u w:val="none"/>
                <w:lang w:eastAsia="de-DE"/>
              </w:rPr>
            </w:pPr>
            <w:r w:rsidRPr="00697783">
              <w:rPr>
                <w:rStyle w:val="InstructionsTabelleberschrift"/>
                <w:b w:val="0"/>
                <w:bCs w:val="0"/>
                <w:szCs w:val="17"/>
                <w:u w:val="none"/>
                <w:lang w:eastAsia="de-DE"/>
              </w:rPr>
              <w:t>Total amount of 1.4.4 that relates to items extended to credit institutions</w:t>
            </w:r>
          </w:p>
          <w:p w:rsidR="004B41AE" w:rsidRDefault="004B41AE" w:rsidP="00BC43F3">
            <w:pPr>
              <w:spacing w:before="0" w:after="0"/>
              <w:rPr>
                <w:rFonts w:cs="Arial"/>
                <w:color w:val="FF0000"/>
                <w:sz w:val="16"/>
                <w:szCs w:val="16"/>
              </w:rPr>
            </w:pPr>
          </w:p>
        </w:tc>
      </w:tr>
      <w:tr w:rsidR="004B41AE" w:rsidRPr="00925823"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t>1280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1.4.4.3.</w:t>
            </w:r>
            <w:r w:rsidR="00607C41">
              <w:rPr>
                <w:rStyle w:val="InstructionsTabelleberschrift"/>
                <w:szCs w:val="17"/>
                <w:lang w:eastAsia="de-DE"/>
              </w:rPr>
              <w:t>1</w:t>
            </w:r>
            <w:r w:rsidRPr="00697783">
              <w:rPr>
                <w:rStyle w:val="InstructionsTabelleberschrift"/>
                <w:szCs w:val="17"/>
                <w:lang w:eastAsia="de-DE"/>
              </w:rPr>
              <w:t xml:space="preserve">  undrawn committed credit facilities</w:t>
            </w:r>
          </w:p>
          <w:p w:rsidR="004B41AE" w:rsidRPr="00914E52" w:rsidRDefault="004B41AE" w:rsidP="00BC43F3">
            <w:pPr>
              <w:rPr>
                <w:rStyle w:val="InstructionsTabelleberschrift"/>
                <w:b w:val="0"/>
                <w:szCs w:val="17"/>
                <w:u w:val="none"/>
                <w:lang w:eastAsia="de-DE"/>
              </w:rPr>
            </w:pPr>
            <w:r w:rsidRPr="00697783">
              <w:rPr>
                <w:rStyle w:val="InstructionsTabelleberschrift"/>
                <w:szCs w:val="17"/>
                <w:u w:val="none"/>
                <w:lang w:eastAsia="de-DE"/>
              </w:rPr>
              <w:t>Total amount of 1.4.4.3 that relate to undrawn committed credit facilities</w:t>
            </w:r>
          </w:p>
          <w:p w:rsidR="004B41AE" w:rsidRPr="00925823" w:rsidRDefault="004B41AE" w:rsidP="00BC43F3">
            <w:pPr>
              <w:rPr>
                <w:rFonts w:cs="Arial"/>
                <w:color w:val="FF0000"/>
                <w:sz w:val="16"/>
                <w:szCs w:val="16"/>
              </w:rPr>
            </w:pPr>
          </w:p>
        </w:tc>
      </w:tr>
      <w:tr w:rsidR="004B41A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607C41" w:rsidP="00BC43F3">
            <w:pPr>
              <w:jc w:val="left"/>
              <w:rPr>
                <w:rFonts w:cs="Arial"/>
                <w:szCs w:val="20"/>
              </w:rPr>
            </w:pPr>
            <w:r>
              <w:rPr>
                <w:rFonts w:cs="Arial"/>
                <w:szCs w:val="20"/>
              </w:rPr>
              <w:t>1290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1.4.4.3.</w:t>
            </w:r>
            <w:r w:rsidR="00607C41">
              <w:rPr>
                <w:rStyle w:val="InstructionsTabelleberschrift"/>
                <w:szCs w:val="17"/>
                <w:lang w:eastAsia="de-DE"/>
              </w:rPr>
              <w:t>2</w:t>
            </w:r>
            <w:r w:rsidRPr="00697783">
              <w:rPr>
                <w:rStyle w:val="InstructionsTabelleberschrift"/>
                <w:szCs w:val="17"/>
                <w:lang w:eastAsia="de-DE"/>
              </w:rPr>
              <w:t xml:space="preserve">  undrawn committed liquidity facilities</w:t>
            </w:r>
          </w:p>
          <w:p w:rsidR="004B41AE" w:rsidRPr="00914E52" w:rsidRDefault="004B41AE" w:rsidP="00BC43F3">
            <w:pPr>
              <w:rPr>
                <w:rStyle w:val="InstructionsTabelleberschrift"/>
                <w:b w:val="0"/>
                <w:bCs w:val="0"/>
                <w:szCs w:val="17"/>
                <w:u w:val="none"/>
                <w:lang w:eastAsia="de-DE"/>
              </w:rPr>
            </w:pPr>
            <w:r w:rsidRPr="00697783">
              <w:rPr>
                <w:rStyle w:val="InstructionsTabelleberschrift"/>
                <w:szCs w:val="17"/>
                <w:u w:val="none"/>
                <w:lang w:eastAsia="de-DE"/>
              </w:rPr>
              <w:t>Total amount of 1.4.4.3 that relate to undrawn committed liquidity facilities</w:t>
            </w:r>
          </w:p>
          <w:p w:rsidR="004B41AE" w:rsidRDefault="004B41AE" w:rsidP="00BC43F3">
            <w:pPr>
              <w:rPr>
                <w:rFonts w:cs="Arial"/>
                <w:color w:val="FF0000"/>
                <w:sz w:val="16"/>
                <w:szCs w:val="16"/>
              </w:rPr>
            </w:pPr>
          </w:p>
        </w:tc>
      </w:tr>
      <w:tr w:rsidR="004B41A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E97484" w:rsidP="00BC43F3">
            <w:pPr>
              <w:jc w:val="left"/>
              <w:rPr>
                <w:rFonts w:cs="Arial"/>
                <w:szCs w:val="20"/>
              </w:rPr>
            </w:pPr>
            <w:r>
              <w:rPr>
                <w:rFonts w:cs="Arial"/>
                <w:szCs w:val="20"/>
              </w:rPr>
              <w:t>1300-1310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1.4.4.4 extended to financial institutions and investment firms</w:t>
            </w:r>
          </w:p>
          <w:p w:rsidR="004B41AE" w:rsidRPr="00914E52" w:rsidRDefault="004B41AE" w:rsidP="00BC43F3">
            <w:pPr>
              <w:rPr>
                <w:rStyle w:val="InstructionsTabelleberschrift"/>
                <w:b w:val="0"/>
                <w:bCs w:val="0"/>
                <w:szCs w:val="17"/>
                <w:u w:val="none"/>
                <w:lang w:eastAsia="de-DE"/>
              </w:rPr>
            </w:pPr>
            <w:r w:rsidRPr="00697783">
              <w:rPr>
                <w:rStyle w:val="InstructionsTabelleberschrift"/>
                <w:b w:val="0"/>
                <w:bCs w:val="0"/>
                <w:szCs w:val="17"/>
                <w:u w:val="none"/>
                <w:lang w:eastAsia="de-DE"/>
              </w:rPr>
              <w:t>Article 424.5 point (</w:t>
            </w:r>
            <w:r>
              <w:rPr>
                <w:rStyle w:val="InstructionsTabelleberschrift"/>
                <w:b w:val="0"/>
                <w:bCs w:val="0"/>
                <w:szCs w:val="17"/>
                <w:u w:val="none"/>
                <w:lang w:eastAsia="de-DE"/>
              </w:rPr>
              <w:t>d</w:t>
            </w:r>
            <w:r w:rsidRPr="00697783">
              <w:rPr>
                <w:rStyle w:val="InstructionsTabelleberschrift"/>
                <w:b w:val="0"/>
                <w:bCs w:val="0"/>
                <w:szCs w:val="17"/>
                <w:u w:val="none"/>
                <w:lang w:eastAsia="de-DE"/>
              </w:rPr>
              <w:t xml:space="preserve">) of </w:t>
            </w:r>
            <w:r w:rsidR="00AA6BC0">
              <w:rPr>
                <w:rStyle w:val="InstructionsTabelleberschrift"/>
                <w:b w:val="0"/>
                <w:bCs w:val="0"/>
                <w:szCs w:val="17"/>
                <w:u w:val="none"/>
                <w:lang w:eastAsia="de-DE"/>
              </w:rPr>
              <w:t>REGULATION (EU) NO 575/2013</w:t>
            </w:r>
          </w:p>
          <w:p w:rsidR="004B41AE" w:rsidRPr="00914E52" w:rsidRDefault="004B41AE" w:rsidP="00BC43F3">
            <w:pPr>
              <w:spacing w:before="0" w:after="0"/>
              <w:rPr>
                <w:rStyle w:val="InstructionsTabelleberschrift"/>
                <w:b w:val="0"/>
                <w:bCs w:val="0"/>
                <w:szCs w:val="17"/>
                <w:u w:val="none"/>
                <w:lang w:eastAsia="de-DE"/>
              </w:rPr>
            </w:pPr>
            <w:r w:rsidRPr="00697783">
              <w:rPr>
                <w:rStyle w:val="InstructionsTabelleberschrift"/>
                <w:b w:val="0"/>
                <w:bCs w:val="0"/>
                <w:szCs w:val="17"/>
                <w:u w:val="none"/>
                <w:lang w:eastAsia="de-DE"/>
              </w:rPr>
              <w:t xml:space="preserve">Total amount of 1.4.4 that relates to items extended to financial </w:t>
            </w:r>
            <w:r w:rsidRPr="00697783">
              <w:rPr>
                <w:rStyle w:val="InstructionsTabelleberschrift"/>
                <w:b w:val="0"/>
                <w:bCs w:val="0"/>
                <w:szCs w:val="17"/>
                <w:u w:val="none"/>
                <w:lang w:eastAsia="de-DE"/>
              </w:rPr>
              <w:lastRenderedPageBreak/>
              <w:t>institutions and investment firms</w:t>
            </w:r>
            <w:r>
              <w:rPr>
                <w:rStyle w:val="InstructionsTabelleberschrift"/>
                <w:b w:val="0"/>
                <w:bCs w:val="0"/>
                <w:szCs w:val="17"/>
                <w:u w:val="none"/>
                <w:lang w:eastAsia="de-DE"/>
              </w:rPr>
              <w:t xml:space="preserve"> excluding credit institutions</w:t>
            </w:r>
          </w:p>
          <w:p w:rsidR="004B41AE" w:rsidRDefault="004B41AE" w:rsidP="00BC43F3">
            <w:pPr>
              <w:rPr>
                <w:rFonts w:cs="Arial"/>
                <w:color w:val="FF0000"/>
                <w:sz w:val="16"/>
                <w:szCs w:val="16"/>
              </w:rPr>
            </w:pPr>
          </w:p>
        </w:tc>
      </w:tr>
      <w:tr w:rsidR="004B41A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E97484" w:rsidP="00BC43F3">
            <w:pPr>
              <w:jc w:val="left"/>
              <w:rPr>
                <w:rFonts w:cs="Arial"/>
                <w:szCs w:val="20"/>
              </w:rPr>
            </w:pPr>
            <w:r>
              <w:rPr>
                <w:rFonts w:cs="Arial"/>
                <w:szCs w:val="20"/>
              </w:rPr>
              <w:lastRenderedPageBreak/>
              <w:t>1300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1.4.4.4.</w:t>
            </w:r>
            <w:r w:rsidR="00E97484">
              <w:rPr>
                <w:rStyle w:val="InstructionsTabelleberschrift"/>
                <w:szCs w:val="17"/>
                <w:lang w:eastAsia="de-DE"/>
              </w:rPr>
              <w:t>1</w:t>
            </w:r>
            <w:r w:rsidRPr="00697783">
              <w:rPr>
                <w:rStyle w:val="InstructionsTabelleberschrift"/>
                <w:szCs w:val="17"/>
                <w:lang w:eastAsia="de-DE"/>
              </w:rPr>
              <w:t xml:space="preserve">  undrawn committed credit facilities</w:t>
            </w:r>
          </w:p>
          <w:p w:rsidR="004B41AE" w:rsidRPr="00914E52" w:rsidRDefault="004B41AE" w:rsidP="00BC43F3">
            <w:pPr>
              <w:rPr>
                <w:rStyle w:val="InstructionsTabelleberschrift"/>
                <w:b w:val="0"/>
                <w:szCs w:val="17"/>
                <w:u w:val="none"/>
                <w:lang w:eastAsia="de-DE"/>
              </w:rPr>
            </w:pPr>
            <w:r w:rsidRPr="00697783">
              <w:rPr>
                <w:rStyle w:val="InstructionsTabelleberschrift"/>
                <w:szCs w:val="17"/>
                <w:u w:val="none"/>
                <w:lang w:eastAsia="de-DE"/>
              </w:rPr>
              <w:t>Total amount of 1.4.4.4 that relate to undrawn committed credit facilities</w:t>
            </w:r>
          </w:p>
          <w:p w:rsidR="004B41AE" w:rsidRDefault="004B41AE" w:rsidP="00BC43F3">
            <w:pPr>
              <w:rPr>
                <w:rFonts w:cs="Arial"/>
                <w:color w:val="FF0000"/>
                <w:sz w:val="16"/>
                <w:szCs w:val="16"/>
              </w:rPr>
            </w:pPr>
          </w:p>
        </w:tc>
      </w:tr>
      <w:tr w:rsidR="004B41A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E97484" w:rsidP="00BC43F3">
            <w:pPr>
              <w:jc w:val="left"/>
              <w:rPr>
                <w:rFonts w:cs="Arial"/>
                <w:szCs w:val="20"/>
              </w:rPr>
            </w:pPr>
            <w:r>
              <w:rPr>
                <w:rFonts w:cs="Arial"/>
                <w:szCs w:val="20"/>
              </w:rPr>
              <w:t>1310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1.4.4.4.</w:t>
            </w:r>
            <w:r w:rsidR="00E97484">
              <w:rPr>
                <w:rStyle w:val="InstructionsTabelleberschrift"/>
                <w:szCs w:val="17"/>
                <w:lang w:eastAsia="de-DE"/>
              </w:rPr>
              <w:t>2</w:t>
            </w:r>
            <w:r w:rsidRPr="00697783">
              <w:rPr>
                <w:rStyle w:val="InstructionsTabelleberschrift"/>
                <w:szCs w:val="17"/>
                <w:lang w:eastAsia="de-DE"/>
              </w:rPr>
              <w:t xml:space="preserve">  undrawn committed liquidity facilities</w:t>
            </w:r>
          </w:p>
          <w:p w:rsidR="004B41AE" w:rsidRPr="00914E52" w:rsidRDefault="004B41AE" w:rsidP="00BC43F3">
            <w:pPr>
              <w:rPr>
                <w:rStyle w:val="InstructionsTabelleberschrift"/>
                <w:szCs w:val="17"/>
                <w:u w:val="none"/>
                <w:lang w:eastAsia="de-DE"/>
              </w:rPr>
            </w:pPr>
            <w:r w:rsidRPr="00697783">
              <w:rPr>
                <w:rStyle w:val="InstructionsTabelleberschrift"/>
                <w:szCs w:val="17"/>
                <w:u w:val="none"/>
                <w:lang w:eastAsia="de-DE"/>
              </w:rPr>
              <w:t>Total amount of 1.4.4.4 that relate to undrawn committed liquidity facilities</w:t>
            </w:r>
          </w:p>
          <w:p w:rsidR="004B41AE" w:rsidRDefault="004B41AE" w:rsidP="00BC43F3">
            <w:pPr>
              <w:rPr>
                <w:rFonts w:cs="Arial"/>
                <w:color w:val="FF0000"/>
                <w:sz w:val="16"/>
                <w:szCs w:val="16"/>
              </w:rPr>
            </w:pPr>
          </w:p>
        </w:tc>
      </w:tr>
      <w:tr w:rsidR="004B41A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E97484" w:rsidP="00BC43F3">
            <w:pPr>
              <w:spacing w:before="0" w:after="0"/>
              <w:rPr>
                <w:rStyle w:val="InstructionsTabelleberschrift"/>
                <w:szCs w:val="17"/>
                <w:lang w:eastAsia="de-DE"/>
              </w:rPr>
            </w:pPr>
            <w:r>
              <w:rPr>
                <w:rStyle w:val="InstructionsTabelleberschrift"/>
                <w:szCs w:val="17"/>
                <w:lang w:eastAsia="de-DE"/>
              </w:rPr>
              <w:t>1320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ind w:firstLine="201"/>
              <w:rPr>
                <w:rStyle w:val="InstructionsTabelleberschrift"/>
                <w:szCs w:val="17"/>
                <w:lang w:eastAsia="de-DE"/>
              </w:rPr>
            </w:pPr>
            <w:r w:rsidRPr="00697783">
              <w:rPr>
                <w:rStyle w:val="InstructionsTabelleberschrift"/>
                <w:szCs w:val="17"/>
                <w:lang w:eastAsia="de-DE"/>
              </w:rPr>
              <w:t>1.4.4.5</w:t>
            </w:r>
            <w:r>
              <w:rPr>
                <w:rStyle w:val="InstructionsTabelleberschrift"/>
                <w:szCs w:val="17"/>
                <w:lang w:eastAsia="de-DE"/>
              </w:rPr>
              <w:t xml:space="preserve"> </w:t>
            </w:r>
            <w:r w:rsidRPr="00697783">
              <w:rPr>
                <w:rStyle w:val="InstructionsTabelleberschrift"/>
                <w:szCs w:val="17"/>
                <w:lang w:eastAsia="de-DE"/>
              </w:rPr>
              <w:t>extended to other clients</w:t>
            </w:r>
          </w:p>
          <w:p w:rsidR="004B41AE" w:rsidRDefault="004B41AE" w:rsidP="00BC43F3">
            <w:pPr>
              <w:spacing w:before="0" w:after="0"/>
              <w:ind w:firstLine="201"/>
              <w:rPr>
                <w:rStyle w:val="InstructionsTabelleberschrift"/>
                <w:szCs w:val="17"/>
                <w:lang w:eastAsia="de-DE"/>
              </w:rPr>
            </w:pPr>
          </w:p>
          <w:p w:rsidR="004B41AE" w:rsidRDefault="004B41AE" w:rsidP="00BC43F3">
            <w:pPr>
              <w:spacing w:before="0" w:after="0"/>
              <w:rPr>
                <w:rStyle w:val="InstructionsTabelleberschrift"/>
                <w:b w:val="0"/>
                <w:bCs w:val="0"/>
                <w:szCs w:val="17"/>
                <w:u w:val="none"/>
                <w:lang w:eastAsia="de-DE"/>
              </w:rPr>
            </w:pPr>
            <w:r w:rsidRPr="00697783">
              <w:rPr>
                <w:rStyle w:val="InstructionsTabelleberschrift"/>
                <w:b w:val="0"/>
                <w:bCs w:val="0"/>
                <w:szCs w:val="17"/>
                <w:u w:val="none"/>
                <w:lang w:eastAsia="de-DE"/>
              </w:rPr>
              <w:t>Total amount of 1.4.4 that relates to items extended to other clients</w:t>
            </w:r>
          </w:p>
          <w:p w:rsidR="004B41AE" w:rsidRDefault="004B41AE" w:rsidP="00BC43F3">
            <w:pPr>
              <w:spacing w:before="0" w:after="0"/>
              <w:rPr>
                <w:rStyle w:val="InstructionsTabelleberschrift"/>
                <w:szCs w:val="17"/>
                <w:lang w:eastAsia="de-DE"/>
              </w:rPr>
            </w:pPr>
          </w:p>
        </w:tc>
      </w:tr>
      <w:tr w:rsidR="004B41AE"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E97484" w:rsidP="00BC43F3">
            <w:pPr>
              <w:jc w:val="left"/>
              <w:rPr>
                <w:rFonts w:cs="Arial"/>
                <w:szCs w:val="20"/>
              </w:rPr>
            </w:pPr>
            <w:r>
              <w:rPr>
                <w:rFonts w:cs="Arial"/>
                <w:szCs w:val="20"/>
              </w:rPr>
              <w:t>1330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sidRPr="00697783">
              <w:rPr>
                <w:rStyle w:val="InstructionsTabelleberschrift"/>
                <w:szCs w:val="17"/>
                <w:lang w:eastAsia="de-DE"/>
              </w:rPr>
              <w:t>1.4.4.6</w:t>
            </w:r>
            <w:r>
              <w:rPr>
                <w:rStyle w:val="InstructionsTabelleberschrift"/>
                <w:szCs w:val="17"/>
                <w:lang w:eastAsia="de-DE"/>
              </w:rPr>
              <w:t xml:space="preserve"> </w:t>
            </w:r>
            <w:r w:rsidRPr="00697783">
              <w:rPr>
                <w:rStyle w:val="InstructionsTabelleberschrift"/>
                <w:szCs w:val="17"/>
                <w:lang w:eastAsia="de-DE"/>
              </w:rPr>
              <w:t>extended to intra-group entit</w:t>
            </w:r>
            <w:r w:rsidR="00BB4E1A">
              <w:rPr>
                <w:rStyle w:val="InstructionsTabelleberschrift"/>
                <w:szCs w:val="17"/>
                <w:lang w:eastAsia="de-DE"/>
              </w:rPr>
              <w:t>ies</w:t>
            </w:r>
            <w:r w:rsidRPr="00697783">
              <w:rPr>
                <w:rStyle w:val="InstructionsTabelleberschrift"/>
                <w:szCs w:val="17"/>
                <w:lang w:eastAsia="de-DE"/>
              </w:rPr>
              <w:t xml:space="preserve"> </w:t>
            </w:r>
          </w:p>
          <w:p w:rsidR="004B41AE" w:rsidRDefault="004B41AE" w:rsidP="00BC43F3">
            <w:pPr>
              <w:spacing w:before="0" w:after="0"/>
              <w:rPr>
                <w:rStyle w:val="InstructionsTabelleberschrift"/>
                <w:szCs w:val="17"/>
                <w:lang w:eastAsia="de-DE"/>
              </w:rPr>
            </w:pPr>
          </w:p>
          <w:p w:rsidR="004B41AE" w:rsidRDefault="004B41AE" w:rsidP="00BC43F3">
            <w:pPr>
              <w:spacing w:before="0" w:after="0"/>
              <w:rPr>
                <w:rStyle w:val="InstructionsTabelleberschrift"/>
                <w:b w:val="0"/>
                <w:bCs w:val="0"/>
                <w:szCs w:val="17"/>
                <w:u w:val="none"/>
                <w:lang w:eastAsia="de-DE"/>
              </w:rPr>
            </w:pPr>
            <w:r w:rsidRPr="00697783">
              <w:rPr>
                <w:rStyle w:val="InstructionsTabelleberschrift"/>
                <w:b w:val="0"/>
                <w:bCs w:val="0"/>
                <w:szCs w:val="17"/>
                <w:u w:val="none"/>
                <w:lang w:eastAsia="de-DE"/>
              </w:rPr>
              <w:t xml:space="preserve">Total amount of 1.4.4 that relates to items extended to a intra-group </w:t>
            </w:r>
            <w:r w:rsidR="00AA6BC0">
              <w:rPr>
                <w:rStyle w:val="InstructionsTabelleberschrift"/>
                <w:b w:val="0"/>
                <w:bCs w:val="0"/>
                <w:szCs w:val="17"/>
                <w:u w:val="none"/>
                <w:lang w:eastAsia="de-DE"/>
              </w:rPr>
              <w:t>REGULATION (EU) NO 575/2013</w:t>
            </w:r>
            <w:r w:rsidRPr="00697783">
              <w:rPr>
                <w:rStyle w:val="InstructionsTabelleberschrift"/>
                <w:b w:val="0"/>
                <w:bCs w:val="0"/>
                <w:szCs w:val="17"/>
                <w:u w:val="none"/>
                <w:lang w:eastAsia="de-DE"/>
              </w:rPr>
              <w:t>entit</w:t>
            </w:r>
            <w:r w:rsidR="00BB4E1A">
              <w:rPr>
                <w:rStyle w:val="InstructionsTabelleberschrift"/>
                <w:b w:val="0"/>
                <w:bCs w:val="0"/>
                <w:szCs w:val="17"/>
                <w:u w:val="none"/>
                <w:lang w:eastAsia="de-DE"/>
              </w:rPr>
              <w:t>ies</w:t>
            </w:r>
            <w:r w:rsidRPr="00697783">
              <w:rPr>
                <w:rStyle w:val="InstructionsTabelleberschrift"/>
                <w:b w:val="0"/>
                <w:bCs w:val="0"/>
                <w:szCs w:val="17"/>
                <w:u w:val="none"/>
                <w:lang w:eastAsia="de-DE"/>
              </w:rPr>
              <w:t xml:space="preserve"> </w:t>
            </w:r>
          </w:p>
          <w:p w:rsidR="004B41AE"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E97484" w:rsidP="00BC43F3">
            <w:pPr>
              <w:jc w:val="left"/>
              <w:rPr>
                <w:rFonts w:cs="Arial"/>
                <w:szCs w:val="20"/>
              </w:rPr>
            </w:pPr>
            <w:r>
              <w:rPr>
                <w:rFonts w:cs="Arial"/>
                <w:szCs w:val="20"/>
              </w:rPr>
              <w:t>1340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1.4.5 maximum amount that can be drawn of undrawn credit and liquidity facilities granted for the purpose of funding promotional loans</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Style w:val="InstructionsTabelleberschrift"/>
                <w:b w:val="0"/>
                <w:szCs w:val="17"/>
                <w:u w:val="none"/>
                <w:lang w:eastAsia="de-DE"/>
              </w:rPr>
            </w:pPr>
            <w:r w:rsidRPr="008E3A85">
              <w:rPr>
                <w:rStyle w:val="InstructionsTabelleberschrift"/>
                <w:b w:val="0"/>
                <w:szCs w:val="17"/>
                <w:u w:val="none"/>
                <w:lang w:eastAsia="de-DE"/>
              </w:rPr>
              <w:t>Article 4</w:t>
            </w:r>
            <w:r>
              <w:rPr>
                <w:rStyle w:val="InstructionsTabelleberschrift"/>
                <w:b w:val="0"/>
                <w:szCs w:val="17"/>
                <w:u w:val="none"/>
                <w:lang w:eastAsia="de-DE"/>
              </w:rPr>
              <w:t>24(6)</w:t>
            </w:r>
            <w:r w:rsidRPr="008E3A85">
              <w:rPr>
                <w:rStyle w:val="InstructionsTabelleberschrift"/>
                <w:b w:val="0"/>
                <w:szCs w:val="17"/>
                <w:u w:val="none"/>
                <w:lang w:eastAsia="de-DE"/>
              </w:rPr>
              <w:t xml:space="preserve"> of </w:t>
            </w:r>
            <w:r w:rsidR="00AA6BC0">
              <w:rPr>
                <w:rStyle w:val="InstructionsTabelleberschrift"/>
                <w:b w:val="0"/>
                <w:szCs w:val="17"/>
                <w:u w:val="none"/>
                <w:lang w:eastAsia="de-DE"/>
              </w:rPr>
              <w:t>REGULATION (EU) NO 575/2013</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autoSpaceDE w:val="0"/>
              <w:autoSpaceDN w:val="0"/>
              <w:adjustRightInd w:val="0"/>
              <w:spacing w:before="0" w:after="0"/>
              <w:rPr>
                <w:rStyle w:val="InstructionsTabelleberschrift"/>
                <w:b w:val="0"/>
                <w:szCs w:val="17"/>
                <w:u w:val="none"/>
                <w:lang w:eastAsia="de-DE"/>
              </w:rPr>
            </w:pPr>
            <w:r w:rsidRPr="008E3A85">
              <w:rPr>
                <w:rStyle w:val="InstructionsTabelleberschrift"/>
                <w:b w:val="0"/>
                <w:bCs w:val="0"/>
                <w:szCs w:val="17"/>
                <w:u w:val="none"/>
                <w:lang w:eastAsia="de-DE"/>
              </w:rPr>
              <w:t xml:space="preserve">Total maximum amount that could result from undrawn credit and liquidity facilities granted for the </w:t>
            </w:r>
            <w:r w:rsidRPr="008E3A85">
              <w:rPr>
                <w:rStyle w:val="InstructionsTabelleberschrift"/>
                <w:b w:val="0"/>
                <w:szCs w:val="17"/>
                <w:u w:val="none"/>
                <w:lang w:eastAsia="de-DE"/>
              </w:rPr>
              <w:t>sole purpose of directly or indirectly funding promotional loans qualifying for the exposure classes referred to in those paragraphs 2 and 3. Those promotional loans shall be available only to persons who are not financial customers on a non-competitive, not for profit basis in order to promote public policy objectives of that Member State central or regional government. It shall only be possible to draw on such facilities following a request for a promotional loan and up to the amount of such request.</w:t>
            </w:r>
          </w:p>
          <w:p w:rsidR="004B41AE" w:rsidRPr="008E3A85" w:rsidRDefault="004B41AE" w:rsidP="00BC43F3">
            <w:pPr>
              <w:autoSpaceDE w:val="0"/>
              <w:autoSpaceDN w:val="0"/>
              <w:adjustRightInd w:val="0"/>
              <w:spacing w:before="0" w:after="0"/>
              <w:rPr>
                <w:rStyle w:val="InstructionsTabelleberschrift"/>
                <w:b w:val="0"/>
                <w:bCs w:val="0"/>
                <w:szCs w:val="17"/>
                <w:u w:val="none"/>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E97484" w:rsidP="00BC43F3">
            <w:pPr>
              <w:jc w:val="left"/>
              <w:rPr>
                <w:rFonts w:cs="Arial"/>
                <w:szCs w:val="20"/>
              </w:rPr>
            </w:pPr>
            <w:r>
              <w:rPr>
                <w:rFonts w:cs="Arial"/>
                <w:szCs w:val="20"/>
              </w:rPr>
              <w:t>1350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1.4.</w:t>
            </w:r>
            <w:r>
              <w:rPr>
                <w:rStyle w:val="InstructionsTabelleberschrift"/>
                <w:szCs w:val="17"/>
                <w:lang w:eastAsia="de-DE"/>
              </w:rPr>
              <w:t>6</w:t>
            </w:r>
            <w:r w:rsidRPr="008E3A85">
              <w:rPr>
                <w:rStyle w:val="InstructionsTabelleberschrift"/>
                <w:szCs w:val="17"/>
                <w:lang w:eastAsia="de-DE"/>
              </w:rPr>
              <w:t xml:space="preserve"> maximum amount that can be drawn from all other contingent liabilities</w:t>
            </w:r>
          </w:p>
          <w:p w:rsidR="004B41AE" w:rsidRPr="008E3A85" w:rsidRDefault="004B41AE" w:rsidP="00BC43F3">
            <w:pPr>
              <w:spacing w:before="0" w:after="0"/>
              <w:rPr>
                <w:rStyle w:val="InstructionsTabelleberschrift"/>
                <w:szCs w:val="17"/>
                <w:lang w:eastAsia="de-DE"/>
              </w:rPr>
            </w:pPr>
          </w:p>
          <w:p w:rsidR="004B41AE" w:rsidRPr="008E3A85" w:rsidRDefault="004B41AE" w:rsidP="00BC43F3">
            <w:pPr>
              <w:spacing w:before="0" w:after="0"/>
              <w:rPr>
                <w:rFonts w:cs="Arial"/>
              </w:rPr>
            </w:pPr>
            <w:r w:rsidRPr="008E3A85">
              <w:rPr>
                <w:rStyle w:val="InstructionsTabelleberschrift"/>
                <w:b w:val="0"/>
                <w:bCs w:val="0"/>
                <w:szCs w:val="17"/>
                <w:u w:val="none"/>
                <w:lang w:eastAsia="de-DE"/>
              </w:rPr>
              <w:t xml:space="preserve">Total maximum amount that could result from all other contingent liabilities. </w:t>
            </w:r>
            <w:r w:rsidRPr="008E3A85">
              <w:rPr>
                <w:rFonts w:cs="Arial"/>
              </w:rPr>
              <w:t>These contingent funding obligations may be either contractual or non-contractual and are not lending commitments. Non-contractual contingent funding obligations include associations with, or sponsorship of, products sold or services provided that may require the support or extension of funds in the future under stressed conditions. Non-contractual obligations may be embedded in financial products and instruments sold, sponsored, or originated by the institution that can give rise to unplanned balance sheet growth arising from support given for reputational risk considerations.</w:t>
            </w:r>
          </w:p>
          <w:p w:rsidR="004B41AE" w:rsidRPr="008E3A85" w:rsidRDefault="004B41AE" w:rsidP="00BC43F3">
            <w:pPr>
              <w:spacing w:before="0" w:after="0"/>
              <w:rPr>
                <w:rStyle w:val="InstructionsTabelleberschrift"/>
                <w:szCs w:val="17"/>
                <w:lang w:eastAsia="de-DE"/>
              </w:rPr>
            </w:pPr>
          </w:p>
        </w:tc>
      </w:tr>
      <w:tr w:rsidR="004B41AE" w:rsidRPr="008E3A85"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E97484" w:rsidP="00BC43F3">
            <w:pPr>
              <w:jc w:val="left"/>
              <w:rPr>
                <w:rFonts w:cs="Arial"/>
                <w:szCs w:val="20"/>
              </w:rPr>
            </w:pPr>
            <w:r>
              <w:rPr>
                <w:rFonts w:cs="Arial"/>
                <w:szCs w:val="20"/>
              </w:rPr>
              <w:t>1360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8E3A85" w:rsidRDefault="004B41AE" w:rsidP="00BC43F3">
            <w:pPr>
              <w:spacing w:before="0" w:after="0"/>
              <w:rPr>
                <w:rStyle w:val="InstructionsTabelleberschrift"/>
                <w:szCs w:val="17"/>
                <w:lang w:eastAsia="de-DE"/>
              </w:rPr>
            </w:pPr>
            <w:r w:rsidRPr="008E3A85">
              <w:rPr>
                <w:rStyle w:val="InstructionsTabelleberschrift"/>
                <w:szCs w:val="17"/>
                <w:lang w:eastAsia="de-DE"/>
              </w:rPr>
              <w:t>1.4.</w:t>
            </w:r>
            <w:r>
              <w:rPr>
                <w:rStyle w:val="InstructionsTabelleberschrift"/>
                <w:szCs w:val="17"/>
                <w:lang w:eastAsia="de-DE"/>
              </w:rPr>
              <w:t>6.</w:t>
            </w:r>
            <w:r w:rsidR="00E97484">
              <w:rPr>
                <w:rStyle w:val="InstructionsTabelleberschrift"/>
                <w:szCs w:val="17"/>
                <w:lang w:eastAsia="de-DE"/>
              </w:rPr>
              <w:t>1</w:t>
            </w:r>
            <w:r w:rsidRPr="008E3A85">
              <w:rPr>
                <w:rStyle w:val="InstructionsTabelleberschrift"/>
                <w:szCs w:val="17"/>
                <w:lang w:eastAsia="de-DE"/>
              </w:rPr>
              <w:t xml:space="preserve"> </w:t>
            </w:r>
            <w:r w:rsidRPr="00925823">
              <w:rPr>
                <w:rStyle w:val="InstructionsTabelleberschrift"/>
                <w:szCs w:val="17"/>
                <w:lang w:eastAsia="de-DE"/>
              </w:rPr>
              <w:t xml:space="preserve"> extended to intra-group entit</w:t>
            </w:r>
            <w:r w:rsidR="00BB4E1A">
              <w:rPr>
                <w:rStyle w:val="InstructionsTabelleberschrift"/>
                <w:szCs w:val="17"/>
                <w:lang w:eastAsia="de-DE"/>
              </w:rPr>
              <w:t>ies</w:t>
            </w:r>
            <w:r w:rsidRPr="00925823">
              <w:rPr>
                <w:rStyle w:val="InstructionsTabelleberschrift"/>
                <w:szCs w:val="17"/>
                <w:lang w:eastAsia="de-DE"/>
              </w:rPr>
              <w:t xml:space="preserve"> </w:t>
            </w:r>
          </w:p>
          <w:p w:rsidR="004B41AE" w:rsidRPr="008E3A85" w:rsidRDefault="004B41AE" w:rsidP="00BC43F3">
            <w:pPr>
              <w:spacing w:before="0" w:after="0"/>
              <w:rPr>
                <w:rStyle w:val="InstructionsTabelleberschrift"/>
                <w:szCs w:val="17"/>
                <w:lang w:eastAsia="de-DE"/>
              </w:rPr>
            </w:pPr>
          </w:p>
          <w:p w:rsidR="004B41AE" w:rsidRPr="008E3A85" w:rsidRDefault="004B41AE" w:rsidP="00BB4E1A">
            <w:pPr>
              <w:spacing w:before="0" w:after="0"/>
              <w:rPr>
                <w:rStyle w:val="InstructionsTabelleberschrift"/>
                <w:szCs w:val="17"/>
                <w:lang w:eastAsia="de-DE"/>
              </w:rPr>
            </w:pPr>
            <w:r>
              <w:rPr>
                <w:rStyle w:val="InstructionsTabelleberschrift"/>
                <w:b w:val="0"/>
                <w:bCs w:val="0"/>
                <w:szCs w:val="17"/>
                <w:u w:val="none"/>
                <w:lang w:eastAsia="de-DE"/>
              </w:rPr>
              <w:t xml:space="preserve">Amount of 1.4.6 that is extended to an intra-group </w:t>
            </w:r>
            <w:r w:rsidR="00AA6BC0">
              <w:rPr>
                <w:rStyle w:val="InstructionsTabelleberschrift"/>
                <w:b w:val="0"/>
                <w:bCs w:val="0"/>
                <w:szCs w:val="17"/>
                <w:u w:val="none"/>
                <w:lang w:eastAsia="de-DE"/>
              </w:rPr>
              <w:t>REGULATION (EU) NO 575/2013</w:t>
            </w:r>
            <w:r>
              <w:rPr>
                <w:rStyle w:val="InstructionsTabelleberschrift"/>
                <w:b w:val="0"/>
                <w:bCs w:val="0"/>
                <w:szCs w:val="17"/>
                <w:u w:val="none"/>
                <w:lang w:eastAsia="de-DE"/>
              </w:rPr>
              <w:t>entit</w:t>
            </w:r>
            <w:r w:rsidR="00BB4E1A">
              <w:rPr>
                <w:rStyle w:val="InstructionsTabelleberschrift"/>
                <w:b w:val="0"/>
                <w:bCs w:val="0"/>
                <w:szCs w:val="17"/>
                <w:u w:val="none"/>
                <w:lang w:eastAsia="de-DE"/>
              </w:rPr>
              <w:t>ies</w:t>
            </w:r>
            <w:r>
              <w:rPr>
                <w:rStyle w:val="InstructionsTabelleberschrift"/>
                <w:b w:val="0"/>
                <w:bCs w:val="0"/>
                <w:szCs w:val="17"/>
                <w:u w:val="none"/>
                <w:lang w:eastAsia="de-DE"/>
              </w:rPr>
              <w:t xml:space="preserve"> </w:t>
            </w:r>
          </w:p>
        </w:tc>
      </w:tr>
      <w:tr w:rsidR="004B41AE" w:rsidRPr="00925823" w:rsidTr="00BC43F3">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Pr="00EB224D" w:rsidRDefault="00422D4C" w:rsidP="00BC43F3">
            <w:pPr>
              <w:jc w:val="left"/>
              <w:rPr>
                <w:rFonts w:cs="Arial"/>
                <w:szCs w:val="20"/>
              </w:rPr>
            </w:pPr>
            <w:r>
              <w:rPr>
                <w:rFonts w:cs="Arial"/>
                <w:szCs w:val="20"/>
              </w:rPr>
              <w:lastRenderedPageBreak/>
              <w:t>1370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B41AE" w:rsidRDefault="004B41AE" w:rsidP="00BC43F3">
            <w:pPr>
              <w:spacing w:before="0" w:after="0"/>
              <w:rPr>
                <w:rStyle w:val="InstructionsTabelleberschrift"/>
                <w:szCs w:val="17"/>
                <w:lang w:eastAsia="de-DE"/>
              </w:rPr>
            </w:pPr>
            <w:r>
              <w:rPr>
                <w:rStyle w:val="InstructionsTabelleberschrift"/>
                <w:szCs w:val="17"/>
                <w:lang w:eastAsia="de-DE"/>
              </w:rPr>
              <w:t>1.4.7 o</w:t>
            </w:r>
            <w:r w:rsidRPr="00925823">
              <w:rPr>
                <w:rStyle w:val="InstructionsTabelleberschrift"/>
                <w:szCs w:val="17"/>
                <w:lang w:eastAsia="de-DE"/>
              </w:rPr>
              <w:t>utflows according to Article 105 CRD</w:t>
            </w:r>
          </w:p>
          <w:p w:rsidR="004B41AE" w:rsidRDefault="004B41AE" w:rsidP="00BC43F3">
            <w:pPr>
              <w:spacing w:before="0" w:after="0"/>
              <w:rPr>
                <w:rStyle w:val="InstructionsTabelleberschrift"/>
                <w:b w:val="0"/>
                <w:bCs w:val="0"/>
                <w:szCs w:val="17"/>
                <w:u w:val="none"/>
                <w:lang w:eastAsia="de-DE"/>
              </w:rPr>
            </w:pPr>
          </w:p>
          <w:p w:rsidR="004B41AE" w:rsidRPr="00925823" w:rsidRDefault="004B41AE" w:rsidP="006C58AB">
            <w:pPr>
              <w:spacing w:before="0" w:after="0"/>
              <w:rPr>
                <w:rStyle w:val="InstructionsTabelleberschrift"/>
                <w:b w:val="0"/>
                <w:bCs w:val="0"/>
                <w:szCs w:val="17"/>
                <w:u w:val="none"/>
                <w:lang w:eastAsia="de-DE"/>
              </w:rPr>
            </w:pPr>
            <w:r w:rsidRPr="008E3A85">
              <w:rPr>
                <w:rStyle w:val="InstructionsTabelleberschrift"/>
                <w:b w:val="0"/>
                <w:bCs w:val="0"/>
                <w:szCs w:val="17"/>
                <w:u w:val="none"/>
                <w:lang w:eastAsia="de-DE"/>
              </w:rPr>
              <w:t xml:space="preserve">Total </w:t>
            </w:r>
            <w:r>
              <w:rPr>
                <w:rStyle w:val="InstructionsTabelleberschrift"/>
                <w:b w:val="0"/>
                <w:bCs w:val="0"/>
                <w:szCs w:val="17"/>
                <w:u w:val="none"/>
                <w:lang w:eastAsia="de-DE"/>
              </w:rPr>
              <w:t xml:space="preserve">outflows </w:t>
            </w:r>
            <w:r w:rsidR="006C58AB">
              <w:rPr>
                <w:rStyle w:val="InstructionsTabelleberschrift"/>
                <w:b w:val="0"/>
                <w:bCs w:val="0"/>
                <w:szCs w:val="17"/>
                <w:u w:val="none"/>
                <w:lang w:eastAsia="de-DE"/>
              </w:rPr>
              <w:t xml:space="preserve">stemming from the risk factors mentioned in points (a) and (d) of Article 105 </w:t>
            </w:r>
            <w:r w:rsidR="00AA6BC0">
              <w:rPr>
                <w:rStyle w:val="InstructionsTabelleberschrift"/>
                <w:b w:val="0"/>
                <w:bCs w:val="0"/>
                <w:szCs w:val="17"/>
                <w:u w:val="none"/>
                <w:lang w:eastAsia="de-DE"/>
              </w:rPr>
              <w:t>REGULATION (EU) NO 575/2013</w:t>
            </w:r>
            <w:r w:rsidR="006C58AB">
              <w:rPr>
                <w:rStyle w:val="InstructionsTabelleberschrift"/>
                <w:b w:val="0"/>
                <w:bCs w:val="0"/>
                <w:szCs w:val="17"/>
                <w:u w:val="none"/>
                <w:lang w:eastAsia="de-DE"/>
              </w:rPr>
              <w:t xml:space="preserve"> to the extent that they are expected to occur with </w:t>
            </w:r>
            <w:r w:rsidR="00D000E1">
              <w:rPr>
                <w:rStyle w:val="InstructionsTabelleberschrift"/>
                <w:b w:val="0"/>
                <w:bCs w:val="0"/>
                <w:szCs w:val="17"/>
                <w:u w:val="none"/>
                <w:lang w:eastAsia="de-DE"/>
              </w:rPr>
              <w:t>30 days</w:t>
            </w:r>
            <w:r w:rsidR="006C58AB">
              <w:rPr>
                <w:rStyle w:val="InstructionsTabelleberschrift"/>
                <w:b w:val="0"/>
                <w:bCs w:val="0"/>
                <w:szCs w:val="17"/>
                <w:u w:val="none"/>
                <w:lang w:eastAsia="de-DE"/>
              </w:rPr>
              <w:t xml:space="preserve">. </w:t>
            </w:r>
          </w:p>
        </w:tc>
      </w:tr>
    </w:tbl>
    <w:p w:rsidR="004B41AE" w:rsidRDefault="004B41AE" w:rsidP="008E3A85">
      <w:pPr>
        <w:rPr>
          <w:rStyle w:val="InstructionsTabelleberschrift"/>
          <w:szCs w:val="17"/>
          <w:lang w:eastAsia="de-DE"/>
        </w:rPr>
      </w:pPr>
    </w:p>
    <w:p w:rsidR="004B41AE" w:rsidRDefault="004B41AE" w:rsidP="008E3A85">
      <w:pPr>
        <w:rPr>
          <w:rStyle w:val="InstructionsTabelleberschrift"/>
          <w:szCs w:val="17"/>
          <w:lang w:eastAsia="de-DE"/>
        </w:rPr>
      </w:pPr>
    </w:p>
    <w:p w:rsidR="004B41AE" w:rsidRDefault="004B41AE" w:rsidP="008E3A85">
      <w:pPr>
        <w:rPr>
          <w:rStyle w:val="InstructionsTabelleberschrift"/>
          <w:szCs w:val="17"/>
          <w:lang w:eastAsia="de-DE"/>
        </w:rPr>
      </w:pPr>
    </w:p>
    <w:p w:rsidR="004B41AE" w:rsidRDefault="004B41AE" w:rsidP="008E3A85">
      <w:pPr>
        <w:rPr>
          <w:rStyle w:val="InstructionsTabelleberschrift"/>
          <w:szCs w:val="17"/>
          <w:lang w:eastAsia="de-DE"/>
        </w:rPr>
      </w:pPr>
    </w:p>
    <w:p w:rsidR="004B41AE" w:rsidRDefault="004B41AE" w:rsidP="008E3A85">
      <w:pPr>
        <w:rPr>
          <w:rStyle w:val="InstructionsTabelleberschrift"/>
          <w:szCs w:val="17"/>
          <w:lang w:eastAsia="de-DE"/>
        </w:rPr>
      </w:pPr>
    </w:p>
    <w:p w:rsidR="004B41AE" w:rsidRDefault="004B41AE" w:rsidP="008E3A85">
      <w:pPr>
        <w:rPr>
          <w:rStyle w:val="InstructionsTabelleberschrift"/>
          <w:szCs w:val="17"/>
          <w:lang w:eastAsia="de-DE"/>
        </w:rPr>
      </w:pPr>
    </w:p>
    <w:p w:rsidR="004B41AE" w:rsidRPr="008E3A85" w:rsidRDefault="004B41AE" w:rsidP="008E3A85">
      <w:pPr>
        <w:rPr>
          <w:rStyle w:val="InstructionsTabelleberschrift"/>
          <w:szCs w:val="17"/>
          <w:lang w:eastAsia="de-DE"/>
        </w:rPr>
      </w:pPr>
    </w:p>
    <w:sectPr w:rsidR="004B41AE" w:rsidRPr="008E3A85" w:rsidSect="007353F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E8" w:rsidRDefault="009711E8">
      <w:r>
        <w:separator/>
      </w:r>
    </w:p>
  </w:endnote>
  <w:endnote w:type="continuationSeparator" w:id="0">
    <w:p w:rsidR="009711E8" w:rsidRDefault="00971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5172"/>
      <w:docPartObj>
        <w:docPartGallery w:val="Page Numbers (Bottom of Page)"/>
        <w:docPartUnique/>
      </w:docPartObj>
    </w:sdtPr>
    <w:sdtContent>
      <w:p w:rsidR="00664E44" w:rsidRDefault="00664E44">
        <w:pPr>
          <w:pStyle w:val="Footer"/>
          <w:jc w:val="right"/>
        </w:pPr>
        <w:fldSimple w:instr=" PAGE   \* MERGEFORMAT ">
          <w:r>
            <w:rPr>
              <w:noProof/>
            </w:rPr>
            <w:t>1</w:t>
          </w:r>
        </w:fldSimple>
      </w:p>
    </w:sdtContent>
  </w:sdt>
  <w:p w:rsidR="009711E8" w:rsidRDefault="00971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E8" w:rsidRDefault="009711E8">
      <w:r>
        <w:separator/>
      </w:r>
    </w:p>
  </w:footnote>
  <w:footnote w:type="continuationSeparator" w:id="0">
    <w:p w:rsidR="009711E8" w:rsidRDefault="00971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EF"/>
    <w:multiLevelType w:val="multilevel"/>
    <w:tmpl w:val="C6D44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8E0513"/>
    <w:multiLevelType w:val="hybridMultilevel"/>
    <w:tmpl w:val="7FAC68C8"/>
    <w:lvl w:ilvl="0" w:tplc="3672FC50">
      <w:start w:val="1"/>
      <w:numFmt w:val="decimal"/>
      <w:lvlText w:val="%1."/>
      <w:lvlJc w:val="left"/>
      <w:pPr>
        <w:tabs>
          <w:tab w:val="num" w:pos="1440"/>
        </w:tabs>
        <w:ind w:left="1440" w:hanging="360"/>
      </w:pPr>
      <w:rPr>
        <w:rFonts w:ascii="Times New Roman" w:hAnsi="Times New Roman"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B03505"/>
    <w:multiLevelType w:val="multilevel"/>
    <w:tmpl w:val="BD3AFDD6"/>
    <w:lvl w:ilvl="0">
      <w:start w:val="1"/>
      <w:numFmt w:val="lowerLetter"/>
      <w:lvlText w:val="%1."/>
      <w:lvlJc w:val="left"/>
      <w:pPr>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2C654B"/>
    <w:multiLevelType w:val="multilevel"/>
    <w:tmpl w:val="79D8E760"/>
    <w:lvl w:ilvl="0">
      <w:start w:val="1"/>
      <w:numFmt w:val="decimal"/>
      <w:lvlText w:val="%1."/>
      <w:lvlJc w:val="left"/>
      <w:pPr>
        <w:ind w:left="720" w:hanging="720"/>
      </w:pPr>
      <w:rPr>
        <w:rFonts w:cs="Times New Roman" w:hint="default"/>
        <w:b/>
        <w:u w:val="single"/>
      </w:rPr>
    </w:lvl>
    <w:lvl w:ilvl="1">
      <w:start w:val="9"/>
      <w:numFmt w:val="decimal"/>
      <w:lvlText w:val="%1.%2."/>
      <w:lvlJc w:val="left"/>
      <w:pPr>
        <w:ind w:left="1153" w:hanging="720"/>
      </w:pPr>
      <w:rPr>
        <w:rFonts w:cs="Times New Roman" w:hint="default"/>
        <w:b/>
        <w:u w:val="single"/>
      </w:rPr>
    </w:lvl>
    <w:lvl w:ilvl="2">
      <w:start w:val="1"/>
      <w:numFmt w:val="decimal"/>
      <w:lvlText w:val="%1.%2.%3."/>
      <w:lvlJc w:val="left"/>
      <w:pPr>
        <w:ind w:left="1946" w:hanging="1080"/>
      </w:pPr>
      <w:rPr>
        <w:rFonts w:cs="Times New Roman" w:hint="default"/>
        <w:b/>
        <w:u w:val="single"/>
      </w:rPr>
    </w:lvl>
    <w:lvl w:ilvl="3">
      <w:start w:val="1"/>
      <w:numFmt w:val="decimal"/>
      <w:lvlText w:val="%1.%2.%3.%3."/>
      <w:lvlJc w:val="left"/>
      <w:pPr>
        <w:ind w:left="2739" w:hanging="1440"/>
      </w:pPr>
      <w:rPr>
        <w:rFonts w:cs="Times New Roman" w:hint="default"/>
        <w:b/>
        <w:u w:val="single"/>
      </w:rPr>
    </w:lvl>
    <w:lvl w:ilvl="4">
      <w:start w:val="1"/>
      <w:numFmt w:val="decimal"/>
      <w:lvlText w:val="%1.%2.%3.%3.%4."/>
      <w:lvlJc w:val="left"/>
      <w:pPr>
        <w:ind w:left="3172" w:hanging="1440"/>
      </w:pPr>
      <w:rPr>
        <w:rFonts w:cs="Times New Roman" w:hint="default"/>
        <w:b/>
        <w:u w:val="single"/>
      </w:rPr>
    </w:lvl>
    <w:lvl w:ilvl="5">
      <w:start w:val="1"/>
      <w:numFmt w:val="decimal"/>
      <w:lvlText w:val="%1.%2.%3.%3.%4.%5."/>
      <w:lvlJc w:val="left"/>
      <w:pPr>
        <w:ind w:left="3965" w:hanging="1800"/>
      </w:pPr>
      <w:rPr>
        <w:rFonts w:cs="Times New Roman" w:hint="default"/>
        <w:b/>
        <w:u w:val="single"/>
      </w:rPr>
    </w:lvl>
    <w:lvl w:ilvl="6">
      <w:start w:val="1"/>
      <w:numFmt w:val="decimal"/>
      <w:lvlText w:val="%1.%2.%3.%3.%4.%5.%6."/>
      <w:lvlJc w:val="left"/>
      <w:pPr>
        <w:ind w:left="4758" w:hanging="2160"/>
      </w:pPr>
      <w:rPr>
        <w:rFonts w:cs="Times New Roman" w:hint="default"/>
        <w:b/>
        <w:u w:val="single"/>
      </w:rPr>
    </w:lvl>
    <w:lvl w:ilvl="7">
      <w:start w:val="1"/>
      <w:numFmt w:val="decimal"/>
      <w:lvlText w:val="%1.%2.%3.%3.%4.%5.%6.%7."/>
      <w:lvlJc w:val="left"/>
      <w:pPr>
        <w:ind w:left="5191" w:hanging="2160"/>
      </w:pPr>
      <w:rPr>
        <w:rFonts w:cs="Times New Roman" w:hint="default"/>
        <w:b/>
        <w:u w:val="single"/>
      </w:rPr>
    </w:lvl>
    <w:lvl w:ilvl="8">
      <w:start w:val="1"/>
      <w:numFmt w:val="decimal"/>
      <w:lvlText w:val="%1.%2.%3.%3.%4.%5.%6.%7.%8."/>
      <w:lvlJc w:val="left"/>
      <w:pPr>
        <w:ind w:left="5984" w:hanging="2520"/>
      </w:pPr>
      <w:rPr>
        <w:rFonts w:cs="Times New Roman" w:hint="default"/>
        <w:b/>
        <w:u w:val="single"/>
      </w:rPr>
    </w:lvl>
  </w:abstractNum>
  <w:abstractNum w:abstractNumId="4">
    <w:nsid w:val="32EB2DF5"/>
    <w:multiLevelType w:val="multilevel"/>
    <w:tmpl w:val="0EA42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057CB8"/>
    <w:multiLevelType w:val="hybridMultilevel"/>
    <w:tmpl w:val="D83CFF98"/>
    <w:lvl w:ilvl="0" w:tplc="236EA62C">
      <w:start w:val="1"/>
      <w:numFmt w:val="decimal"/>
      <w:pStyle w:val="InstructionsText2"/>
      <w:lvlText w:val="%1."/>
      <w:lvlJc w:val="left"/>
      <w:pPr>
        <w:ind w:left="720" w:hanging="360"/>
      </w:pPr>
    </w:lvl>
    <w:lvl w:ilvl="1" w:tplc="58287F7C">
      <w:start w:val="1"/>
      <w:numFmt w:val="lowerLetter"/>
      <w:lvlText w:val="(%2)"/>
      <w:lvlJc w:val="left"/>
      <w:pPr>
        <w:tabs>
          <w:tab w:val="num" w:pos="1440"/>
        </w:tabs>
        <w:ind w:left="1440" w:hanging="360"/>
      </w:pPr>
      <w:rPr>
        <w:rFonts w:hint="default"/>
      </w:r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6">
    <w:nsid w:val="3E2C5770"/>
    <w:multiLevelType w:val="hybridMultilevel"/>
    <w:tmpl w:val="EF2A9F82"/>
    <w:lvl w:ilvl="0" w:tplc="439C479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3002AA1"/>
    <w:multiLevelType w:val="multilevel"/>
    <w:tmpl w:val="A292480E"/>
    <w:lvl w:ilvl="0">
      <w:start w:val="1"/>
      <w:numFmt w:val="decimal"/>
      <w:lvlText w:val="%1."/>
      <w:lvlJc w:val="left"/>
      <w:pPr>
        <w:ind w:left="720" w:hanging="360"/>
      </w:pPr>
    </w:lvl>
    <w:lvl w:ilvl="1">
      <w:start w:val="1"/>
      <w:numFmt w:val="none"/>
      <w:lvlText w:val="4.1"/>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C026EB"/>
    <w:multiLevelType w:val="hybridMultilevel"/>
    <w:tmpl w:val="DCE0FAF6"/>
    <w:lvl w:ilvl="0" w:tplc="4C802C90">
      <w:start w:val="1"/>
      <w:numFmt w:val="decimal"/>
      <w:lvlText w:val="%1.."/>
      <w:lvlJc w:val="left"/>
      <w:pPr>
        <w:ind w:left="1183" w:hanging="750"/>
      </w:pPr>
      <w:rPr>
        <w:rFonts w:hint="default"/>
      </w:r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9">
    <w:nsid w:val="48A35475"/>
    <w:multiLevelType w:val="hybridMultilevel"/>
    <w:tmpl w:val="BA46AD84"/>
    <w:lvl w:ilvl="0" w:tplc="F9F26B5E">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9D42BC"/>
    <w:multiLevelType w:val="hybridMultilevel"/>
    <w:tmpl w:val="C1CC563E"/>
    <w:lvl w:ilvl="0" w:tplc="F9F26B5E">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3512E5"/>
    <w:multiLevelType w:val="hybridMultilevel"/>
    <w:tmpl w:val="3AB49C46"/>
    <w:lvl w:ilvl="0" w:tplc="69740F9C">
      <w:start w:val="3"/>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nsid w:val="540806A0"/>
    <w:multiLevelType w:val="multilevel"/>
    <w:tmpl w:val="B5C035CE"/>
    <w:lvl w:ilvl="0">
      <w:start w:val="1"/>
      <w:numFmt w:val="decimal"/>
      <w:lvlText w:val="%1"/>
      <w:lvlJc w:val="left"/>
      <w:pPr>
        <w:ind w:left="564" w:hanging="564"/>
      </w:pPr>
      <w:rPr>
        <w:rFonts w:hint="default"/>
        <w:b w:val="0"/>
        <w:sz w:val="16"/>
        <w:u w:val="none"/>
      </w:rPr>
    </w:lvl>
    <w:lvl w:ilvl="1">
      <w:start w:val="2"/>
      <w:numFmt w:val="decimal"/>
      <w:lvlText w:val="%1.%2"/>
      <w:lvlJc w:val="left"/>
      <w:pPr>
        <w:ind w:left="720" w:hanging="720"/>
      </w:pPr>
      <w:rPr>
        <w:rFonts w:hint="default"/>
        <w:b w:val="0"/>
        <w:sz w:val="16"/>
        <w:u w:val="none"/>
      </w:rPr>
    </w:lvl>
    <w:lvl w:ilvl="2">
      <w:start w:val="2"/>
      <w:numFmt w:val="decimal"/>
      <w:lvlText w:val="%1.%2.%3"/>
      <w:lvlJc w:val="left"/>
      <w:pPr>
        <w:ind w:left="720" w:hanging="720"/>
      </w:pPr>
      <w:rPr>
        <w:rFonts w:hint="default"/>
        <w:b w:val="0"/>
        <w:sz w:val="16"/>
        <w:u w:val="none"/>
      </w:rPr>
    </w:lvl>
    <w:lvl w:ilvl="3">
      <w:start w:val="3"/>
      <w:numFmt w:val="decimal"/>
      <w:lvlText w:val="%1.%2.%3.%4"/>
      <w:lvlJc w:val="left"/>
      <w:pPr>
        <w:ind w:left="1080" w:hanging="1080"/>
      </w:pPr>
      <w:rPr>
        <w:rFonts w:hint="default"/>
        <w:b w:val="0"/>
        <w:sz w:val="16"/>
        <w:u w:val="none"/>
      </w:rPr>
    </w:lvl>
    <w:lvl w:ilvl="4">
      <w:start w:val="1"/>
      <w:numFmt w:val="decimal"/>
      <w:lvlText w:val="%1.%2.%3.%4.%5"/>
      <w:lvlJc w:val="left"/>
      <w:pPr>
        <w:ind w:left="1440" w:hanging="1440"/>
      </w:pPr>
      <w:rPr>
        <w:rFonts w:hint="default"/>
        <w:b w:val="0"/>
        <w:sz w:val="16"/>
        <w:u w:val="none"/>
      </w:rPr>
    </w:lvl>
    <w:lvl w:ilvl="5">
      <w:start w:val="1"/>
      <w:numFmt w:val="decimal"/>
      <w:lvlText w:val="%1.%2.%3.%4.%5.%6"/>
      <w:lvlJc w:val="left"/>
      <w:pPr>
        <w:ind w:left="1440" w:hanging="1440"/>
      </w:pPr>
      <w:rPr>
        <w:rFonts w:hint="default"/>
        <w:b w:val="0"/>
        <w:sz w:val="16"/>
        <w:u w:val="none"/>
      </w:rPr>
    </w:lvl>
    <w:lvl w:ilvl="6">
      <w:start w:val="1"/>
      <w:numFmt w:val="decimal"/>
      <w:lvlText w:val="%1.%2.%3.%4.%5.%6.%7"/>
      <w:lvlJc w:val="left"/>
      <w:pPr>
        <w:ind w:left="1800" w:hanging="1800"/>
      </w:pPr>
      <w:rPr>
        <w:rFonts w:hint="default"/>
        <w:b w:val="0"/>
        <w:sz w:val="16"/>
        <w:u w:val="none"/>
      </w:rPr>
    </w:lvl>
    <w:lvl w:ilvl="7">
      <w:start w:val="1"/>
      <w:numFmt w:val="decimal"/>
      <w:lvlText w:val="%1.%2.%3.%4.%5.%6.%7.%8"/>
      <w:lvlJc w:val="left"/>
      <w:pPr>
        <w:ind w:left="2160" w:hanging="2160"/>
      </w:pPr>
      <w:rPr>
        <w:rFonts w:hint="default"/>
        <w:b w:val="0"/>
        <w:sz w:val="16"/>
        <w:u w:val="none"/>
      </w:rPr>
    </w:lvl>
    <w:lvl w:ilvl="8">
      <w:start w:val="1"/>
      <w:numFmt w:val="decimal"/>
      <w:lvlText w:val="%1.%2.%3.%4.%5.%6.%7.%8.%9"/>
      <w:lvlJc w:val="left"/>
      <w:pPr>
        <w:ind w:left="2160" w:hanging="2160"/>
      </w:pPr>
      <w:rPr>
        <w:rFonts w:hint="default"/>
        <w:b w:val="0"/>
        <w:sz w:val="16"/>
        <w:u w:val="none"/>
      </w:rPr>
    </w:lvl>
  </w:abstractNum>
  <w:abstractNum w:abstractNumId="13">
    <w:nsid w:val="54B44C25"/>
    <w:multiLevelType w:val="multilevel"/>
    <w:tmpl w:val="B1687E70"/>
    <w:lvl w:ilvl="0">
      <w:start w:val="1"/>
      <w:numFmt w:val="decimal"/>
      <w:lvlText w:val="%1."/>
      <w:lvlJc w:val="left"/>
      <w:pPr>
        <w:ind w:left="720" w:hanging="360"/>
      </w:p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AE2C0D"/>
    <w:multiLevelType w:val="hybridMultilevel"/>
    <w:tmpl w:val="789A0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4B66D8"/>
    <w:multiLevelType w:val="singleLevel"/>
    <w:tmpl w:val="E8B65104"/>
    <w:lvl w:ilvl="0">
      <w:start w:val="1"/>
      <w:numFmt w:val="bullet"/>
      <w:lvlText w:val=""/>
      <w:lvlJc w:val="left"/>
      <w:pPr>
        <w:tabs>
          <w:tab w:val="num" w:pos="851"/>
        </w:tabs>
        <w:ind w:left="851" w:hanging="851"/>
      </w:pPr>
      <w:rPr>
        <w:rFonts w:ascii="Symbol" w:hAnsi="Symbol" w:hint="default"/>
      </w:rPr>
    </w:lvl>
  </w:abstractNum>
  <w:abstractNum w:abstractNumId="1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8">
    <w:nsid w:val="6BC76E3D"/>
    <w:multiLevelType w:val="hybridMultilevel"/>
    <w:tmpl w:val="D7069D9E"/>
    <w:lvl w:ilvl="0" w:tplc="60CCC64C">
      <w:start w:val="4"/>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9C449D"/>
    <w:multiLevelType w:val="hybridMultilevel"/>
    <w:tmpl w:val="67C09D6C"/>
    <w:lvl w:ilvl="0" w:tplc="A55644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96F783C"/>
    <w:multiLevelType w:val="hybridMultilevel"/>
    <w:tmpl w:val="D09460B0"/>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7"/>
  </w:num>
  <w:num w:numId="2">
    <w:abstractNumId w:val="5"/>
  </w:num>
  <w:num w:numId="3">
    <w:abstractNumId w:val="16"/>
  </w:num>
  <w:num w:numId="4">
    <w:abstractNumId w:val="5"/>
  </w:num>
  <w:num w:numId="5">
    <w:abstractNumId w:val="5"/>
  </w:num>
  <w:num w:numId="6">
    <w:abstractNumId w:val="15"/>
  </w:num>
  <w:num w:numId="7">
    <w:abstractNumId w:val="5"/>
  </w:num>
  <w:num w:numId="8">
    <w:abstractNumId w:val="5"/>
  </w:num>
  <w:num w:numId="9">
    <w:abstractNumId w:val="20"/>
  </w:num>
  <w:num w:numId="10">
    <w:abstractNumId w:val="0"/>
  </w:num>
  <w:num w:numId="11">
    <w:abstractNumId w:val="10"/>
  </w:num>
  <w:num w:numId="12">
    <w:abstractNumId w:val="9"/>
  </w:num>
  <w:num w:numId="13">
    <w:abstractNumId w:val="5"/>
  </w:num>
  <w:num w:numId="14">
    <w:abstractNumId w:val="1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2"/>
  </w:num>
  <w:num w:numId="19">
    <w:abstractNumId w:val="4"/>
  </w:num>
  <w:num w:numId="20">
    <w:abstractNumId w:val="5"/>
    <w:lvlOverride w:ilvl="0">
      <w:startOverride w:val="1"/>
    </w:lvlOverride>
  </w:num>
  <w:num w:numId="21">
    <w:abstractNumId w:val="7"/>
  </w:num>
  <w:num w:numId="22">
    <w:abstractNumId w:val="8"/>
  </w:num>
  <w:num w:numId="23">
    <w:abstractNumId w:val="3"/>
  </w:num>
  <w:num w:numId="24">
    <w:abstractNumId w:val="14"/>
  </w:num>
  <w:num w:numId="25">
    <w:abstractNumId w:val="11"/>
  </w:num>
  <w:num w:numId="26">
    <w:abstractNumId w:val="5"/>
    <w:lvlOverride w:ilvl="0">
      <w:startOverride w:val="1"/>
    </w:lvlOverride>
  </w:num>
  <w:num w:numId="27">
    <w:abstractNumId w:val="6"/>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D02FE4"/>
    <w:rsid w:val="00001A25"/>
    <w:rsid w:val="00013423"/>
    <w:rsid w:val="00017710"/>
    <w:rsid w:val="00017B4D"/>
    <w:rsid w:val="000234B3"/>
    <w:rsid w:val="000268AD"/>
    <w:rsid w:val="00032716"/>
    <w:rsid w:val="00033FE9"/>
    <w:rsid w:val="00040EC6"/>
    <w:rsid w:val="00046D31"/>
    <w:rsid w:val="000474D4"/>
    <w:rsid w:val="00052E4E"/>
    <w:rsid w:val="00054380"/>
    <w:rsid w:val="00057EDC"/>
    <w:rsid w:val="00062612"/>
    <w:rsid w:val="00080EE2"/>
    <w:rsid w:val="000815B6"/>
    <w:rsid w:val="00091BF2"/>
    <w:rsid w:val="0009600E"/>
    <w:rsid w:val="000A386E"/>
    <w:rsid w:val="000A50DF"/>
    <w:rsid w:val="000A63D7"/>
    <w:rsid w:val="000A6D77"/>
    <w:rsid w:val="000A6E1B"/>
    <w:rsid w:val="000A7486"/>
    <w:rsid w:val="000B41C9"/>
    <w:rsid w:val="000C0BE1"/>
    <w:rsid w:val="000C6042"/>
    <w:rsid w:val="000D01DB"/>
    <w:rsid w:val="000D469F"/>
    <w:rsid w:val="000E07CC"/>
    <w:rsid w:val="000E0B63"/>
    <w:rsid w:val="000E6EF2"/>
    <w:rsid w:val="000F7079"/>
    <w:rsid w:val="00103CBB"/>
    <w:rsid w:val="0010636C"/>
    <w:rsid w:val="00115ADB"/>
    <w:rsid w:val="001213ED"/>
    <w:rsid w:val="00124596"/>
    <w:rsid w:val="001344CC"/>
    <w:rsid w:val="00147B54"/>
    <w:rsid w:val="00147D8F"/>
    <w:rsid w:val="001615EC"/>
    <w:rsid w:val="001636F4"/>
    <w:rsid w:val="00173D9C"/>
    <w:rsid w:val="00182A11"/>
    <w:rsid w:val="00185B69"/>
    <w:rsid w:val="001877B0"/>
    <w:rsid w:val="001904BA"/>
    <w:rsid w:val="00193857"/>
    <w:rsid w:val="00195019"/>
    <w:rsid w:val="001965A1"/>
    <w:rsid w:val="001A0295"/>
    <w:rsid w:val="001B5E82"/>
    <w:rsid w:val="001B66AB"/>
    <w:rsid w:val="001C64F5"/>
    <w:rsid w:val="001D0879"/>
    <w:rsid w:val="001D0F26"/>
    <w:rsid w:val="001E0278"/>
    <w:rsid w:val="001E2F40"/>
    <w:rsid w:val="001E35AA"/>
    <w:rsid w:val="002024DD"/>
    <w:rsid w:val="002050DA"/>
    <w:rsid w:val="00211084"/>
    <w:rsid w:val="0021305C"/>
    <w:rsid w:val="002203A2"/>
    <w:rsid w:val="00222AE9"/>
    <w:rsid w:val="00230116"/>
    <w:rsid w:val="00232E8C"/>
    <w:rsid w:val="00234AF5"/>
    <w:rsid w:val="00245715"/>
    <w:rsid w:val="00252EB7"/>
    <w:rsid w:val="00256EAC"/>
    <w:rsid w:val="0026071B"/>
    <w:rsid w:val="0026477D"/>
    <w:rsid w:val="00265A07"/>
    <w:rsid w:val="00266136"/>
    <w:rsid w:val="00271389"/>
    <w:rsid w:val="002804B2"/>
    <w:rsid w:val="002A1D14"/>
    <w:rsid w:val="002A4A41"/>
    <w:rsid w:val="002A7C35"/>
    <w:rsid w:val="002B256A"/>
    <w:rsid w:val="002B792C"/>
    <w:rsid w:val="002C3199"/>
    <w:rsid w:val="002D24B3"/>
    <w:rsid w:val="002D2D3F"/>
    <w:rsid w:val="002D48FB"/>
    <w:rsid w:val="002D5ED4"/>
    <w:rsid w:val="002E165E"/>
    <w:rsid w:val="002F7EFC"/>
    <w:rsid w:val="00313B60"/>
    <w:rsid w:val="003176DA"/>
    <w:rsid w:val="00321CCC"/>
    <w:rsid w:val="0032238B"/>
    <w:rsid w:val="0032298A"/>
    <w:rsid w:val="00324DE3"/>
    <w:rsid w:val="0032689B"/>
    <w:rsid w:val="0032793F"/>
    <w:rsid w:val="00331488"/>
    <w:rsid w:val="003409E1"/>
    <w:rsid w:val="003413D4"/>
    <w:rsid w:val="00343A7F"/>
    <w:rsid w:val="003576FB"/>
    <w:rsid w:val="00360D28"/>
    <w:rsid w:val="00362BCB"/>
    <w:rsid w:val="003639E2"/>
    <w:rsid w:val="003700F3"/>
    <w:rsid w:val="003776C7"/>
    <w:rsid w:val="00380C82"/>
    <w:rsid w:val="00382D9C"/>
    <w:rsid w:val="003A1532"/>
    <w:rsid w:val="003B118A"/>
    <w:rsid w:val="003B7F4E"/>
    <w:rsid w:val="003C69DB"/>
    <w:rsid w:val="003E25A9"/>
    <w:rsid w:val="003F0A85"/>
    <w:rsid w:val="003F4293"/>
    <w:rsid w:val="003F5AA6"/>
    <w:rsid w:val="004010A8"/>
    <w:rsid w:val="00406315"/>
    <w:rsid w:val="004069AB"/>
    <w:rsid w:val="00411EA7"/>
    <w:rsid w:val="004137FC"/>
    <w:rsid w:val="00422D4C"/>
    <w:rsid w:val="00423351"/>
    <w:rsid w:val="0042462F"/>
    <w:rsid w:val="0043153D"/>
    <w:rsid w:val="0043541D"/>
    <w:rsid w:val="004407BA"/>
    <w:rsid w:val="004440A0"/>
    <w:rsid w:val="00451B5F"/>
    <w:rsid w:val="00454E21"/>
    <w:rsid w:val="004705EE"/>
    <w:rsid w:val="00476774"/>
    <w:rsid w:val="00487481"/>
    <w:rsid w:val="00494E1C"/>
    <w:rsid w:val="004972F0"/>
    <w:rsid w:val="00497780"/>
    <w:rsid w:val="00497C82"/>
    <w:rsid w:val="004A10DD"/>
    <w:rsid w:val="004B41AE"/>
    <w:rsid w:val="004B60D1"/>
    <w:rsid w:val="004B6C28"/>
    <w:rsid w:val="004B78F1"/>
    <w:rsid w:val="004C3498"/>
    <w:rsid w:val="004C70A9"/>
    <w:rsid w:val="004D1B2A"/>
    <w:rsid w:val="004D6451"/>
    <w:rsid w:val="004E1989"/>
    <w:rsid w:val="004E28AA"/>
    <w:rsid w:val="004E42C2"/>
    <w:rsid w:val="004E6D34"/>
    <w:rsid w:val="004F1B44"/>
    <w:rsid w:val="004F2467"/>
    <w:rsid w:val="004F5FF1"/>
    <w:rsid w:val="004F6C76"/>
    <w:rsid w:val="00501D46"/>
    <w:rsid w:val="00504006"/>
    <w:rsid w:val="0051771A"/>
    <w:rsid w:val="00525715"/>
    <w:rsid w:val="005341CC"/>
    <w:rsid w:val="0053761C"/>
    <w:rsid w:val="005423BD"/>
    <w:rsid w:val="005504CA"/>
    <w:rsid w:val="00554A91"/>
    <w:rsid w:val="0055700F"/>
    <w:rsid w:val="00560A48"/>
    <w:rsid w:val="00564559"/>
    <w:rsid w:val="00572AC9"/>
    <w:rsid w:val="0057385E"/>
    <w:rsid w:val="005778E5"/>
    <w:rsid w:val="00584CFE"/>
    <w:rsid w:val="00591BCA"/>
    <w:rsid w:val="005A44F2"/>
    <w:rsid w:val="005A6606"/>
    <w:rsid w:val="005B0B63"/>
    <w:rsid w:val="005B0D5E"/>
    <w:rsid w:val="005B42F6"/>
    <w:rsid w:val="005D1C8A"/>
    <w:rsid w:val="005D3F31"/>
    <w:rsid w:val="005D73CA"/>
    <w:rsid w:val="005E7F41"/>
    <w:rsid w:val="005F2204"/>
    <w:rsid w:val="00602733"/>
    <w:rsid w:val="00603871"/>
    <w:rsid w:val="00607C41"/>
    <w:rsid w:val="00612B35"/>
    <w:rsid w:val="00613645"/>
    <w:rsid w:val="00626A71"/>
    <w:rsid w:val="006408C0"/>
    <w:rsid w:val="00640CC2"/>
    <w:rsid w:val="006474B7"/>
    <w:rsid w:val="00650032"/>
    <w:rsid w:val="00655E61"/>
    <w:rsid w:val="00664E44"/>
    <w:rsid w:val="006669BA"/>
    <w:rsid w:val="00671EB9"/>
    <w:rsid w:val="00672144"/>
    <w:rsid w:val="006766FB"/>
    <w:rsid w:val="00676BCC"/>
    <w:rsid w:val="00677A77"/>
    <w:rsid w:val="00677C40"/>
    <w:rsid w:val="0069672F"/>
    <w:rsid w:val="00697783"/>
    <w:rsid w:val="006978AF"/>
    <w:rsid w:val="006A1F01"/>
    <w:rsid w:val="006A214C"/>
    <w:rsid w:val="006A23BF"/>
    <w:rsid w:val="006A7BD5"/>
    <w:rsid w:val="006C22CD"/>
    <w:rsid w:val="006C517F"/>
    <w:rsid w:val="006C58AB"/>
    <w:rsid w:val="006D6F74"/>
    <w:rsid w:val="006F268C"/>
    <w:rsid w:val="006F3C82"/>
    <w:rsid w:val="007074DB"/>
    <w:rsid w:val="0071659F"/>
    <w:rsid w:val="00724316"/>
    <w:rsid w:val="00733FAD"/>
    <w:rsid w:val="007353F9"/>
    <w:rsid w:val="0074365D"/>
    <w:rsid w:val="00745C99"/>
    <w:rsid w:val="00746B06"/>
    <w:rsid w:val="00756F36"/>
    <w:rsid w:val="00762CD2"/>
    <w:rsid w:val="00765C3E"/>
    <w:rsid w:val="00766C69"/>
    <w:rsid w:val="00770902"/>
    <w:rsid w:val="00773C97"/>
    <w:rsid w:val="007807CC"/>
    <w:rsid w:val="007917C8"/>
    <w:rsid w:val="0079262F"/>
    <w:rsid w:val="00793331"/>
    <w:rsid w:val="0079392D"/>
    <w:rsid w:val="00795DAB"/>
    <w:rsid w:val="007A4A97"/>
    <w:rsid w:val="007A671E"/>
    <w:rsid w:val="007B0606"/>
    <w:rsid w:val="007B32B2"/>
    <w:rsid w:val="007B6189"/>
    <w:rsid w:val="007C12D4"/>
    <w:rsid w:val="007E49D6"/>
    <w:rsid w:val="00805448"/>
    <w:rsid w:val="00817068"/>
    <w:rsid w:val="00825257"/>
    <w:rsid w:val="00826BA4"/>
    <w:rsid w:val="008278D8"/>
    <w:rsid w:val="00827CAD"/>
    <w:rsid w:val="00834E91"/>
    <w:rsid w:val="0084065D"/>
    <w:rsid w:val="0084236F"/>
    <w:rsid w:val="00844F5C"/>
    <w:rsid w:val="00846247"/>
    <w:rsid w:val="00850D47"/>
    <w:rsid w:val="00851343"/>
    <w:rsid w:val="00865DB7"/>
    <w:rsid w:val="0087300B"/>
    <w:rsid w:val="00892156"/>
    <w:rsid w:val="0089261F"/>
    <w:rsid w:val="008A02F5"/>
    <w:rsid w:val="008B1FC2"/>
    <w:rsid w:val="008B5057"/>
    <w:rsid w:val="008B6C5A"/>
    <w:rsid w:val="008C04A7"/>
    <w:rsid w:val="008C0CFE"/>
    <w:rsid w:val="008C3530"/>
    <w:rsid w:val="008C540C"/>
    <w:rsid w:val="008D05C5"/>
    <w:rsid w:val="008E3A85"/>
    <w:rsid w:val="00902705"/>
    <w:rsid w:val="009074E8"/>
    <w:rsid w:val="00914E52"/>
    <w:rsid w:val="00916BE4"/>
    <w:rsid w:val="009216A4"/>
    <w:rsid w:val="00922917"/>
    <w:rsid w:val="00925823"/>
    <w:rsid w:val="00925A94"/>
    <w:rsid w:val="00931BB1"/>
    <w:rsid w:val="00936462"/>
    <w:rsid w:val="009439E6"/>
    <w:rsid w:val="00944DE9"/>
    <w:rsid w:val="00950BA2"/>
    <w:rsid w:val="00966CCF"/>
    <w:rsid w:val="009711E8"/>
    <w:rsid w:val="00975573"/>
    <w:rsid w:val="00977573"/>
    <w:rsid w:val="0098111A"/>
    <w:rsid w:val="009838EC"/>
    <w:rsid w:val="009868A1"/>
    <w:rsid w:val="009A58FE"/>
    <w:rsid w:val="009B369E"/>
    <w:rsid w:val="009B788B"/>
    <w:rsid w:val="009D253B"/>
    <w:rsid w:val="009D59D9"/>
    <w:rsid w:val="009E15AC"/>
    <w:rsid w:val="009F0C2D"/>
    <w:rsid w:val="009F10B3"/>
    <w:rsid w:val="00A004AC"/>
    <w:rsid w:val="00A02095"/>
    <w:rsid w:val="00A06CD9"/>
    <w:rsid w:val="00A1262E"/>
    <w:rsid w:val="00A20862"/>
    <w:rsid w:val="00A20F83"/>
    <w:rsid w:val="00A2568A"/>
    <w:rsid w:val="00A259F5"/>
    <w:rsid w:val="00A3499A"/>
    <w:rsid w:val="00A43EDD"/>
    <w:rsid w:val="00A474D6"/>
    <w:rsid w:val="00A61E60"/>
    <w:rsid w:val="00A67188"/>
    <w:rsid w:val="00A67995"/>
    <w:rsid w:val="00A70AEA"/>
    <w:rsid w:val="00A720FF"/>
    <w:rsid w:val="00A75C0C"/>
    <w:rsid w:val="00A81D86"/>
    <w:rsid w:val="00A869A8"/>
    <w:rsid w:val="00A958E7"/>
    <w:rsid w:val="00AA6BC0"/>
    <w:rsid w:val="00AB05B8"/>
    <w:rsid w:val="00AB192F"/>
    <w:rsid w:val="00AB2C95"/>
    <w:rsid w:val="00AB32B1"/>
    <w:rsid w:val="00AB3E57"/>
    <w:rsid w:val="00AB65E5"/>
    <w:rsid w:val="00AC376C"/>
    <w:rsid w:val="00AD03F9"/>
    <w:rsid w:val="00AD3935"/>
    <w:rsid w:val="00AF49D6"/>
    <w:rsid w:val="00B21384"/>
    <w:rsid w:val="00B41E68"/>
    <w:rsid w:val="00B42AC5"/>
    <w:rsid w:val="00B431A3"/>
    <w:rsid w:val="00B46261"/>
    <w:rsid w:val="00B56ED4"/>
    <w:rsid w:val="00B83491"/>
    <w:rsid w:val="00B85D6D"/>
    <w:rsid w:val="00B8687F"/>
    <w:rsid w:val="00B93F0B"/>
    <w:rsid w:val="00BA2351"/>
    <w:rsid w:val="00BA2894"/>
    <w:rsid w:val="00BA5BFF"/>
    <w:rsid w:val="00BB267D"/>
    <w:rsid w:val="00BB4E1A"/>
    <w:rsid w:val="00BC43F3"/>
    <w:rsid w:val="00BC79FD"/>
    <w:rsid w:val="00BD2218"/>
    <w:rsid w:val="00BD65C5"/>
    <w:rsid w:val="00BE26D2"/>
    <w:rsid w:val="00C01424"/>
    <w:rsid w:val="00C019FE"/>
    <w:rsid w:val="00C02FBA"/>
    <w:rsid w:val="00C1239A"/>
    <w:rsid w:val="00C13353"/>
    <w:rsid w:val="00C159E2"/>
    <w:rsid w:val="00C22966"/>
    <w:rsid w:val="00C374C9"/>
    <w:rsid w:val="00C41796"/>
    <w:rsid w:val="00C500F1"/>
    <w:rsid w:val="00C524B9"/>
    <w:rsid w:val="00C55E8E"/>
    <w:rsid w:val="00C623DE"/>
    <w:rsid w:val="00C62C21"/>
    <w:rsid w:val="00C652C1"/>
    <w:rsid w:val="00C66246"/>
    <w:rsid w:val="00C72B51"/>
    <w:rsid w:val="00C75125"/>
    <w:rsid w:val="00C84073"/>
    <w:rsid w:val="00C96884"/>
    <w:rsid w:val="00CA7DFA"/>
    <w:rsid w:val="00CC1F6E"/>
    <w:rsid w:val="00CC3240"/>
    <w:rsid w:val="00CC3E50"/>
    <w:rsid w:val="00CD518C"/>
    <w:rsid w:val="00CE3E06"/>
    <w:rsid w:val="00CF4E12"/>
    <w:rsid w:val="00CF5676"/>
    <w:rsid w:val="00D000E1"/>
    <w:rsid w:val="00D02FE4"/>
    <w:rsid w:val="00D12A23"/>
    <w:rsid w:val="00D160CA"/>
    <w:rsid w:val="00D20A27"/>
    <w:rsid w:val="00D21225"/>
    <w:rsid w:val="00D322F6"/>
    <w:rsid w:val="00D44DA7"/>
    <w:rsid w:val="00D52912"/>
    <w:rsid w:val="00D65EC8"/>
    <w:rsid w:val="00D811A4"/>
    <w:rsid w:val="00D81BE1"/>
    <w:rsid w:val="00D82F0E"/>
    <w:rsid w:val="00D96153"/>
    <w:rsid w:val="00DA71F6"/>
    <w:rsid w:val="00DB05C3"/>
    <w:rsid w:val="00DB1A19"/>
    <w:rsid w:val="00DB3927"/>
    <w:rsid w:val="00DC3C66"/>
    <w:rsid w:val="00DC7D6C"/>
    <w:rsid w:val="00DD1BB6"/>
    <w:rsid w:val="00DD471F"/>
    <w:rsid w:val="00DD6E33"/>
    <w:rsid w:val="00DF3BA5"/>
    <w:rsid w:val="00DF7008"/>
    <w:rsid w:val="00E019F7"/>
    <w:rsid w:val="00E24601"/>
    <w:rsid w:val="00E31157"/>
    <w:rsid w:val="00E31438"/>
    <w:rsid w:val="00E32E02"/>
    <w:rsid w:val="00E3618E"/>
    <w:rsid w:val="00E41475"/>
    <w:rsid w:val="00E417B0"/>
    <w:rsid w:val="00E41C17"/>
    <w:rsid w:val="00E53EC7"/>
    <w:rsid w:val="00E62C99"/>
    <w:rsid w:val="00E6573A"/>
    <w:rsid w:val="00E71FF4"/>
    <w:rsid w:val="00E73E66"/>
    <w:rsid w:val="00E75582"/>
    <w:rsid w:val="00E756EB"/>
    <w:rsid w:val="00E83792"/>
    <w:rsid w:val="00E9015B"/>
    <w:rsid w:val="00E94067"/>
    <w:rsid w:val="00E97484"/>
    <w:rsid w:val="00EA0036"/>
    <w:rsid w:val="00EA0D6B"/>
    <w:rsid w:val="00EA4941"/>
    <w:rsid w:val="00EA70CE"/>
    <w:rsid w:val="00EB127B"/>
    <w:rsid w:val="00EC3820"/>
    <w:rsid w:val="00EC3FB1"/>
    <w:rsid w:val="00ED324F"/>
    <w:rsid w:val="00ED77AE"/>
    <w:rsid w:val="00EE5288"/>
    <w:rsid w:val="00EF1C85"/>
    <w:rsid w:val="00EF393C"/>
    <w:rsid w:val="00EF57BF"/>
    <w:rsid w:val="00EF679D"/>
    <w:rsid w:val="00EF71F0"/>
    <w:rsid w:val="00EF78B5"/>
    <w:rsid w:val="00F16318"/>
    <w:rsid w:val="00F26BB9"/>
    <w:rsid w:val="00F366F8"/>
    <w:rsid w:val="00F3718F"/>
    <w:rsid w:val="00F41F82"/>
    <w:rsid w:val="00F43DDE"/>
    <w:rsid w:val="00F54946"/>
    <w:rsid w:val="00F6092E"/>
    <w:rsid w:val="00F663A2"/>
    <w:rsid w:val="00F669C9"/>
    <w:rsid w:val="00F672A0"/>
    <w:rsid w:val="00F92777"/>
    <w:rsid w:val="00FA1979"/>
    <w:rsid w:val="00FA316C"/>
    <w:rsid w:val="00FA38C8"/>
    <w:rsid w:val="00FA4CD8"/>
    <w:rsid w:val="00FB2ABB"/>
    <w:rsid w:val="00FB49D3"/>
    <w:rsid w:val="00FB6DF2"/>
    <w:rsid w:val="00FC161F"/>
    <w:rsid w:val="00FC4007"/>
    <w:rsid w:val="00FC4ACD"/>
    <w:rsid w:val="00FE27A5"/>
    <w:rsid w:val="00FF2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FE4"/>
    <w:pPr>
      <w:spacing w:before="120" w:after="120"/>
      <w:jc w:val="both"/>
    </w:pPr>
    <w:rPr>
      <w:rFonts w:ascii="Verdana" w:hAnsi="Verdana"/>
      <w:szCs w:val="24"/>
      <w:lang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
    <w:basedOn w:val="DefaultParagraphFont"/>
    <w:link w:val="FootnoteText"/>
    <w:rsid w:val="00D02FE4"/>
    <w:rPr>
      <w:rFonts w:ascii="Verdana" w:hAnsi="Verdana"/>
      <w:sz w:val="16"/>
      <w:szCs w:val="16"/>
      <w:lang w:val="en-GB" w:eastAsia="en-US" w:bidi="ar-SA"/>
    </w:rPr>
  </w:style>
  <w:style w:type="character" w:styleId="FootnoteReference">
    <w:name w:val="footnote reference"/>
    <w:basedOn w:val="DefaultParagraphFont"/>
    <w:rsid w:val="00D02FE4"/>
    <w:rPr>
      <w:rFonts w:ascii="Arial" w:hAnsi="Arial"/>
      <w:dstrike w:val="0"/>
      <w:kern w:val="0"/>
      <w:position w:val="4"/>
      <w:sz w:val="12"/>
      <w:szCs w:val="12"/>
      <w:vertAlign w:val="baseline"/>
    </w:rPr>
  </w:style>
  <w:style w:type="character" w:customStyle="1" w:styleId="Heading2Char">
    <w:name w:val="Heading 2 Char"/>
    <w:basedOn w:val="DefaultParagraphFont"/>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tabs>
        <w:tab w:val="num" w:pos="360"/>
      </w:tabs>
      <w:spacing w:after="240"/>
      <w:ind w:left="0" w:firstLine="0"/>
    </w:pPr>
    <w:rPr>
      <w:rFonts w:cs="Arial"/>
      <w:b w:val="0"/>
      <w:sz w:val="20"/>
      <w:u w:val="single"/>
    </w:rPr>
  </w:style>
  <w:style w:type="paragraph" w:customStyle="1" w:styleId="InstructionsText">
    <w:name w:val="Instructions Text"/>
    <w:basedOn w:val="Normal"/>
    <w:link w:val="InstructionsTextChar"/>
    <w:autoRedefine/>
    <w:rsid w:val="00E94067"/>
    <w:pPr>
      <w:spacing w:before="0" w:after="0"/>
      <w:ind w:left="33"/>
    </w:pPr>
    <w:rPr>
      <w:rFonts w:ascii="Times New Roman" w:hAnsi="Times New Roman"/>
      <w:szCs w:val="17"/>
      <w:lang w:eastAsia="de-DE"/>
    </w:rPr>
  </w:style>
  <w:style w:type="character" w:customStyle="1" w:styleId="InstructionsTabelleberschrift">
    <w:name w:val="Instructions Tabelle Überschrift"/>
    <w:basedOn w:val="DefaultParagraphFont"/>
    <w:qFormat/>
    <w:rsid w:val="00D02FE4"/>
    <w:rPr>
      <w:rFonts w:ascii="Verdana" w:hAnsi="Verdana" w:cs="Times New Roman"/>
      <w:b/>
      <w:bCs/>
      <w:sz w:val="20"/>
      <w:u w:val="single"/>
    </w:rPr>
  </w:style>
  <w:style w:type="character" w:customStyle="1" w:styleId="InstructionsTabelleText">
    <w:name w:val="Instructions Tabelle Text"/>
    <w:basedOn w:val="DefaultParagraphFont"/>
    <w:rsid w:val="00D02FE4"/>
    <w:rPr>
      <w:rFonts w:ascii="Verdana" w:hAnsi="Verdana" w:cs="Times New Roman"/>
      <w:sz w:val="20"/>
    </w:rPr>
  </w:style>
  <w:style w:type="character" w:customStyle="1" w:styleId="FormatvorlageInstructionsTabelleText">
    <w:name w:val="Formatvorlage Instructions Tabelle Text"/>
    <w:basedOn w:val="DefaultParagraphFont"/>
    <w:qFormat/>
    <w:rsid w:val="00D02FE4"/>
    <w:rPr>
      <w:rFonts w:ascii="Verdana" w:hAnsi="Verdana" w:cs="Times New Roman"/>
      <w:bCs/>
      <w:sz w:val="20"/>
      <w:u w:val="none"/>
    </w:rPr>
  </w:style>
  <w:style w:type="character" w:customStyle="1" w:styleId="InstructionsTextChar">
    <w:name w:val="Instructions Text Char"/>
    <w:basedOn w:val="DefaultParagraphFont"/>
    <w:link w:val="InstructionsText"/>
    <w:locked/>
    <w:rsid w:val="00E94067"/>
    <w:rPr>
      <w:szCs w:val="17"/>
      <w:lang w:val="en-GB" w:eastAsia="de-DE" w:bidi="ar-SA"/>
    </w:rPr>
  </w:style>
  <w:style w:type="paragraph" w:customStyle="1" w:styleId="InstructionsText2">
    <w:name w:val="Instructions Text 2"/>
    <w:basedOn w:val="InstructionsText"/>
    <w:qFormat/>
    <w:rsid w:val="00D02FE4"/>
    <w:pPr>
      <w:numPr>
        <w:numId w:val="2"/>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character" w:styleId="Hyperlink">
    <w:name w:val="Hyperlink"/>
    <w:basedOn w:val="DefaultParagraphFont"/>
    <w:rsid w:val="005A44F2"/>
    <w:rPr>
      <w:color w:val="0000FF"/>
      <w:u w:val="single"/>
    </w:rPr>
  </w:style>
  <w:style w:type="paragraph" w:styleId="TOC2">
    <w:name w:val="toc 2"/>
    <w:basedOn w:val="Normal"/>
    <w:next w:val="Normal"/>
    <w:autoRedefine/>
    <w:qFormat/>
    <w:rsid w:val="005A44F2"/>
    <w:pPr>
      <w:tabs>
        <w:tab w:val="left" w:pos="794"/>
        <w:tab w:val="right" w:leader="dot" w:pos="9071"/>
      </w:tabs>
      <w:spacing w:after="60"/>
      <w:ind w:left="794" w:hanging="794"/>
    </w:pPr>
    <w:rPr>
      <w:b/>
      <w:smallCaps/>
      <w:noProof/>
      <w:szCs w:val="22"/>
    </w:rPr>
  </w:style>
  <w:style w:type="paragraph" w:customStyle="1" w:styleId="PageNumbereven">
    <w:name w:val="Page Numbereven"/>
    <w:basedOn w:val="Normal"/>
    <w:rsid w:val="005A44F2"/>
    <w:pPr>
      <w:spacing w:before="0" w:after="0"/>
      <w:jc w:val="left"/>
    </w:pPr>
    <w:rPr>
      <w:rFonts w:ascii="Times New Roman" w:hAnsi="Times New Roman"/>
      <w:szCs w:val="20"/>
      <w:lang w:eastAsia="en-GB"/>
    </w:rPr>
  </w:style>
  <w:style w:type="paragraph" w:styleId="BalloonText">
    <w:name w:val="Balloon Text"/>
    <w:basedOn w:val="Normal"/>
    <w:semiHidden/>
    <w:rsid w:val="00EC3FB1"/>
    <w:rPr>
      <w:rFonts w:ascii="Tahoma" w:hAnsi="Tahoma" w:cs="Tahoma"/>
      <w:sz w:val="16"/>
      <w:szCs w:val="16"/>
    </w:rPr>
  </w:style>
  <w:style w:type="character" w:styleId="CommentReference">
    <w:name w:val="annotation reference"/>
    <w:basedOn w:val="DefaultParagraphFont"/>
    <w:rsid w:val="003576FB"/>
    <w:rPr>
      <w:sz w:val="16"/>
      <w:szCs w:val="16"/>
    </w:rPr>
  </w:style>
  <w:style w:type="paragraph" w:styleId="CommentText">
    <w:name w:val="annotation text"/>
    <w:basedOn w:val="Normal"/>
    <w:link w:val="CommentTextChar"/>
    <w:rsid w:val="003576FB"/>
    <w:rPr>
      <w:szCs w:val="20"/>
    </w:rPr>
  </w:style>
  <w:style w:type="paragraph" w:styleId="CommentSubject">
    <w:name w:val="annotation subject"/>
    <w:basedOn w:val="CommentText"/>
    <w:next w:val="CommentText"/>
    <w:link w:val="CommentSubjectChar"/>
    <w:rsid w:val="003576FB"/>
    <w:rPr>
      <w:b/>
      <w:bCs/>
    </w:rPr>
  </w:style>
  <w:style w:type="paragraph" w:customStyle="1" w:styleId="Default">
    <w:name w:val="Default"/>
    <w:rsid w:val="005778E5"/>
    <w:pPr>
      <w:autoSpaceDE w:val="0"/>
      <w:autoSpaceDN w:val="0"/>
      <w:adjustRightInd w:val="0"/>
    </w:pPr>
    <w:rPr>
      <w:rFonts w:ascii="Verdana" w:eastAsia="Calibri" w:hAnsi="Verdana" w:cs="Verdana"/>
      <w:color w:val="000000"/>
      <w:sz w:val="24"/>
      <w:szCs w:val="24"/>
      <w:lang w:val="pl-PL" w:eastAsia="en-US"/>
    </w:rPr>
  </w:style>
  <w:style w:type="character" w:customStyle="1" w:styleId="DeltaViewInsertion">
    <w:name w:val="DeltaView Insertion"/>
    <w:uiPriority w:val="99"/>
    <w:rsid w:val="009074E8"/>
    <w:rPr>
      <w:color w:val="0000FF"/>
      <w:spacing w:val="0"/>
      <w:u w:val="double"/>
    </w:rPr>
  </w:style>
  <w:style w:type="paragraph" w:customStyle="1" w:styleId="ReferenceText">
    <w:name w:val="Reference Text"/>
    <w:basedOn w:val="Normal"/>
    <w:next w:val="InstructionsText"/>
    <w:qFormat/>
    <w:rsid w:val="000B41C9"/>
    <w:pPr>
      <w:framePr w:w="3976" w:h="1381" w:wrap="notBeside" w:vAnchor="page" w:hAnchor="page" w:x="6526" w:y="946" w:anchorLock="1"/>
      <w:tabs>
        <w:tab w:val="center" w:pos="4153"/>
        <w:tab w:val="right" w:pos="9072"/>
      </w:tabs>
      <w:spacing w:before="0" w:after="0" w:line="300" w:lineRule="exact"/>
      <w:jc w:val="right"/>
    </w:pPr>
    <w:rPr>
      <w:rFonts w:ascii="Calibri" w:hAnsi="Calibri"/>
      <w:color w:val="C0504D"/>
      <w:szCs w:val="20"/>
    </w:rPr>
  </w:style>
  <w:style w:type="character" w:customStyle="1" w:styleId="CommentTextChar">
    <w:name w:val="Comment Text Char"/>
    <w:link w:val="CommentText"/>
    <w:rsid w:val="004B41AE"/>
    <w:rPr>
      <w:rFonts w:ascii="Verdana" w:hAnsi="Verdana"/>
      <w:lang w:eastAsia="en-US"/>
    </w:rPr>
  </w:style>
  <w:style w:type="character" w:customStyle="1" w:styleId="CommentSubjectChar">
    <w:name w:val="Comment Subject Char"/>
    <w:link w:val="CommentSubject"/>
    <w:rsid w:val="004B41AE"/>
    <w:rPr>
      <w:rFonts w:ascii="Verdana" w:hAnsi="Verdana"/>
      <w:b/>
      <w:bCs/>
      <w:lang w:eastAsia="en-US"/>
    </w:rPr>
  </w:style>
  <w:style w:type="character" w:customStyle="1" w:styleId="DeltaViewDeletion">
    <w:name w:val="DeltaView Deletion"/>
    <w:rsid w:val="004B41AE"/>
    <w:rPr>
      <w:strike/>
      <w:spacing w:val="0"/>
    </w:rPr>
  </w:style>
  <w:style w:type="paragraph" w:customStyle="1" w:styleId="Point1">
    <w:name w:val="Point 1"/>
    <w:basedOn w:val="Normal"/>
    <w:link w:val="Point1Char"/>
    <w:rsid w:val="004B41AE"/>
    <w:pPr>
      <w:suppressAutoHyphens/>
      <w:autoSpaceDE w:val="0"/>
      <w:autoSpaceDN w:val="0"/>
      <w:adjustRightInd w:val="0"/>
      <w:ind w:left="1417" w:hanging="567"/>
    </w:pPr>
    <w:rPr>
      <w:rFonts w:ascii="Times New Roman" w:hAnsi="Times New Roman"/>
      <w:sz w:val="24"/>
      <w:lang w:eastAsia="fr-BE"/>
    </w:rPr>
  </w:style>
  <w:style w:type="character" w:customStyle="1" w:styleId="Point1Char">
    <w:name w:val="Point 1 Char"/>
    <w:basedOn w:val="DefaultParagraphFont"/>
    <w:link w:val="Point1"/>
    <w:locked/>
    <w:rsid w:val="004B41AE"/>
    <w:rPr>
      <w:sz w:val="24"/>
      <w:szCs w:val="24"/>
      <w:lang w:eastAsia="fr-BE"/>
    </w:rPr>
  </w:style>
  <w:style w:type="paragraph" w:customStyle="1" w:styleId="CarCarCharCarCarCharCharCharChar">
    <w:name w:val="Car Car Char Car Car Char Char Char Char"/>
    <w:basedOn w:val="Normal"/>
    <w:rsid w:val="004B41AE"/>
    <w:pPr>
      <w:spacing w:before="0" w:after="0"/>
      <w:jc w:val="left"/>
    </w:pPr>
    <w:rPr>
      <w:rFonts w:ascii="Times New Roman" w:hAnsi="Times New Roman"/>
      <w:sz w:val="24"/>
    </w:rPr>
  </w:style>
  <w:style w:type="paragraph" w:styleId="ListParagraph">
    <w:name w:val="List Paragraph"/>
    <w:basedOn w:val="Normal"/>
    <w:uiPriority w:val="34"/>
    <w:qFormat/>
    <w:rsid w:val="004B41AE"/>
    <w:pPr>
      <w:ind w:left="720"/>
      <w:contextualSpacing/>
    </w:pPr>
  </w:style>
  <w:style w:type="paragraph" w:styleId="Revision">
    <w:name w:val="Revision"/>
    <w:hidden/>
    <w:uiPriority w:val="99"/>
    <w:semiHidden/>
    <w:rsid w:val="004B41AE"/>
    <w:rPr>
      <w:rFonts w:ascii="Verdana" w:hAnsi="Verdana"/>
      <w:szCs w:val="24"/>
      <w:lang w:eastAsia="en-US"/>
    </w:rPr>
  </w:style>
  <w:style w:type="paragraph" w:styleId="Header">
    <w:name w:val="header"/>
    <w:basedOn w:val="Normal"/>
    <w:link w:val="HeaderChar"/>
    <w:rsid w:val="009711E8"/>
    <w:pPr>
      <w:tabs>
        <w:tab w:val="center" w:pos="4513"/>
        <w:tab w:val="right" w:pos="9026"/>
      </w:tabs>
      <w:spacing w:before="0" w:after="0"/>
    </w:pPr>
  </w:style>
  <w:style w:type="character" w:customStyle="1" w:styleId="HeaderChar">
    <w:name w:val="Header Char"/>
    <w:basedOn w:val="DefaultParagraphFont"/>
    <w:link w:val="Header"/>
    <w:rsid w:val="009711E8"/>
    <w:rPr>
      <w:rFonts w:ascii="Verdana" w:hAnsi="Verdana"/>
      <w:szCs w:val="24"/>
      <w:lang w:eastAsia="en-US"/>
    </w:rPr>
  </w:style>
  <w:style w:type="paragraph" w:styleId="Footer">
    <w:name w:val="footer"/>
    <w:basedOn w:val="Normal"/>
    <w:link w:val="FooterChar"/>
    <w:uiPriority w:val="99"/>
    <w:rsid w:val="009711E8"/>
    <w:pPr>
      <w:tabs>
        <w:tab w:val="center" w:pos="4513"/>
        <w:tab w:val="right" w:pos="9026"/>
      </w:tabs>
      <w:spacing w:before="0" w:after="0"/>
    </w:pPr>
  </w:style>
  <w:style w:type="character" w:customStyle="1" w:styleId="FooterChar">
    <w:name w:val="Footer Char"/>
    <w:basedOn w:val="DefaultParagraphFont"/>
    <w:link w:val="Footer"/>
    <w:uiPriority w:val="99"/>
    <w:rsid w:val="009711E8"/>
    <w:rPr>
      <w:rFonts w:ascii="Verdana" w:hAnsi="Verdan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FE4"/>
    <w:pPr>
      <w:spacing w:before="120" w:after="120"/>
      <w:jc w:val="both"/>
    </w:pPr>
    <w:rPr>
      <w:rFonts w:ascii="Verdana" w:hAnsi="Verdana"/>
      <w:szCs w:val="24"/>
      <w:lang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
    <w:basedOn w:val="DefaultParagraphFont"/>
    <w:link w:val="FootnoteText"/>
    <w:rsid w:val="00D02FE4"/>
    <w:rPr>
      <w:rFonts w:ascii="Verdana" w:hAnsi="Verdana"/>
      <w:sz w:val="16"/>
      <w:szCs w:val="16"/>
      <w:lang w:val="en-GB" w:eastAsia="en-US" w:bidi="ar-SA"/>
    </w:rPr>
  </w:style>
  <w:style w:type="character" w:styleId="FootnoteReference">
    <w:name w:val="footnote reference"/>
    <w:basedOn w:val="DefaultParagraphFont"/>
    <w:rsid w:val="00D02FE4"/>
    <w:rPr>
      <w:rFonts w:ascii="Arial" w:hAnsi="Arial"/>
      <w:dstrike w:val="0"/>
      <w:kern w:val="0"/>
      <w:position w:val="4"/>
      <w:sz w:val="12"/>
      <w:szCs w:val="12"/>
      <w:vertAlign w:val="baseline"/>
    </w:rPr>
  </w:style>
  <w:style w:type="character" w:customStyle="1" w:styleId="Heading2Char">
    <w:name w:val="Heading 2 Char"/>
    <w:basedOn w:val="DefaultParagraphFont"/>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tabs>
        <w:tab w:val="num" w:pos="360"/>
      </w:tabs>
      <w:spacing w:after="240"/>
      <w:ind w:left="0" w:firstLine="0"/>
    </w:pPr>
    <w:rPr>
      <w:rFonts w:cs="Arial"/>
      <w:b w:val="0"/>
      <w:sz w:val="20"/>
      <w:u w:val="single"/>
    </w:rPr>
  </w:style>
  <w:style w:type="paragraph" w:customStyle="1" w:styleId="InstructionsText">
    <w:name w:val="Instructions Text"/>
    <w:basedOn w:val="Normal"/>
    <w:link w:val="InstructionsTextChar"/>
    <w:autoRedefine/>
    <w:rsid w:val="00E94067"/>
    <w:pPr>
      <w:spacing w:before="0" w:after="0"/>
      <w:ind w:left="33"/>
    </w:pPr>
    <w:rPr>
      <w:rFonts w:ascii="Times New Roman" w:hAnsi="Times New Roman"/>
      <w:szCs w:val="17"/>
      <w:lang w:eastAsia="de-DE"/>
    </w:rPr>
  </w:style>
  <w:style w:type="character" w:customStyle="1" w:styleId="InstructionsTabelleberschrift">
    <w:name w:val="Instructions Tabelle Überschrift"/>
    <w:basedOn w:val="DefaultParagraphFont"/>
    <w:qFormat/>
    <w:rsid w:val="00D02FE4"/>
    <w:rPr>
      <w:rFonts w:ascii="Verdana" w:hAnsi="Verdana" w:cs="Times New Roman"/>
      <w:b/>
      <w:bCs/>
      <w:sz w:val="20"/>
      <w:u w:val="single"/>
    </w:rPr>
  </w:style>
  <w:style w:type="character" w:customStyle="1" w:styleId="InstructionsTabelleText">
    <w:name w:val="Instructions Tabelle Text"/>
    <w:basedOn w:val="DefaultParagraphFont"/>
    <w:rsid w:val="00D02FE4"/>
    <w:rPr>
      <w:rFonts w:ascii="Verdana" w:hAnsi="Verdana" w:cs="Times New Roman"/>
      <w:sz w:val="20"/>
    </w:rPr>
  </w:style>
  <w:style w:type="character" w:customStyle="1" w:styleId="FormatvorlageInstructionsTabelleText">
    <w:name w:val="Formatvorlage Instructions Tabelle Text"/>
    <w:basedOn w:val="DefaultParagraphFont"/>
    <w:qFormat/>
    <w:rsid w:val="00D02FE4"/>
    <w:rPr>
      <w:rFonts w:ascii="Verdana" w:hAnsi="Verdana" w:cs="Times New Roman"/>
      <w:bCs/>
      <w:sz w:val="20"/>
      <w:u w:val="none"/>
    </w:rPr>
  </w:style>
  <w:style w:type="character" w:customStyle="1" w:styleId="InstructionsTextChar">
    <w:name w:val="Instructions Text Char"/>
    <w:basedOn w:val="DefaultParagraphFont"/>
    <w:link w:val="InstructionsText"/>
    <w:locked/>
    <w:rsid w:val="00E94067"/>
    <w:rPr>
      <w:szCs w:val="17"/>
      <w:lang w:val="en-GB" w:eastAsia="de-DE" w:bidi="ar-SA"/>
    </w:rPr>
  </w:style>
  <w:style w:type="paragraph" w:customStyle="1" w:styleId="InstructionsText2">
    <w:name w:val="Instructions Text 2"/>
    <w:basedOn w:val="InstructionsText"/>
    <w:qFormat/>
    <w:rsid w:val="00D02FE4"/>
    <w:pPr>
      <w:numPr>
        <w:numId w:val="2"/>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character" w:styleId="Hyperlink">
    <w:name w:val="Hyperlink"/>
    <w:basedOn w:val="DefaultParagraphFont"/>
    <w:rsid w:val="005A44F2"/>
    <w:rPr>
      <w:color w:val="0000FF"/>
      <w:u w:val="single"/>
    </w:rPr>
  </w:style>
  <w:style w:type="paragraph" w:styleId="TOC2">
    <w:name w:val="toc 2"/>
    <w:basedOn w:val="Normal"/>
    <w:next w:val="Normal"/>
    <w:autoRedefine/>
    <w:qFormat/>
    <w:rsid w:val="005A44F2"/>
    <w:pPr>
      <w:tabs>
        <w:tab w:val="left" w:pos="794"/>
        <w:tab w:val="right" w:leader="dot" w:pos="9071"/>
      </w:tabs>
      <w:spacing w:after="60"/>
      <w:ind w:left="794" w:hanging="794"/>
    </w:pPr>
    <w:rPr>
      <w:b/>
      <w:smallCaps/>
      <w:noProof/>
      <w:szCs w:val="22"/>
    </w:rPr>
  </w:style>
  <w:style w:type="paragraph" w:customStyle="1" w:styleId="PageNumbereven">
    <w:name w:val="Page Numbereven"/>
    <w:basedOn w:val="Normal"/>
    <w:rsid w:val="005A44F2"/>
    <w:pPr>
      <w:spacing w:before="0" w:after="0"/>
      <w:jc w:val="left"/>
    </w:pPr>
    <w:rPr>
      <w:rFonts w:ascii="Times New Roman" w:hAnsi="Times New Roman"/>
      <w:szCs w:val="20"/>
      <w:lang w:eastAsia="en-GB"/>
    </w:rPr>
  </w:style>
  <w:style w:type="paragraph" w:styleId="BalloonText">
    <w:name w:val="Balloon Text"/>
    <w:basedOn w:val="Normal"/>
    <w:semiHidden/>
    <w:rsid w:val="00EC3FB1"/>
    <w:rPr>
      <w:rFonts w:ascii="Tahoma" w:hAnsi="Tahoma" w:cs="Tahoma"/>
      <w:sz w:val="16"/>
      <w:szCs w:val="16"/>
    </w:rPr>
  </w:style>
  <w:style w:type="character" w:styleId="CommentReference">
    <w:name w:val="annotation reference"/>
    <w:basedOn w:val="DefaultParagraphFont"/>
    <w:rsid w:val="003576FB"/>
    <w:rPr>
      <w:sz w:val="16"/>
      <w:szCs w:val="16"/>
    </w:rPr>
  </w:style>
  <w:style w:type="paragraph" w:styleId="CommentText">
    <w:name w:val="annotation text"/>
    <w:basedOn w:val="Normal"/>
    <w:link w:val="CommentTextChar"/>
    <w:rsid w:val="003576FB"/>
    <w:rPr>
      <w:szCs w:val="20"/>
    </w:rPr>
  </w:style>
  <w:style w:type="paragraph" w:styleId="CommentSubject">
    <w:name w:val="annotation subject"/>
    <w:basedOn w:val="CommentText"/>
    <w:next w:val="CommentText"/>
    <w:link w:val="CommentSubjectChar"/>
    <w:rsid w:val="003576FB"/>
    <w:rPr>
      <w:b/>
      <w:bCs/>
    </w:rPr>
  </w:style>
  <w:style w:type="paragraph" w:customStyle="1" w:styleId="Default">
    <w:name w:val="Default"/>
    <w:rsid w:val="005778E5"/>
    <w:pPr>
      <w:autoSpaceDE w:val="0"/>
      <w:autoSpaceDN w:val="0"/>
      <w:adjustRightInd w:val="0"/>
    </w:pPr>
    <w:rPr>
      <w:rFonts w:ascii="Verdana" w:eastAsia="Calibri" w:hAnsi="Verdana" w:cs="Verdana"/>
      <w:color w:val="000000"/>
      <w:sz w:val="24"/>
      <w:szCs w:val="24"/>
      <w:lang w:val="pl-PL" w:eastAsia="en-US"/>
    </w:rPr>
  </w:style>
  <w:style w:type="character" w:customStyle="1" w:styleId="DeltaViewInsertion">
    <w:name w:val="DeltaView Insertion"/>
    <w:uiPriority w:val="99"/>
    <w:rsid w:val="009074E8"/>
    <w:rPr>
      <w:color w:val="0000FF"/>
      <w:spacing w:val="0"/>
      <w:u w:val="double"/>
    </w:rPr>
  </w:style>
  <w:style w:type="paragraph" w:customStyle="1" w:styleId="ReferenceText">
    <w:name w:val="Reference Text"/>
    <w:basedOn w:val="Normal"/>
    <w:next w:val="InstructionsText"/>
    <w:qFormat/>
    <w:rsid w:val="000B41C9"/>
    <w:pPr>
      <w:framePr w:w="3976" w:h="1381" w:wrap="notBeside" w:vAnchor="page" w:hAnchor="page" w:x="6526" w:y="946" w:anchorLock="1"/>
      <w:tabs>
        <w:tab w:val="center" w:pos="4153"/>
        <w:tab w:val="right" w:pos="9072"/>
      </w:tabs>
      <w:spacing w:before="0" w:after="0" w:line="300" w:lineRule="exact"/>
      <w:jc w:val="right"/>
    </w:pPr>
    <w:rPr>
      <w:rFonts w:ascii="Calibri" w:hAnsi="Calibri"/>
      <w:color w:val="C0504D"/>
      <w:szCs w:val="20"/>
    </w:rPr>
  </w:style>
  <w:style w:type="character" w:customStyle="1" w:styleId="CommentTextChar">
    <w:name w:val="Comment Text Char"/>
    <w:link w:val="CommentText"/>
    <w:rsid w:val="004B41AE"/>
    <w:rPr>
      <w:rFonts w:ascii="Verdana" w:hAnsi="Verdana"/>
      <w:lang w:eastAsia="en-US"/>
    </w:rPr>
  </w:style>
  <w:style w:type="character" w:customStyle="1" w:styleId="CommentSubjectChar">
    <w:name w:val="Comment Subject Char"/>
    <w:link w:val="CommentSubject"/>
    <w:rsid w:val="004B41AE"/>
    <w:rPr>
      <w:rFonts w:ascii="Verdana" w:hAnsi="Verdana"/>
      <w:b/>
      <w:bCs/>
      <w:lang w:eastAsia="en-US"/>
    </w:rPr>
  </w:style>
  <w:style w:type="character" w:customStyle="1" w:styleId="DeltaViewDeletion">
    <w:name w:val="DeltaView Deletion"/>
    <w:rsid w:val="004B41AE"/>
    <w:rPr>
      <w:strike/>
      <w:spacing w:val="0"/>
    </w:rPr>
  </w:style>
  <w:style w:type="paragraph" w:customStyle="1" w:styleId="Point1">
    <w:name w:val="Point 1"/>
    <w:basedOn w:val="Normal"/>
    <w:link w:val="Point1Char"/>
    <w:rsid w:val="004B41AE"/>
    <w:pPr>
      <w:suppressAutoHyphens/>
      <w:autoSpaceDE w:val="0"/>
      <w:autoSpaceDN w:val="0"/>
      <w:adjustRightInd w:val="0"/>
      <w:ind w:left="1417" w:hanging="567"/>
    </w:pPr>
    <w:rPr>
      <w:rFonts w:ascii="Times New Roman" w:hAnsi="Times New Roman"/>
      <w:sz w:val="24"/>
      <w:lang w:eastAsia="fr-BE"/>
    </w:rPr>
  </w:style>
  <w:style w:type="character" w:customStyle="1" w:styleId="Point1Char">
    <w:name w:val="Point 1 Char"/>
    <w:basedOn w:val="DefaultParagraphFont"/>
    <w:link w:val="Point1"/>
    <w:locked/>
    <w:rsid w:val="004B41AE"/>
    <w:rPr>
      <w:sz w:val="24"/>
      <w:szCs w:val="24"/>
      <w:lang w:eastAsia="fr-BE"/>
    </w:rPr>
  </w:style>
  <w:style w:type="paragraph" w:customStyle="1" w:styleId="CarCarCharCarCarCharCharCharChar">
    <w:name w:val="Car Car Char Car Car Char Char Char Char"/>
    <w:basedOn w:val="Normal"/>
    <w:rsid w:val="004B41AE"/>
    <w:pPr>
      <w:spacing w:before="0" w:after="0"/>
      <w:jc w:val="left"/>
    </w:pPr>
    <w:rPr>
      <w:rFonts w:ascii="Times New Roman" w:hAnsi="Times New Roman"/>
      <w:sz w:val="24"/>
    </w:rPr>
  </w:style>
  <w:style w:type="paragraph" w:styleId="ListParagraph">
    <w:name w:val="List Paragraph"/>
    <w:basedOn w:val="Normal"/>
    <w:uiPriority w:val="34"/>
    <w:qFormat/>
    <w:rsid w:val="004B41AE"/>
    <w:pPr>
      <w:ind w:left="720"/>
      <w:contextualSpacing/>
    </w:pPr>
  </w:style>
  <w:style w:type="paragraph" w:styleId="Revision">
    <w:name w:val="Revision"/>
    <w:hidden/>
    <w:uiPriority w:val="99"/>
    <w:semiHidden/>
    <w:rsid w:val="004B41AE"/>
    <w:rPr>
      <w:rFonts w:ascii="Verdana" w:hAnsi="Verdana"/>
      <w:szCs w:val="24"/>
      <w:lang w:eastAsia="en-US"/>
    </w:rPr>
  </w:style>
</w:styles>
</file>

<file path=word/webSettings.xml><?xml version="1.0" encoding="utf-8"?>
<w:webSettings xmlns:r="http://schemas.openxmlformats.org/officeDocument/2006/relationships" xmlns:w="http://schemas.openxmlformats.org/wordprocessingml/2006/main">
  <w:divs>
    <w:div w:id="113912630">
      <w:bodyDiv w:val="1"/>
      <w:marLeft w:val="0"/>
      <w:marRight w:val="0"/>
      <w:marTop w:val="0"/>
      <w:marBottom w:val="0"/>
      <w:divBdr>
        <w:top w:val="none" w:sz="0" w:space="0" w:color="auto"/>
        <w:left w:val="none" w:sz="0" w:space="0" w:color="auto"/>
        <w:bottom w:val="none" w:sz="0" w:space="0" w:color="auto"/>
        <w:right w:val="none" w:sz="0" w:space="0" w:color="auto"/>
      </w:divBdr>
    </w:div>
    <w:div w:id="220334353">
      <w:bodyDiv w:val="1"/>
      <w:marLeft w:val="0"/>
      <w:marRight w:val="0"/>
      <w:marTop w:val="0"/>
      <w:marBottom w:val="0"/>
      <w:divBdr>
        <w:top w:val="none" w:sz="0" w:space="0" w:color="auto"/>
        <w:left w:val="none" w:sz="0" w:space="0" w:color="auto"/>
        <w:bottom w:val="none" w:sz="0" w:space="0" w:color="auto"/>
        <w:right w:val="none" w:sz="0" w:space="0" w:color="auto"/>
      </w:divBdr>
    </w:div>
    <w:div w:id="275406579">
      <w:bodyDiv w:val="1"/>
      <w:marLeft w:val="0"/>
      <w:marRight w:val="0"/>
      <w:marTop w:val="0"/>
      <w:marBottom w:val="0"/>
      <w:divBdr>
        <w:top w:val="none" w:sz="0" w:space="0" w:color="auto"/>
        <w:left w:val="none" w:sz="0" w:space="0" w:color="auto"/>
        <w:bottom w:val="none" w:sz="0" w:space="0" w:color="auto"/>
        <w:right w:val="none" w:sz="0" w:space="0" w:color="auto"/>
      </w:divBdr>
    </w:div>
    <w:div w:id="470174448">
      <w:bodyDiv w:val="1"/>
      <w:marLeft w:val="0"/>
      <w:marRight w:val="0"/>
      <w:marTop w:val="0"/>
      <w:marBottom w:val="0"/>
      <w:divBdr>
        <w:top w:val="none" w:sz="0" w:space="0" w:color="auto"/>
        <w:left w:val="none" w:sz="0" w:space="0" w:color="auto"/>
        <w:bottom w:val="none" w:sz="0" w:space="0" w:color="auto"/>
        <w:right w:val="none" w:sz="0" w:space="0" w:color="auto"/>
      </w:divBdr>
    </w:div>
    <w:div w:id="473835342">
      <w:bodyDiv w:val="1"/>
      <w:marLeft w:val="0"/>
      <w:marRight w:val="0"/>
      <w:marTop w:val="0"/>
      <w:marBottom w:val="0"/>
      <w:divBdr>
        <w:top w:val="none" w:sz="0" w:space="0" w:color="auto"/>
        <w:left w:val="none" w:sz="0" w:space="0" w:color="auto"/>
        <w:bottom w:val="none" w:sz="0" w:space="0" w:color="auto"/>
        <w:right w:val="none" w:sz="0" w:space="0" w:color="auto"/>
      </w:divBdr>
    </w:div>
    <w:div w:id="572593132">
      <w:bodyDiv w:val="1"/>
      <w:marLeft w:val="0"/>
      <w:marRight w:val="0"/>
      <w:marTop w:val="0"/>
      <w:marBottom w:val="0"/>
      <w:divBdr>
        <w:top w:val="none" w:sz="0" w:space="0" w:color="auto"/>
        <w:left w:val="none" w:sz="0" w:space="0" w:color="auto"/>
        <w:bottom w:val="none" w:sz="0" w:space="0" w:color="auto"/>
        <w:right w:val="none" w:sz="0" w:space="0" w:color="auto"/>
      </w:divBdr>
    </w:div>
    <w:div w:id="650868858">
      <w:bodyDiv w:val="1"/>
      <w:marLeft w:val="0"/>
      <w:marRight w:val="0"/>
      <w:marTop w:val="0"/>
      <w:marBottom w:val="0"/>
      <w:divBdr>
        <w:top w:val="none" w:sz="0" w:space="0" w:color="auto"/>
        <w:left w:val="none" w:sz="0" w:space="0" w:color="auto"/>
        <w:bottom w:val="none" w:sz="0" w:space="0" w:color="auto"/>
        <w:right w:val="none" w:sz="0" w:space="0" w:color="auto"/>
      </w:divBdr>
    </w:div>
    <w:div w:id="736711439">
      <w:bodyDiv w:val="1"/>
      <w:marLeft w:val="0"/>
      <w:marRight w:val="0"/>
      <w:marTop w:val="0"/>
      <w:marBottom w:val="0"/>
      <w:divBdr>
        <w:top w:val="none" w:sz="0" w:space="0" w:color="auto"/>
        <w:left w:val="none" w:sz="0" w:space="0" w:color="auto"/>
        <w:bottom w:val="none" w:sz="0" w:space="0" w:color="auto"/>
        <w:right w:val="none" w:sz="0" w:space="0" w:color="auto"/>
      </w:divBdr>
    </w:div>
    <w:div w:id="865752206">
      <w:bodyDiv w:val="1"/>
      <w:marLeft w:val="0"/>
      <w:marRight w:val="0"/>
      <w:marTop w:val="0"/>
      <w:marBottom w:val="0"/>
      <w:divBdr>
        <w:top w:val="none" w:sz="0" w:space="0" w:color="auto"/>
        <w:left w:val="none" w:sz="0" w:space="0" w:color="auto"/>
        <w:bottom w:val="none" w:sz="0" w:space="0" w:color="auto"/>
        <w:right w:val="none" w:sz="0" w:space="0" w:color="auto"/>
      </w:divBdr>
    </w:div>
    <w:div w:id="892808840">
      <w:bodyDiv w:val="1"/>
      <w:marLeft w:val="0"/>
      <w:marRight w:val="0"/>
      <w:marTop w:val="0"/>
      <w:marBottom w:val="0"/>
      <w:divBdr>
        <w:top w:val="none" w:sz="0" w:space="0" w:color="auto"/>
        <w:left w:val="none" w:sz="0" w:space="0" w:color="auto"/>
        <w:bottom w:val="none" w:sz="0" w:space="0" w:color="auto"/>
        <w:right w:val="none" w:sz="0" w:space="0" w:color="auto"/>
      </w:divBdr>
    </w:div>
    <w:div w:id="1052852129">
      <w:bodyDiv w:val="1"/>
      <w:marLeft w:val="0"/>
      <w:marRight w:val="0"/>
      <w:marTop w:val="0"/>
      <w:marBottom w:val="0"/>
      <w:divBdr>
        <w:top w:val="none" w:sz="0" w:space="0" w:color="auto"/>
        <w:left w:val="none" w:sz="0" w:space="0" w:color="auto"/>
        <w:bottom w:val="none" w:sz="0" w:space="0" w:color="auto"/>
        <w:right w:val="none" w:sz="0" w:space="0" w:color="auto"/>
      </w:divBdr>
    </w:div>
    <w:div w:id="1138693673">
      <w:bodyDiv w:val="1"/>
      <w:marLeft w:val="0"/>
      <w:marRight w:val="0"/>
      <w:marTop w:val="0"/>
      <w:marBottom w:val="0"/>
      <w:divBdr>
        <w:top w:val="none" w:sz="0" w:space="0" w:color="auto"/>
        <w:left w:val="none" w:sz="0" w:space="0" w:color="auto"/>
        <w:bottom w:val="none" w:sz="0" w:space="0" w:color="auto"/>
        <w:right w:val="none" w:sz="0" w:space="0" w:color="auto"/>
      </w:divBdr>
    </w:div>
    <w:div w:id="1256748086">
      <w:bodyDiv w:val="1"/>
      <w:marLeft w:val="0"/>
      <w:marRight w:val="0"/>
      <w:marTop w:val="0"/>
      <w:marBottom w:val="0"/>
      <w:divBdr>
        <w:top w:val="none" w:sz="0" w:space="0" w:color="auto"/>
        <w:left w:val="none" w:sz="0" w:space="0" w:color="auto"/>
        <w:bottom w:val="none" w:sz="0" w:space="0" w:color="auto"/>
        <w:right w:val="none" w:sz="0" w:space="0" w:color="auto"/>
      </w:divBdr>
    </w:div>
    <w:div w:id="1535072218">
      <w:bodyDiv w:val="1"/>
      <w:marLeft w:val="0"/>
      <w:marRight w:val="0"/>
      <w:marTop w:val="0"/>
      <w:marBottom w:val="0"/>
      <w:divBdr>
        <w:top w:val="none" w:sz="0" w:space="0" w:color="auto"/>
        <w:left w:val="none" w:sz="0" w:space="0" w:color="auto"/>
        <w:bottom w:val="none" w:sz="0" w:space="0" w:color="auto"/>
        <w:right w:val="none" w:sz="0" w:space="0" w:color="auto"/>
      </w:divBdr>
    </w:div>
    <w:div w:id="1705247636">
      <w:bodyDiv w:val="1"/>
      <w:marLeft w:val="0"/>
      <w:marRight w:val="0"/>
      <w:marTop w:val="0"/>
      <w:marBottom w:val="0"/>
      <w:divBdr>
        <w:top w:val="none" w:sz="0" w:space="0" w:color="auto"/>
        <w:left w:val="none" w:sz="0" w:space="0" w:color="auto"/>
        <w:bottom w:val="none" w:sz="0" w:space="0" w:color="auto"/>
        <w:right w:val="none" w:sz="0" w:space="0" w:color="auto"/>
      </w:divBdr>
    </w:div>
    <w:div w:id="1707829255">
      <w:bodyDiv w:val="1"/>
      <w:marLeft w:val="0"/>
      <w:marRight w:val="0"/>
      <w:marTop w:val="0"/>
      <w:marBottom w:val="0"/>
      <w:divBdr>
        <w:top w:val="none" w:sz="0" w:space="0" w:color="auto"/>
        <w:left w:val="none" w:sz="0" w:space="0" w:color="auto"/>
        <w:bottom w:val="none" w:sz="0" w:space="0" w:color="auto"/>
        <w:right w:val="none" w:sz="0" w:space="0" w:color="auto"/>
      </w:divBdr>
    </w:div>
    <w:div w:id="1917786561">
      <w:bodyDiv w:val="1"/>
      <w:marLeft w:val="0"/>
      <w:marRight w:val="0"/>
      <w:marTop w:val="0"/>
      <w:marBottom w:val="0"/>
      <w:divBdr>
        <w:top w:val="none" w:sz="0" w:space="0" w:color="auto"/>
        <w:left w:val="none" w:sz="0" w:space="0" w:color="auto"/>
        <w:bottom w:val="none" w:sz="0" w:space="0" w:color="auto"/>
        <w:right w:val="none" w:sz="0" w:space="0" w:color="auto"/>
      </w:divBdr>
    </w:div>
    <w:div w:id="1984433383">
      <w:bodyDiv w:val="1"/>
      <w:marLeft w:val="0"/>
      <w:marRight w:val="0"/>
      <w:marTop w:val="0"/>
      <w:marBottom w:val="0"/>
      <w:divBdr>
        <w:top w:val="none" w:sz="0" w:space="0" w:color="auto"/>
        <w:left w:val="none" w:sz="0" w:space="0" w:color="auto"/>
        <w:bottom w:val="none" w:sz="0" w:space="0" w:color="auto"/>
        <w:right w:val="none" w:sz="0" w:space="0" w:color="auto"/>
      </w:divBdr>
    </w:div>
    <w:div w:id="2082213676">
      <w:bodyDiv w:val="1"/>
      <w:marLeft w:val="0"/>
      <w:marRight w:val="0"/>
      <w:marTop w:val="0"/>
      <w:marBottom w:val="0"/>
      <w:divBdr>
        <w:top w:val="none" w:sz="0" w:space="0" w:color="auto"/>
        <w:left w:val="none" w:sz="0" w:space="0" w:color="auto"/>
        <w:bottom w:val="none" w:sz="0" w:space="0" w:color="auto"/>
        <w:right w:val="none" w:sz="0" w:space="0" w:color="auto"/>
      </w:divBdr>
    </w:div>
    <w:div w:id="21012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2385-ED2D-4145-8D67-A593BF428FF9}">
  <ds:schemaRefs>
    <ds:schemaRef ds:uri="http://schemas.openxmlformats.org/officeDocument/2006/bibliography"/>
  </ds:schemaRefs>
</ds:datastoreItem>
</file>

<file path=customXml/itemProps2.xml><?xml version="1.0" encoding="utf-8"?>
<ds:datastoreItem xmlns:ds="http://schemas.openxmlformats.org/officeDocument/2006/customXml" ds:itemID="{FB6F8787-CA04-4F5B-BE0C-CF947360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8378</Words>
  <Characters>46883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PART II: TEMPLATE RELATED INSTRUCTIONS</vt:lpstr>
    </vt:vector>
  </TitlesOfParts>
  <Company>Financial Services Authority</Company>
  <LinksUpToDate>false</LinksUpToDate>
  <CharactersWithSpaces>55151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TEMPLATE RELATED INSTRUCTIONS</dc:title>
  <dc:creator>mabdelli</dc:creator>
  <cp:lastModifiedBy>wstrohbach</cp:lastModifiedBy>
  <cp:revision>4</cp:revision>
  <cp:lastPrinted>2013-06-04T15:20:00Z</cp:lastPrinted>
  <dcterms:created xsi:type="dcterms:W3CDTF">2013-07-24T11:02:00Z</dcterms:created>
  <dcterms:modified xsi:type="dcterms:W3CDTF">2013-07-25T13:57:00Z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